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BB013" w14:textId="2A965154" w:rsidR="00E551D2" w:rsidRPr="00DB7DAE" w:rsidRDefault="00E551D2" w:rsidP="007C6D12">
      <w:pPr>
        <w:rPr>
          <w:rFonts w:cstheme="minorHAnsi"/>
          <w:sz w:val="24"/>
          <w:szCs w:val="24"/>
        </w:rPr>
      </w:pPr>
    </w:p>
    <w:p w14:paraId="3EFE8140" w14:textId="58751FA0" w:rsidR="00E551D2" w:rsidRPr="00964FCA" w:rsidRDefault="00E551D2" w:rsidP="007C6D12">
      <w:pPr>
        <w:pStyle w:val="Title"/>
        <w:spacing w:before="4920"/>
        <w:rPr>
          <w:rFonts w:asciiTheme="minorHAnsi" w:hAnsiTheme="minorHAnsi" w:cstheme="minorHAnsi"/>
          <w:sz w:val="48"/>
          <w:szCs w:val="48"/>
        </w:rPr>
      </w:pPr>
      <w:r w:rsidRPr="00964FCA">
        <w:rPr>
          <w:rFonts w:asciiTheme="minorHAnsi" w:hAnsiTheme="minorHAnsi" w:cstheme="minorHAnsi"/>
          <w:sz w:val="48"/>
          <w:szCs w:val="48"/>
        </w:rPr>
        <w:t>Regulation impact statement –</w:t>
      </w:r>
      <w:r w:rsidR="0012196F">
        <w:rPr>
          <w:rFonts w:asciiTheme="minorHAnsi" w:hAnsiTheme="minorHAnsi" w:cstheme="minorHAnsi"/>
          <w:sz w:val="48"/>
          <w:szCs w:val="48"/>
        </w:rPr>
        <w:t xml:space="preserve"> superannuation</w:t>
      </w:r>
      <w:r w:rsidRPr="00964FCA">
        <w:rPr>
          <w:rFonts w:asciiTheme="minorHAnsi" w:hAnsiTheme="minorHAnsi" w:cstheme="minorHAnsi"/>
          <w:sz w:val="48"/>
          <w:szCs w:val="48"/>
        </w:rPr>
        <w:t xml:space="preserve"> </w:t>
      </w:r>
      <w:r w:rsidR="0012196F">
        <w:rPr>
          <w:rFonts w:asciiTheme="minorHAnsi" w:hAnsiTheme="minorHAnsi" w:cstheme="minorHAnsi"/>
          <w:sz w:val="48"/>
          <w:szCs w:val="48"/>
        </w:rPr>
        <w:t>p</w:t>
      </w:r>
      <w:r w:rsidR="00F357FC" w:rsidRPr="00964FCA">
        <w:rPr>
          <w:rFonts w:asciiTheme="minorHAnsi" w:hAnsiTheme="minorHAnsi" w:cstheme="minorHAnsi"/>
          <w:sz w:val="48"/>
          <w:szCs w:val="48"/>
        </w:rPr>
        <w:t xml:space="preserve">ortfolio holdings disclosure </w:t>
      </w:r>
    </w:p>
    <w:p w14:paraId="44B13E81" w14:textId="77777777" w:rsidR="00E8581B" w:rsidRPr="00DB7DAE" w:rsidRDefault="00E8581B" w:rsidP="007C6D12">
      <w:pPr>
        <w:rPr>
          <w:rFonts w:cstheme="minorHAnsi"/>
          <w:sz w:val="24"/>
          <w:szCs w:val="24"/>
        </w:rPr>
      </w:pPr>
    </w:p>
    <w:p w14:paraId="5EB7B4ED" w14:textId="77777777" w:rsidR="00E8581B" w:rsidRPr="00DB7DAE" w:rsidRDefault="00E8581B" w:rsidP="007C6D12">
      <w:pPr>
        <w:rPr>
          <w:rFonts w:cstheme="minorHAnsi"/>
          <w:sz w:val="24"/>
          <w:szCs w:val="24"/>
        </w:rPr>
        <w:sectPr w:rsidR="00E8581B" w:rsidRPr="00DB7DAE" w:rsidSect="004F074D">
          <w:headerReference w:type="default" r:id="rId13"/>
          <w:type w:val="oddPage"/>
          <w:pgSz w:w="11906" w:h="16838"/>
          <w:pgMar w:top="1440" w:right="1440" w:bottom="1440" w:left="1440" w:header="708" w:footer="708" w:gutter="0"/>
          <w:cols w:space="708"/>
          <w:docGrid w:linePitch="360"/>
        </w:sectPr>
      </w:pPr>
    </w:p>
    <w:p w14:paraId="48A4CEAD" w14:textId="41108687" w:rsidR="00E8581B" w:rsidRPr="00DB7DAE" w:rsidRDefault="00E8581B" w:rsidP="007C6D12">
      <w:pPr>
        <w:rPr>
          <w:rFonts w:cstheme="minorHAnsi"/>
          <w:sz w:val="24"/>
          <w:szCs w:val="24"/>
        </w:rPr>
      </w:pPr>
    </w:p>
    <w:sdt>
      <w:sdtPr>
        <w:rPr>
          <w:rFonts w:asciiTheme="minorHAnsi" w:eastAsiaTheme="minorHAnsi" w:hAnsiTheme="minorHAnsi" w:cstheme="minorHAnsi"/>
          <w:b w:val="0"/>
          <w:bCs w:val="0"/>
          <w:color w:val="auto"/>
          <w:sz w:val="24"/>
          <w:szCs w:val="24"/>
          <w:lang w:val="en-AU" w:eastAsia="en-US"/>
        </w:rPr>
        <w:id w:val="-863443742"/>
        <w:docPartObj>
          <w:docPartGallery w:val="Table of Contents"/>
          <w:docPartUnique/>
        </w:docPartObj>
      </w:sdtPr>
      <w:sdtEndPr>
        <w:rPr>
          <w:noProof/>
        </w:rPr>
      </w:sdtEndPr>
      <w:sdtContent>
        <w:p w14:paraId="75998FDF" w14:textId="77777777" w:rsidR="00E551D2" w:rsidRPr="00DB7DAE" w:rsidRDefault="00E551D2" w:rsidP="00D94EE3">
          <w:pPr>
            <w:pStyle w:val="TOCHeading"/>
            <w:jc w:val="center"/>
            <w:rPr>
              <w:rFonts w:asciiTheme="minorHAnsi" w:hAnsiTheme="minorHAnsi" w:cstheme="minorHAnsi"/>
              <w:sz w:val="24"/>
              <w:szCs w:val="24"/>
            </w:rPr>
          </w:pPr>
          <w:r w:rsidRPr="00DB7DAE">
            <w:rPr>
              <w:rFonts w:asciiTheme="minorHAnsi" w:hAnsiTheme="minorHAnsi" w:cstheme="minorHAnsi"/>
              <w:sz w:val="24"/>
              <w:szCs w:val="24"/>
            </w:rPr>
            <w:t>Contents</w:t>
          </w:r>
        </w:p>
        <w:p w14:paraId="6E10DB32" w14:textId="321968E7" w:rsidR="00C50DE0" w:rsidRDefault="00E551D2">
          <w:pPr>
            <w:pStyle w:val="TOC1"/>
            <w:tabs>
              <w:tab w:val="right" w:leader="dot" w:pos="9016"/>
            </w:tabs>
            <w:rPr>
              <w:rFonts w:eastAsiaTheme="minorEastAsia"/>
              <w:b w:val="0"/>
              <w:noProof/>
              <w:lang w:eastAsia="en-AU"/>
            </w:rPr>
          </w:pPr>
          <w:r w:rsidRPr="00DB7DAE">
            <w:rPr>
              <w:rFonts w:cstheme="minorHAnsi"/>
              <w:b w:val="0"/>
              <w:sz w:val="24"/>
              <w:szCs w:val="24"/>
            </w:rPr>
            <w:fldChar w:fldCharType="begin"/>
          </w:r>
          <w:r w:rsidRPr="00DB7DAE">
            <w:rPr>
              <w:rFonts w:cstheme="minorHAnsi"/>
              <w:sz w:val="24"/>
              <w:szCs w:val="24"/>
            </w:rPr>
            <w:instrText xml:space="preserve"> TOC \o "1-3" \h \z \u </w:instrText>
          </w:r>
          <w:r w:rsidRPr="00DB7DAE">
            <w:rPr>
              <w:rFonts w:cstheme="minorHAnsi"/>
              <w:b w:val="0"/>
              <w:sz w:val="24"/>
              <w:szCs w:val="24"/>
            </w:rPr>
            <w:fldChar w:fldCharType="separate"/>
          </w:r>
          <w:hyperlink w:anchor="_Toc86998877" w:history="1">
            <w:r w:rsidR="00C50DE0" w:rsidRPr="00C13B49">
              <w:rPr>
                <w:rStyle w:val="Hyperlink"/>
                <w:rFonts w:cstheme="minorHAnsi"/>
                <w:noProof/>
              </w:rPr>
              <w:t>Background</w:t>
            </w:r>
            <w:r w:rsidR="00C50DE0">
              <w:rPr>
                <w:noProof/>
                <w:webHidden/>
              </w:rPr>
              <w:tab/>
            </w:r>
            <w:r w:rsidR="00C50DE0">
              <w:rPr>
                <w:noProof/>
                <w:webHidden/>
              </w:rPr>
              <w:fldChar w:fldCharType="begin"/>
            </w:r>
            <w:r w:rsidR="00C50DE0">
              <w:rPr>
                <w:noProof/>
                <w:webHidden/>
              </w:rPr>
              <w:instrText xml:space="preserve"> PAGEREF _Toc86998877 \h </w:instrText>
            </w:r>
            <w:r w:rsidR="00C50DE0">
              <w:rPr>
                <w:noProof/>
                <w:webHidden/>
              </w:rPr>
            </w:r>
            <w:r w:rsidR="00C50DE0">
              <w:rPr>
                <w:noProof/>
                <w:webHidden/>
              </w:rPr>
              <w:fldChar w:fldCharType="separate"/>
            </w:r>
            <w:r w:rsidR="00C50DE0">
              <w:rPr>
                <w:noProof/>
                <w:webHidden/>
              </w:rPr>
              <w:t>1</w:t>
            </w:r>
            <w:r w:rsidR="00C50DE0">
              <w:rPr>
                <w:noProof/>
                <w:webHidden/>
              </w:rPr>
              <w:fldChar w:fldCharType="end"/>
            </w:r>
          </w:hyperlink>
        </w:p>
        <w:p w14:paraId="17B609B3" w14:textId="45D737BF" w:rsidR="00C50DE0" w:rsidRDefault="00C50DE0">
          <w:pPr>
            <w:pStyle w:val="TOC1"/>
            <w:tabs>
              <w:tab w:val="left" w:pos="440"/>
              <w:tab w:val="right" w:leader="dot" w:pos="9016"/>
            </w:tabs>
            <w:rPr>
              <w:rFonts w:eastAsiaTheme="minorEastAsia"/>
              <w:b w:val="0"/>
              <w:noProof/>
              <w:lang w:eastAsia="en-AU"/>
            </w:rPr>
          </w:pPr>
          <w:hyperlink w:anchor="_Toc86998878" w:history="1">
            <w:r w:rsidRPr="00C13B49">
              <w:rPr>
                <w:rStyle w:val="Hyperlink"/>
                <w:rFonts w:cstheme="minorHAnsi"/>
                <w:noProof/>
              </w:rPr>
              <w:t>1.</w:t>
            </w:r>
            <w:r>
              <w:rPr>
                <w:rFonts w:eastAsiaTheme="minorEastAsia"/>
                <w:b w:val="0"/>
                <w:noProof/>
                <w:lang w:eastAsia="en-AU"/>
              </w:rPr>
              <w:tab/>
            </w:r>
            <w:r w:rsidRPr="00C13B49">
              <w:rPr>
                <w:rStyle w:val="Hyperlink"/>
                <w:rFonts w:cstheme="minorHAnsi"/>
                <w:noProof/>
              </w:rPr>
              <w:t>What is the policy problem you are trying to solve?</w:t>
            </w:r>
            <w:r>
              <w:rPr>
                <w:noProof/>
                <w:webHidden/>
              </w:rPr>
              <w:tab/>
            </w:r>
            <w:r>
              <w:rPr>
                <w:noProof/>
                <w:webHidden/>
              </w:rPr>
              <w:fldChar w:fldCharType="begin"/>
            </w:r>
            <w:r>
              <w:rPr>
                <w:noProof/>
                <w:webHidden/>
              </w:rPr>
              <w:instrText xml:space="preserve"> PAGEREF _Toc86998878 \h </w:instrText>
            </w:r>
            <w:r>
              <w:rPr>
                <w:noProof/>
                <w:webHidden/>
              </w:rPr>
            </w:r>
            <w:r>
              <w:rPr>
                <w:noProof/>
                <w:webHidden/>
              </w:rPr>
              <w:fldChar w:fldCharType="separate"/>
            </w:r>
            <w:r>
              <w:rPr>
                <w:noProof/>
                <w:webHidden/>
              </w:rPr>
              <w:t>2</w:t>
            </w:r>
            <w:r>
              <w:rPr>
                <w:noProof/>
                <w:webHidden/>
              </w:rPr>
              <w:fldChar w:fldCharType="end"/>
            </w:r>
          </w:hyperlink>
        </w:p>
        <w:p w14:paraId="3D9EC74F" w14:textId="557FF92D" w:rsidR="00C50DE0" w:rsidRDefault="00C50DE0">
          <w:pPr>
            <w:pStyle w:val="TOC1"/>
            <w:tabs>
              <w:tab w:val="left" w:pos="440"/>
              <w:tab w:val="right" w:leader="dot" w:pos="9016"/>
            </w:tabs>
            <w:rPr>
              <w:rFonts w:eastAsiaTheme="minorEastAsia"/>
              <w:b w:val="0"/>
              <w:noProof/>
              <w:lang w:eastAsia="en-AU"/>
            </w:rPr>
          </w:pPr>
          <w:hyperlink w:anchor="_Toc86998879" w:history="1">
            <w:r w:rsidRPr="00C13B49">
              <w:rPr>
                <w:rStyle w:val="Hyperlink"/>
                <w:rFonts w:cstheme="minorHAnsi"/>
                <w:noProof/>
              </w:rPr>
              <w:t>2.</w:t>
            </w:r>
            <w:r>
              <w:rPr>
                <w:rFonts w:eastAsiaTheme="minorEastAsia"/>
                <w:b w:val="0"/>
                <w:noProof/>
                <w:lang w:eastAsia="en-AU"/>
              </w:rPr>
              <w:tab/>
            </w:r>
            <w:r w:rsidRPr="00C13B49">
              <w:rPr>
                <w:rStyle w:val="Hyperlink"/>
                <w:rFonts w:cstheme="minorHAnsi"/>
                <w:noProof/>
              </w:rPr>
              <w:t>Why is government action needed?</w:t>
            </w:r>
            <w:r>
              <w:rPr>
                <w:noProof/>
                <w:webHidden/>
              </w:rPr>
              <w:tab/>
            </w:r>
            <w:r>
              <w:rPr>
                <w:noProof/>
                <w:webHidden/>
              </w:rPr>
              <w:fldChar w:fldCharType="begin"/>
            </w:r>
            <w:r>
              <w:rPr>
                <w:noProof/>
                <w:webHidden/>
              </w:rPr>
              <w:instrText xml:space="preserve"> PAGEREF _Toc86998879 \h </w:instrText>
            </w:r>
            <w:r>
              <w:rPr>
                <w:noProof/>
                <w:webHidden/>
              </w:rPr>
            </w:r>
            <w:r>
              <w:rPr>
                <w:noProof/>
                <w:webHidden/>
              </w:rPr>
              <w:fldChar w:fldCharType="separate"/>
            </w:r>
            <w:r>
              <w:rPr>
                <w:noProof/>
                <w:webHidden/>
              </w:rPr>
              <w:t>4</w:t>
            </w:r>
            <w:r>
              <w:rPr>
                <w:noProof/>
                <w:webHidden/>
              </w:rPr>
              <w:fldChar w:fldCharType="end"/>
            </w:r>
          </w:hyperlink>
        </w:p>
        <w:p w14:paraId="0F50ECC8" w14:textId="389BB95F" w:rsidR="00C50DE0" w:rsidRDefault="00C50DE0">
          <w:pPr>
            <w:pStyle w:val="TOC1"/>
            <w:tabs>
              <w:tab w:val="left" w:pos="440"/>
              <w:tab w:val="right" w:leader="dot" w:pos="9016"/>
            </w:tabs>
            <w:rPr>
              <w:rFonts w:eastAsiaTheme="minorEastAsia"/>
              <w:b w:val="0"/>
              <w:noProof/>
              <w:lang w:eastAsia="en-AU"/>
            </w:rPr>
          </w:pPr>
          <w:hyperlink w:anchor="_Toc86998880" w:history="1">
            <w:r w:rsidRPr="00C13B49">
              <w:rPr>
                <w:rStyle w:val="Hyperlink"/>
                <w:rFonts w:cstheme="minorHAnsi"/>
                <w:noProof/>
              </w:rPr>
              <w:t>3.</w:t>
            </w:r>
            <w:r>
              <w:rPr>
                <w:rFonts w:eastAsiaTheme="minorEastAsia"/>
                <w:b w:val="0"/>
                <w:noProof/>
                <w:lang w:eastAsia="en-AU"/>
              </w:rPr>
              <w:tab/>
            </w:r>
            <w:r w:rsidRPr="00C13B49">
              <w:rPr>
                <w:rStyle w:val="Hyperlink"/>
                <w:rFonts w:cstheme="minorHAnsi"/>
                <w:noProof/>
              </w:rPr>
              <w:t>What policy options are you considering?</w:t>
            </w:r>
            <w:r>
              <w:rPr>
                <w:noProof/>
                <w:webHidden/>
              </w:rPr>
              <w:tab/>
            </w:r>
            <w:r>
              <w:rPr>
                <w:noProof/>
                <w:webHidden/>
              </w:rPr>
              <w:fldChar w:fldCharType="begin"/>
            </w:r>
            <w:r>
              <w:rPr>
                <w:noProof/>
                <w:webHidden/>
              </w:rPr>
              <w:instrText xml:space="preserve"> PAGEREF _Toc86998880 \h </w:instrText>
            </w:r>
            <w:r>
              <w:rPr>
                <w:noProof/>
                <w:webHidden/>
              </w:rPr>
            </w:r>
            <w:r>
              <w:rPr>
                <w:noProof/>
                <w:webHidden/>
              </w:rPr>
              <w:fldChar w:fldCharType="separate"/>
            </w:r>
            <w:r>
              <w:rPr>
                <w:noProof/>
                <w:webHidden/>
              </w:rPr>
              <w:t>4</w:t>
            </w:r>
            <w:r>
              <w:rPr>
                <w:noProof/>
                <w:webHidden/>
              </w:rPr>
              <w:fldChar w:fldCharType="end"/>
            </w:r>
          </w:hyperlink>
        </w:p>
        <w:p w14:paraId="2E986849" w14:textId="786118F5" w:rsidR="00C50DE0" w:rsidRDefault="00C50DE0">
          <w:pPr>
            <w:pStyle w:val="TOC1"/>
            <w:tabs>
              <w:tab w:val="left" w:pos="440"/>
              <w:tab w:val="right" w:leader="dot" w:pos="9016"/>
            </w:tabs>
            <w:rPr>
              <w:rFonts w:eastAsiaTheme="minorEastAsia"/>
              <w:b w:val="0"/>
              <w:noProof/>
              <w:lang w:eastAsia="en-AU"/>
            </w:rPr>
          </w:pPr>
          <w:hyperlink w:anchor="_Toc86998881" w:history="1">
            <w:r w:rsidRPr="00C13B49">
              <w:rPr>
                <w:rStyle w:val="Hyperlink"/>
                <w:rFonts w:cstheme="minorHAnsi"/>
                <w:noProof/>
              </w:rPr>
              <w:t>4.</w:t>
            </w:r>
            <w:r>
              <w:rPr>
                <w:rFonts w:eastAsiaTheme="minorEastAsia"/>
                <w:b w:val="0"/>
                <w:noProof/>
                <w:lang w:eastAsia="en-AU"/>
              </w:rPr>
              <w:tab/>
            </w:r>
            <w:r w:rsidRPr="00C13B49">
              <w:rPr>
                <w:rStyle w:val="Hyperlink"/>
                <w:rFonts w:cstheme="minorHAnsi"/>
                <w:noProof/>
              </w:rPr>
              <w:t>What is the likely net benefit of each option?</w:t>
            </w:r>
            <w:r>
              <w:rPr>
                <w:noProof/>
                <w:webHidden/>
              </w:rPr>
              <w:tab/>
            </w:r>
            <w:r>
              <w:rPr>
                <w:noProof/>
                <w:webHidden/>
              </w:rPr>
              <w:fldChar w:fldCharType="begin"/>
            </w:r>
            <w:r>
              <w:rPr>
                <w:noProof/>
                <w:webHidden/>
              </w:rPr>
              <w:instrText xml:space="preserve"> PAGEREF _Toc86998881 \h </w:instrText>
            </w:r>
            <w:r>
              <w:rPr>
                <w:noProof/>
                <w:webHidden/>
              </w:rPr>
            </w:r>
            <w:r>
              <w:rPr>
                <w:noProof/>
                <w:webHidden/>
              </w:rPr>
              <w:fldChar w:fldCharType="separate"/>
            </w:r>
            <w:r>
              <w:rPr>
                <w:noProof/>
                <w:webHidden/>
              </w:rPr>
              <w:t>5</w:t>
            </w:r>
            <w:r>
              <w:rPr>
                <w:noProof/>
                <w:webHidden/>
              </w:rPr>
              <w:fldChar w:fldCharType="end"/>
            </w:r>
          </w:hyperlink>
        </w:p>
        <w:p w14:paraId="27E571C4" w14:textId="73898C2F" w:rsidR="00C50DE0" w:rsidRDefault="00C50DE0">
          <w:pPr>
            <w:pStyle w:val="TOC1"/>
            <w:tabs>
              <w:tab w:val="left" w:pos="440"/>
              <w:tab w:val="right" w:leader="dot" w:pos="9016"/>
            </w:tabs>
            <w:rPr>
              <w:rFonts w:eastAsiaTheme="minorEastAsia"/>
              <w:b w:val="0"/>
              <w:noProof/>
              <w:lang w:eastAsia="en-AU"/>
            </w:rPr>
          </w:pPr>
          <w:hyperlink w:anchor="_Toc86998882" w:history="1">
            <w:r w:rsidRPr="00C13B49">
              <w:rPr>
                <w:rStyle w:val="Hyperlink"/>
                <w:rFonts w:cstheme="minorHAnsi"/>
                <w:noProof/>
              </w:rPr>
              <w:t>5.</w:t>
            </w:r>
            <w:r>
              <w:rPr>
                <w:rFonts w:eastAsiaTheme="minorEastAsia"/>
                <w:b w:val="0"/>
                <w:noProof/>
                <w:lang w:eastAsia="en-AU"/>
              </w:rPr>
              <w:tab/>
            </w:r>
            <w:r w:rsidRPr="00C13B49">
              <w:rPr>
                <w:rStyle w:val="Hyperlink"/>
                <w:rFonts w:cstheme="minorHAnsi"/>
                <w:noProof/>
              </w:rPr>
              <w:t>Who did you consult and how did you incorporate their feedback?</w:t>
            </w:r>
            <w:r>
              <w:rPr>
                <w:noProof/>
                <w:webHidden/>
              </w:rPr>
              <w:tab/>
            </w:r>
            <w:r>
              <w:rPr>
                <w:noProof/>
                <w:webHidden/>
              </w:rPr>
              <w:fldChar w:fldCharType="begin"/>
            </w:r>
            <w:r>
              <w:rPr>
                <w:noProof/>
                <w:webHidden/>
              </w:rPr>
              <w:instrText xml:space="preserve"> PAGEREF _Toc86998882 \h </w:instrText>
            </w:r>
            <w:r>
              <w:rPr>
                <w:noProof/>
                <w:webHidden/>
              </w:rPr>
            </w:r>
            <w:r>
              <w:rPr>
                <w:noProof/>
                <w:webHidden/>
              </w:rPr>
              <w:fldChar w:fldCharType="separate"/>
            </w:r>
            <w:r>
              <w:rPr>
                <w:noProof/>
                <w:webHidden/>
              </w:rPr>
              <w:t>9</w:t>
            </w:r>
            <w:r>
              <w:rPr>
                <w:noProof/>
                <w:webHidden/>
              </w:rPr>
              <w:fldChar w:fldCharType="end"/>
            </w:r>
          </w:hyperlink>
        </w:p>
        <w:p w14:paraId="284A3D5A" w14:textId="594C1105" w:rsidR="00C50DE0" w:rsidRDefault="00C50DE0">
          <w:pPr>
            <w:pStyle w:val="TOC1"/>
            <w:tabs>
              <w:tab w:val="left" w:pos="440"/>
              <w:tab w:val="right" w:leader="dot" w:pos="9016"/>
            </w:tabs>
            <w:rPr>
              <w:rFonts w:eastAsiaTheme="minorEastAsia"/>
              <w:b w:val="0"/>
              <w:noProof/>
              <w:lang w:eastAsia="en-AU"/>
            </w:rPr>
          </w:pPr>
          <w:hyperlink w:anchor="_Toc86998883" w:history="1">
            <w:r w:rsidRPr="00C13B49">
              <w:rPr>
                <w:rStyle w:val="Hyperlink"/>
                <w:rFonts w:cstheme="minorHAnsi"/>
                <w:noProof/>
              </w:rPr>
              <w:t>6.</w:t>
            </w:r>
            <w:r>
              <w:rPr>
                <w:rFonts w:eastAsiaTheme="minorEastAsia"/>
                <w:b w:val="0"/>
                <w:noProof/>
                <w:lang w:eastAsia="en-AU"/>
              </w:rPr>
              <w:tab/>
            </w:r>
            <w:r w:rsidRPr="00C13B49">
              <w:rPr>
                <w:rStyle w:val="Hyperlink"/>
                <w:rFonts w:cstheme="minorHAnsi"/>
                <w:noProof/>
              </w:rPr>
              <w:t>What is the best option from those you have considered?</w:t>
            </w:r>
            <w:r>
              <w:rPr>
                <w:noProof/>
                <w:webHidden/>
              </w:rPr>
              <w:tab/>
            </w:r>
            <w:r>
              <w:rPr>
                <w:noProof/>
                <w:webHidden/>
              </w:rPr>
              <w:fldChar w:fldCharType="begin"/>
            </w:r>
            <w:r>
              <w:rPr>
                <w:noProof/>
                <w:webHidden/>
              </w:rPr>
              <w:instrText xml:space="preserve"> PAGEREF _Toc86998883 \h </w:instrText>
            </w:r>
            <w:r>
              <w:rPr>
                <w:noProof/>
                <w:webHidden/>
              </w:rPr>
            </w:r>
            <w:r>
              <w:rPr>
                <w:noProof/>
                <w:webHidden/>
              </w:rPr>
              <w:fldChar w:fldCharType="separate"/>
            </w:r>
            <w:r>
              <w:rPr>
                <w:noProof/>
                <w:webHidden/>
              </w:rPr>
              <w:t>10</w:t>
            </w:r>
            <w:r>
              <w:rPr>
                <w:noProof/>
                <w:webHidden/>
              </w:rPr>
              <w:fldChar w:fldCharType="end"/>
            </w:r>
          </w:hyperlink>
        </w:p>
        <w:p w14:paraId="432074AB" w14:textId="78CB4C2D" w:rsidR="00C50DE0" w:rsidRDefault="00C50DE0">
          <w:pPr>
            <w:pStyle w:val="TOC1"/>
            <w:tabs>
              <w:tab w:val="left" w:pos="440"/>
              <w:tab w:val="right" w:leader="dot" w:pos="9016"/>
            </w:tabs>
            <w:rPr>
              <w:rFonts w:eastAsiaTheme="minorEastAsia"/>
              <w:b w:val="0"/>
              <w:noProof/>
              <w:lang w:eastAsia="en-AU"/>
            </w:rPr>
          </w:pPr>
          <w:hyperlink w:anchor="_Toc86998884" w:history="1">
            <w:r w:rsidRPr="00C13B49">
              <w:rPr>
                <w:rStyle w:val="Hyperlink"/>
                <w:rFonts w:cstheme="minorHAnsi"/>
                <w:noProof/>
              </w:rPr>
              <w:t>7.</w:t>
            </w:r>
            <w:r>
              <w:rPr>
                <w:rFonts w:eastAsiaTheme="minorEastAsia"/>
                <w:b w:val="0"/>
                <w:noProof/>
                <w:lang w:eastAsia="en-AU"/>
              </w:rPr>
              <w:tab/>
            </w:r>
            <w:r w:rsidRPr="00C13B49">
              <w:rPr>
                <w:rStyle w:val="Hyperlink"/>
                <w:rFonts w:cstheme="minorHAnsi"/>
                <w:noProof/>
              </w:rPr>
              <w:t>How will you implement and evaluate your chosen option?</w:t>
            </w:r>
            <w:r>
              <w:rPr>
                <w:noProof/>
                <w:webHidden/>
              </w:rPr>
              <w:tab/>
            </w:r>
            <w:r>
              <w:rPr>
                <w:noProof/>
                <w:webHidden/>
              </w:rPr>
              <w:fldChar w:fldCharType="begin"/>
            </w:r>
            <w:r>
              <w:rPr>
                <w:noProof/>
                <w:webHidden/>
              </w:rPr>
              <w:instrText xml:space="preserve"> PAGEREF _Toc86998884 \h </w:instrText>
            </w:r>
            <w:r>
              <w:rPr>
                <w:noProof/>
                <w:webHidden/>
              </w:rPr>
            </w:r>
            <w:r>
              <w:rPr>
                <w:noProof/>
                <w:webHidden/>
              </w:rPr>
              <w:fldChar w:fldCharType="separate"/>
            </w:r>
            <w:r>
              <w:rPr>
                <w:noProof/>
                <w:webHidden/>
              </w:rPr>
              <w:t>11</w:t>
            </w:r>
            <w:r>
              <w:rPr>
                <w:noProof/>
                <w:webHidden/>
              </w:rPr>
              <w:fldChar w:fldCharType="end"/>
            </w:r>
          </w:hyperlink>
        </w:p>
        <w:p w14:paraId="4F28AF31" w14:textId="4CAF65FC" w:rsidR="00C50DE0" w:rsidRDefault="00C50DE0">
          <w:pPr>
            <w:pStyle w:val="TOC1"/>
            <w:tabs>
              <w:tab w:val="right" w:leader="dot" w:pos="9016"/>
            </w:tabs>
            <w:rPr>
              <w:rFonts w:eastAsiaTheme="minorEastAsia"/>
              <w:b w:val="0"/>
              <w:noProof/>
              <w:lang w:eastAsia="en-AU"/>
            </w:rPr>
          </w:pPr>
          <w:hyperlink w:anchor="_Toc86998885" w:history="1">
            <w:r w:rsidRPr="00C13B49">
              <w:rPr>
                <w:rStyle w:val="Hyperlink"/>
                <w:noProof/>
              </w:rPr>
              <w:t>Appendix A – Methodology and assumptions of the regulatory cost</w:t>
            </w:r>
            <w:r>
              <w:rPr>
                <w:noProof/>
                <w:webHidden/>
              </w:rPr>
              <w:tab/>
            </w:r>
            <w:r>
              <w:rPr>
                <w:noProof/>
                <w:webHidden/>
              </w:rPr>
              <w:fldChar w:fldCharType="begin"/>
            </w:r>
            <w:r>
              <w:rPr>
                <w:noProof/>
                <w:webHidden/>
              </w:rPr>
              <w:instrText xml:space="preserve"> PAGEREF _Toc86998885 \h </w:instrText>
            </w:r>
            <w:r>
              <w:rPr>
                <w:noProof/>
                <w:webHidden/>
              </w:rPr>
            </w:r>
            <w:r>
              <w:rPr>
                <w:noProof/>
                <w:webHidden/>
              </w:rPr>
              <w:fldChar w:fldCharType="separate"/>
            </w:r>
            <w:r>
              <w:rPr>
                <w:noProof/>
                <w:webHidden/>
              </w:rPr>
              <w:t>12</w:t>
            </w:r>
            <w:r>
              <w:rPr>
                <w:noProof/>
                <w:webHidden/>
              </w:rPr>
              <w:fldChar w:fldCharType="end"/>
            </w:r>
          </w:hyperlink>
        </w:p>
        <w:p w14:paraId="66D5DA4B" w14:textId="7E575C4B" w:rsidR="00C50DE0" w:rsidRDefault="00C50DE0">
          <w:pPr>
            <w:pStyle w:val="TOC1"/>
            <w:tabs>
              <w:tab w:val="right" w:leader="dot" w:pos="9016"/>
            </w:tabs>
            <w:rPr>
              <w:rFonts w:eastAsiaTheme="minorEastAsia"/>
              <w:b w:val="0"/>
              <w:noProof/>
              <w:lang w:eastAsia="en-AU"/>
            </w:rPr>
          </w:pPr>
          <w:hyperlink w:anchor="_Toc86998886" w:history="1">
            <w:r w:rsidRPr="00C13B49">
              <w:rPr>
                <w:rStyle w:val="Hyperlink"/>
                <w:noProof/>
              </w:rPr>
              <w:t>Appendix B – Status of the RIS at each major decision point</w:t>
            </w:r>
            <w:r>
              <w:rPr>
                <w:noProof/>
                <w:webHidden/>
              </w:rPr>
              <w:tab/>
            </w:r>
            <w:r>
              <w:rPr>
                <w:noProof/>
                <w:webHidden/>
              </w:rPr>
              <w:fldChar w:fldCharType="begin"/>
            </w:r>
            <w:r>
              <w:rPr>
                <w:noProof/>
                <w:webHidden/>
              </w:rPr>
              <w:instrText xml:space="preserve"> PAGEREF _Toc86998886 \h </w:instrText>
            </w:r>
            <w:r>
              <w:rPr>
                <w:noProof/>
                <w:webHidden/>
              </w:rPr>
            </w:r>
            <w:r>
              <w:rPr>
                <w:noProof/>
                <w:webHidden/>
              </w:rPr>
              <w:fldChar w:fldCharType="separate"/>
            </w:r>
            <w:r>
              <w:rPr>
                <w:noProof/>
                <w:webHidden/>
              </w:rPr>
              <w:t>14</w:t>
            </w:r>
            <w:r>
              <w:rPr>
                <w:noProof/>
                <w:webHidden/>
              </w:rPr>
              <w:fldChar w:fldCharType="end"/>
            </w:r>
          </w:hyperlink>
        </w:p>
        <w:p w14:paraId="15FC2DFC" w14:textId="352453E0" w:rsidR="00E551D2" w:rsidRPr="00DB7DAE" w:rsidRDefault="00E551D2">
          <w:pPr>
            <w:rPr>
              <w:rFonts w:cstheme="minorHAnsi"/>
              <w:sz w:val="24"/>
              <w:szCs w:val="24"/>
            </w:rPr>
          </w:pPr>
          <w:r w:rsidRPr="00DB7DAE">
            <w:rPr>
              <w:rFonts w:cstheme="minorHAnsi"/>
              <w:b/>
              <w:bCs/>
              <w:noProof/>
              <w:sz w:val="24"/>
              <w:szCs w:val="24"/>
            </w:rPr>
            <w:fldChar w:fldCharType="end"/>
          </w:r>
        </w:p>
      </w:sdtContent>
    </w:sdt>
    <w:p w14:paraId="067CE4B5" w14:textId="77777777" w:rsidR="00D94EE3" w:rsidRPr="00DB7DAE" w:rsidRDefault="00D94EE3" w:rsidP="00D94EE3">
      <w:pPr>
        <w:rPr>
          <w:rFonts w:cstheme="minorHAnsi"/>
          <w:sz w:val="24"/>
          <w:szCs w:val="24"/>
        </w:rPr>
      </w:pPr>
    </w:p>
    <w:p w14:paraId="005EA429" w14:textId="77777777" w:rsidR="00D94EE3" w:rsidRPr="00DB7DAE" w:rsidRDefault="00D94EE3" w:rsidP="00D94EE3">
      <w:pPr>
        <w:rPr>
          <w:rFonts w:cstheme="minorHAnsi"/>
          <w:sz w:val="24"/>
          <w:szCs w:val="24"/>
        </w:rPr>
        <w:sectPr w:rsidR="00D94EE3" w:rsidRPr="00DB7DAE" w:rsidSect="00E8581B">
          <w:pgSz w:w="11906" w:h="16838"/>
          <w:pgMar w:top="1440" w:right="1440" w:bottom="1440" w:left="1440" w:header="708" w:footer="708" w:gutter="0"/>
          <w:cols w:space="708"/>
          <w:docGrid w:linePitch="360"/>
        </w:sectPr>
      </w:pPr>
    </w:p>
    <w:p w14:paraId="49CC7968" w14:textId="77777777" w:rsidR="00EA5697" w:rsidRPr="00DB7DAE" w:rsidRDefault="00EA5697" w:rsidP="00EA5697">
      <w:pPr>
        <w:pStyle w:val="Heading1"/>
        <w:rPr>
          <w:rFonts w:asciiTheme="minorHAnsi" w:hAnsiTheme="minorHAnsi" w:cstheme="minorHAnsi"/>
          <w:sz w:val="24"/>
          <w:szCs w:val="24"/>
        </w:rPr>
      </w:pPr>
      <w:bookmarkStart w:id="0" w:name="_Toc86998877"/>
      <w:r w:rsidRPr="00DB7DAE">
        <w:rPr>
          <w:rFonts w:asciiTheme="minorHAnsi" w:hAnsiTheme="minorHAnsi" w:cstheme="minorHAnsi"/>
          <w:sz w:val="24"/>
          <w:szCs w:val="24"/>
        </w:rPr>
        <w:lastRenderedPageBreak/>
        <w:t>Background</w:t>
      </w:r>
      <w:bookmarkEnd w:id="0"/>
    </w:p>
    <w:p w14:paraId="5D14CDD3" w14:textId="28F78A17" w:rsidR="00DC4C41" w:rsidRPr="00DB7DAE" w:rsidRDefault="00DC4C41" w:rsidP="00DC4C41">
      <w:pPr>
        <w:tabs>
          <w:tab w:val="left" w:pos="567"/>
        </w:tabs>
        <w:spacing w:before="120" w:after="120"/>
        <w:rPr>
          <w:rFonts w:eastAsia="Calibri" w:cstheme="minorHAnsi"/>
          <w:i/>
          <w:iCs/>
          <w:color w:val="4F81BD" w:themeColor="accent1"/>
          <w:sz w:val="24"/>
          <w:szCs w:val="24"/>
        </w:rPr>
      </w:pPr>
      <w:r w:rsidRPr="00DB7DAE">
        <w:rPr>
          <w:rFonts w:eastAsia="Calibri" w:cstheme="minorHAnsi"/>
          <w:i/>
          <w:iCs/>
          <w:color w:val="4F81BD" w:themeColor="accent1"/>
          <w:sz w:val="24"/>
          <w:szCs w:val="24"/>
        </w:rPr>
        <w:t xml:space="preserve">The </w:t>
      </w:r>
      <w:r w:rsidR="001047C9" w:rsidRPr="00DB7DAE">
        <w:rPr>
          <w:rFonts w:eastAsia="Calibri" w:cstheme="minorHAnsi"/>
          <w:i/>
          <w:iCs/>
          <w:color w:val="4F81BD" w:themeColor="accent1"/>
          <w:sz w:val="24"/>
          <w:szCs w:val="24"/>
        </w:rPr>
        <w:t>importance of s</w:t>
      </w:r>
      <w:r w:rsidRPr="00DB7DAE">
        <w:rPr>
          <w:rFonts w:eastAsia="Calibri" w:cstheme="minorHAnsi"/>
          <w:i/>
          <w:iCs/>
          <w:color w:val="4F81BD" w:themeColor="accent1"/>
          <w:sz w:val="24"/>
          <w:szCs w:val="24"/>
        </w:rPr>
        <w:t xml:space="preserve">uperannuation </w:t>
      </w:r>
    </w:p>
    <w:p w14:paraId="15164F42" w14:textId="2D3F9DF2" w:rsidR="00E33401" w:rsidRPr="00DB7DAE" w:rsidRDefault="006E0763" w:rsidP="00E33401">
      <w:pPr>
        <w:autoSpaceDE w:val="0"/>
        <w:autoSpaceDN w:val="0"/>
        <w:adjustRightInd w:val="0"/>
        <w:spacing w:after="0"/>
        <w:rPr>
          <w:rFonts w:eastAsia="Calibri" w:cstheme="minorHAnsi"/>
          <w:sz w:val="24"/>
          <w:szCs w:val="24"/>
        </w:rPr>
      </w:pPr>
      <w:r w:rsidRPr="00DB7DAE">
        <w:rPr>
          <w:rFonts w:cstheme="minorHAnsi"/>
          <w:sz w:val="24"/>
          <w:szCs w:val="24"/>
        </w:rPr>
        <w:t>Superannuation is an important sector of the financial system and a major pillar of Australia’s</w:t>
      </w:r>
      <w:r w:rsidR="00C001AB" w:rsidRPr="00DB7DAE">
        <w:rPr>
          <w:rFonts w:cstheme="minorHAnsi"/>
          <w:sz w:val="24"/>
          <w:szCs w:val="24"/>
        </w:rPr>
        <w:t xml:space="preserve"> </w:t>
      </w:r>
      <w:r w:rsidRPr="00DB7DAE">
        <w:rPr>
          <w:rFonts w:cstheme="minorHAnsi"/>
          <w:sz w:val="24"/>
          <w:szCs w:val="24"/>
        </w:rPr>
        <w:t>retirement income system.</w:t>
      </w:r>
      <w:r w:rsidR="00E33401" w:rsidRPr="00DB7DAE">
        <w:rPr>
          <w:rFonts w:cstheme="minorHAnsi"/>
          <w:sz w:val="24"/>
          <w:szCs w:val="24"/>
        </w:rPr>
        <w:t xml:space="preserve"> A</w:t>
      </w:r>
      <w:r w:rsidRPr="00DB7DAE">
        <w:rPr>
          <w:rFonts w:cstheme="minorHAnsi"/>
          <w:sz w:val="24"/>
          <w:szCs w:val="24"/>
        </w:rPr>
        <w:t xml:space="preserve">s the second-largest </w:t>
      </w:r>
      <w:r w:rsidRPr="00DB7DAE">
        <w:rPr>
          <w:rFonts w:eastAsia="Calibri" w:cstheme="minorHAnsi"/>
          <w:sz w:val="24"/>
          <w:szCs w:val="24"/>
        </w:rPr>
        <w:t>savings vehicle (</w:t>
      </w:r>
      <w:r w:rsidRPr="005835BE">
        <w:rPr>
          <w:rFonts w:eastAsia="Calibri" w:cstheme="minorHAnsi"/>
          <w:sz w:val="24"/>
          <w:szCs w:val="24"/>
        </w:rPr>
        <w:t>18</w:t>
      </w:r>
      <w:r w:rsidR="005E2EA9" w:rsidRPr="005835BE">
        <w:rPr>
          <w:rFonts w:eastAsia="Calibri" w:cstheme="minorHAnsi"/>
          <w:sz w:val="24"/>
          <w:szCs w:val="24"/>
        </w:rPr>
        <w:t xml:space="preserve"> per cent</w:t>
      </w:r>
      <w:r w:rsidRPr="00DB7DAE">
        <w:rPr>
          <w:rFonts w:eastAsia="Calibri" w:cstheme="minorHAnsi"/>
          <w:sz w:val="24"/>
          <w:szCs w:val="24"/>
        </w:rPr>
        <w:t xml:space="preserve"> of assets held by Australian households) after owner occupied housing</w:t>
      </w:r>
      <w:r w:rsidRPr="00DB7DAE">
        <w:rPr>
          <w:rStyle w:val="FootnoteReference"/>
          <w:rFonts w:eastAsia="Calibri" w:cstheme="minorHAnsi"/>
          <w:sz w:val="24"/>
          <w:szCs w:val="24"/>
        </w:rPr>
        <w:footnoteReference w:id="2"/>
      </w:r>
      <w:r w:rsidRPr="00DB7DAE">
        <w:rPr>
          <w:rFonts w:eastAsia="Calibri" w:cstheme="minorHAnsi"/>
          <w:sz w:val="24"/>
          <w:szCs w:val="24"/>
        </w:rPr>
        <w:t>,</w:t>
      </w:r>
      <w:r w:rsidRPr="00DB7DAE">
        <w:rPr>
          <w:rFonts w:cstheme="minorHAnsi"/>
          <w:sz w:val="24"/>
          <w:szCs w:val="24"/>
        </w:rPr>
        <w:t xml:space="preserve"> superannuation provides a significant and growing</w:t>
      </w:r>
      <w:r w:rsidR="00E33401" w:rsidRPr="00DB7DAE">
        <w:rPr>
          <w:rFonts w:cstheme="minorHAnsi"/>
          <w:sz w:val="24"/>
          <w:szCs w:val="24"/>
        </w:rPr>
        <w:t xml:space="preserve"> </w:t>
      </w:r>
      <w:r w:rsidRPr="00DB7DAE">
        <w:rPr>
          <w:rFonts w:cstheme="minorHAnsi"/>
          <w:sz w:val="24"/>
          <w:szCs w:val="24"/>
        </w:rPr>
        <w:t>source of funding for the economy and long-term capital formation. Superannuation’s large pool of</w:t>
      </w:r>
      <w:r w:rsidR="00E33401" w:rsidRPr="00DB7DAE">
        <w:rPr>
          <w:rFonts w:cstheme="minorHAnsi"/>
          <w:sz w:val="24"/>
          <w:szCs w:val="24"/>
        </w:rPr>
        <w:t xml:space="preserve"> </w:t>
      </w:r>
      <w:r w:rsidRPr="00DB7DAE">
        <w:rPr>
          <w:rFonts w:cstheme="minorHAnsi"/>
          <w:sz w:val="24"/>
          <w:szCs w:val="24"/>
        </w:rPr>
        <w:t>relatively stable and unleveraged assets adds depth and liquidity to financial markets and contributes positively</w:t>
      </w:r>
      <w:r w:rsidR="008E48CF" w:rsidRPr="00DB7DAE">
        <w:rPr>
          <w:rFonts w:cstheme="minorHAnsi"/>
          <w:sz w:val="24"/>
          <w:szCs w:val="24"/>
        </w:rPr>
        <w:t xml:space="preserve"> to financial system stability.</w:t>
      </w:r>
      <w:r w:rsidR="008E48CF" w:rsidRPr="00DB7DAE">
        <w:rPr>
          <w:rStyle w:val="FootnoteReference"/>
          <w:rFonts w:cstheme="minorHAnsi"/>
          <w:sz w:val="24"/>
          <w:szCs w:val="24"/>
        </w:rPr>
        <w:footnoteReference w:id="3"/>
      </w:r>
      <w:r w:rsidR="008E48CF" w:rsidRPr="00DB7DAE">
        <w:rPr>
          <w:rFonts w:cstheme="minorHAnsi"/>
          <w:sz w:val="24"/>
          <w:szCs w:val="24"/>
        </w:rPr>
        <w:t xml:space="preserve"> </w:t>
      </w:r>
      <w:r w:rsidRPr="00DB7DAE">
        <w:rPr>
          <w:rFonts w:cstheme="minorHAnsi"/>
          <w:sz w:val="24"/>
          <w:szCs w:val="24"/>
        </w:rPr>
        <w:t xml:space="preserve"> </w:t>
      </w:r>
      <w:r w:rsidRPr="005835BE">
        <w:rPr>
          <w:rFonts w:cstheme="minorHAnsi"/>
          <w:sz w:val="24"/>
          <w:szCs w:val="24"/>
        </w:rPr>
        <w:t xml:space="preserve">Superannuation assets total </w:t>
      </w:r>
      <w:r w:rsidRPr="005835BE">
        <w:rPr>
          <w:rFonts w:eastAsia="Calibri" w:cstheme="minorHAnsi"/>
          <w:sz w:val="24"/>
          <w:szCs w:val="24"/>
        </w:rPr>
        <w:t>$3.</w:t>
      </w:r>
      <w:r w:rsidR="005835BE" w:rsidRPr="005835BE">
        <w:rPr>
          <w:rFonts w:eastAsia="Calibri" w:cstheme="minorHAnsi"/>
          <w:sz w:val="24"/>
          <w:szCs w:val="24"/>
        </w:rPr>
        <w:t>3</w:t>
      </w:r>
      <w:r w:rsidRPr="005835BE">
        <w:rPr>
          <w:rFonts w:eastAsia="Calibri" w:cstheme="minorHAnsi"/>
          <w:sz w:val="24"/>
          <w:szCs w:val="24"/>
        </w:rPr>
        <w:t xml:space="preserve"> trillion</w:t>
      </w:r>
      <w:r w:rsidR="00543590">
        <w:rPr>
          <w:rFonts w:eastAsia="Calibri" w:cstheme="minorHAnsi"/>
          <w:sz w:val="24"/>
          <w:szCs w:val="24"/>
        </w:rPr>
        <w:t xml:space="preserve"> as a 30 June 2021</w:t>
      </w:r>
      <w:r w:rsidRPr="005835BE">
        <w:rPr>
          <w:rFonts w:eastAsia="Calibri" w:cstheme="minorHAnsi"/>
          <w:sz w:val="24"/>
          <w:szCs w:val="24"/>
          <w:vertAlign w:val="superscript"/>
        </w:rPr>
        <w:footnoteReference w:id="4"/>
      </w:r>
      <w:r w:rsidRPr="005835BE">
        <w:rPr>
          <w:rFonts w:eastAsia="Calibri" w:cstheme="minorHAnsi"/>
          <w:sz w:val="24"/>
          <w:szCs w:val="24"/>
        </w:rPr>
        <w:t>.</w:t>
      </w:r>
      <w:r w:rsidR="00E33401" w:rsidRPr="00DB7DAE">
        <w:rPr>
          <w:rFonts w:eastAsia="Calibri" w:cstheme="minorHAnsi"/>
          <w:sz w:val="24"/>
          <w:szCs w:val="24"/>
        </w:rPr>
        <w:t xml:space="preserve"> </w:t>
      </w:r>
    </w:p>
    <w:p w14:paraId="4581AD9C" w14:textId="3F99E4DF" w:rsidR="00DC4C41" w:rsidRPr="00DB7DAE" w:rsidRDefault="00DC4C41" w:rsidP="00E33401">
      <w:pPr>
        <w:autoSpaceDE w:val="0"/>
        <w:autoSpaceDN w:val="0"/>
        <w:adjustRightInd w:val="0"/>
        <w:spacing w:before="120" w:after="120"/>
        <w:rPr>
          <w:rFonts w:eastAsia="Calibri" w:cstheme="minorHAnsi"/>
          <w:sz w:val="24"/>
          <w:szCs w:val="24"/>
        </w:rPr>
      </w:pPr>
      <w:r w:rsidRPr="00DB7DAE">
        <w:rPr>
          <w:rFonts w:eastAsia="Calibri" w:cstheme="minorHAnsi"/>
          <w:sz w:val="24"/>
          <w:szCs w:val="24"/>
        </w:rPr>
        <w:t>The Australian Prudential Regulation Authority (APRA) has prudential oversight of the superannuation system</w:t>
      </w:r>
      <w:r w:rsidR="001A5D9E" w:rsidRPr="00DB7DAE">
        <w:rPr>
          <w:rFonts w:eastAsia="Calibri" w:cstheme="minorHAnsi"/>
          <w:sz w:val="24"/>
          <w:szCs w:val="24"/>
        </w:rPr>
        <w:t xml:space="preserve"> and is generally responsible for member outcomes. It is also generally responsible for licensing and supervision of registrable superannuation entity (RSE) licensees. The Australian Securities and Investments Commission (ASIC) is generally responsible for protecting consumers from harm, market integrity, disclosure and record keeping. The Commissioner of Taxation is generally responsible for self-managed superannuation funds, data and payment standards, tax file numbers and the compassionate release of superannuation amounts.</w:t>
      </w:r>
      <w:r w:rsidR="00C001AB" w:rsidRPr="00DB7DAE">
        <w:rPr>
          <w:rFonts w:eastAsia="Calibri" w:cstheme="minorHAnsi"/>
          <w:sz w:val="24"/>
          <w:szCs w:val="24"/>
        </w:rPr>
        <w:t xml:space="preserve"> </w:t>
      </w:r>
      <w:r w:rsidRPr="00DB7DAE">
        <w:rPr>
          <w:rFonts w:eastAsia="Calibri" w:cstheme="minorHAnsi"/>
          <w:sz w:val="24"/>
          <w:szCs w:val="24"/>
        </w:rPr>
        <w:t xml:space="preserve">Superannuation funds are generally regulated by both the </w:t>
      </w:r>
      <w:r w:rsidRPr="00DB7DAE">
        <w:rPr>
          <w:rFonts w:eastAsia="Calibri" w:cstheme="minorHAnsi"/>
          <w:i/>
          <w:sz w:val="24"/>
          <w:szCs w:val="24"/>
        </w:rPr>
        <w:t>Superannuation Industry (Supervision) Act 1993</w:t>
      </w:r>
      <w:r w:rsidRPr="00DB7DAE">
        <w:rPr>
          <w:rFonts w:eastAsia="Calibri" w:cstheme="minorHAnsi"/>
          <w:sz w:val="24"/>
          <w:szCs w:val="24"/>
        </w:rPr>
        <w:t xml:space="preserve"> (SIS Act) and the </w:t>
      </w:r>
      <w:r w:rsidRPr="00DB7DAE">
        <w:rPr>
          <w:rFonts w:eastAsia="Calibri" w:cstheme="minorHAnsi"/>
          <w:i/>
          <w:sz w:val="24"/>
          <w:szCs w:val="24"/>
        </w:rPr>
        <w:t>Corporations Act 2001</w:t>
      </w:r>
      <w:r w:rsidRPr="00DB7DAE">
        <w:rPr>
          <w:rFonts w:eastAsia="Calibri" w:cstheme="minorHAnsi"/>
          <w:sz w:val="24"/>
          <w:szCs w:val="24"/>
        </w:rPr>
        <w:t xml:space="preserve"> (Corporations Act) and related regulations, along with </w:t>
      </w:r>
      <w:r w:rsidR="00543590">
        <w:rPr>
          <w:rFonts w:eastAsia="Calibri" w:cstheme="minorHAnsi"/>
          <w:sz w:val="24"/>
          <w:szCs w:val="24"/>
        </w:rPr>
        <w:t xml:space="preserve">instruments issued by either </w:t>
      </w:r>
      <w:r w:rsidRPr="00DB7DAE">
        <w:rPr>
          <w:rFonts w:eastAsia="Calibri" w:cstheme="minorHAnsi"/>
          <w:sz w:val="24"/>
          <w:szCs w:val="24"/>
        </w:rPr>
        <w:t xml:space="preserve">APRA </w:t>
      </w:r>
      <w:r w:rsidR="00543590">
        <w:rPr>
          <w:rFonts w:eastAsia="Calibri" w:cstheme="minorHAnsi"/>
          <w:sz w:val="24"/>
          <w:szCs w:val="24"/>
        </w:rPr>
        <w:t>or ASIC</w:t>
      </w:r>
      <w:r w:rsidRPr="00DB7DAE">
        <w:rPr>
          <w:rFonts w:eastAsia="Calibri" w:cstheme="minorHAnsi"/>
          <w:sz w:val="24"/>
          <w:szCs w:val="24"/>
        </w:rPr>
        <w:t>. The Australian Taxation Office (ATO) also plays a role in the administration of self</w:t>
      </w:r>
      <w:r w:rsidRPr="00DB7DAE">
        <w:rPr>
          <w:rFonts w:eastAsia="Calibri" w:cstheme="minorHAnsi"/>
          <w:sz w:val="24"/>
          <w:szCs w:val="24"/>
        </w:rPr>
        <w:noBreakHyphen/>
        <w:t>managed superannuation fun</w:t>
      </w:r>
      <w:r w:rsidR="002D0905">
        <w:rPr>
          <w:rFonts w:eastAsia="Calibri" w:cstheme="minorHAnsi"/>
          <w:sz w:val="24"/>
          <w:szCs w:val="24"/>
        </w:rPr>
        <w:t>d</w:t>
      </w:r>
      <w:r w:rsidRPr="00DB7DAE">
        <w:rPr>
          <w:rFonts w:eastAsia="Calibri" w:cstheme="minorHAnsi"/>
          <w:sz w:val="24"/>
          <w:szCs w:val="24"/>
        </w:rPr>
        <w:t>s.</w:t>
      </w:r>
    </w:p>
    <w:p w14:paraId="07A7209B" w14:textId="77777777" w:rsidR="00261DC9" w:rsidRPr="00DB7DAE" w:rsidRDefault="00DB710B" w:rsidP="00261DC9">
      <w:pPr>
        <w:tabs>
          <w:tab w:val="left" w:pos="567"/>
        </w:tabs>
        <w:spacing w:before="120" w:after="120"/>
        <w:rPr>
          <w:rFonts w:eastAsia="Calibri" w:cstheme="minorHAnsi"/>
          <w:sz w:val="24"/>
          <w:szCs w:val="24"/>
        </w:rPr>
      </w:pPr>
      <w:r>
        <w:rPr>
          <w:rFonts w:eastAsia="Calibri" w:cstheme="minorHAnsi"/>
          <w:sz w:val="24"/>
          <w:szCs w:val="24"/>
        </w:rPr>
        <w:t>T</w:t>
      </w:r>
      <w:r w:rsidR="00DC4C41" w:rsidRPr="00DB7DAE">
        <w:rPr>
          <w:rFonts w:eastAsia="Calibri" w:cstheme="minorHAnsi"/>
          <w:sz w:val="24"/>
          <w:szCs w:val="24"/>
        </w:rPr>
        <w:t xml:space="preserve">he </w:t>
      </w:r>
      <w:r w:rsidR="00DC4C41" w:rsidRPr="00DB7DAE">
        <w:rPr>
          <w:rFonts w:eastAsia="Calibri" w:cstheme="minorHAnsi"/>
          <w:i/>
          <w:sz w:val="24"/>
          <w:szCs w:val="24"/>
        </w:rPr>
        <w:t>Superannuation Guarantee (Administration) Act 1992</w:t>
      </w:r>
      <w:r w:rsidR="00DC4C41" w:rsidRPr="00DB7DAE">
        <w:rPr>
          <w:rFonts w:eastAsia="Calibri" w:cstheme="minorHAnsi"/>
          <w:sz w:val="24"/>
          <w:szCs w:val="24"/>
        </w:rPr>
        <w:t xml:space="preserve"> requires employers to pay </w:t>
      </w:r>
      <w:r>
        <w:rPr>
          <w:rFonts w:eastAsia="Calibri" w:cstheme="minorHAnsi"/>
          <w:sz w:val="24"/>
          <w:szCs w:val="24"/>
        </w:rPr>
        <w:t>10</w:t>
      </w:r>
      <w:r w:rsidR="00DC4C41" w:rsidRPr="00DB7DAE">
        <w:rPr>
          <w:rFonts w:eastAsia="Calibri" w:cstheme="minorHAnsi"/>
          <w:sz w:val="24"/>
          <w:szCs w:val="24"/>
        </w:rPr>
        <w:t xml:space="preserve"> per cent of an employee’s salary into superannuation, with some exceptions. Most employees can choose a superannuation fund into which these compulsory contributions are made. </w:t>
      </w:r>
      <w:r w:rsidR="00261DC9" w:rsidRPr="00DB7DAE">
        <w:rPr>
          <w:rFonts w:eastAsia="Calibri" w:cstheme="minorHAnsi"/>
          <w:sz w:val="24"/>
          <w:szCs w:val="24"/>
        </w:rPr>
        <w:t xml:space="preserve">Generally, employees who do not choose a superannuation product are defaulted into a fund, chosen by their employer, which offers a standardised product called a </w:t>
      </w:r>
      <w:proofErr w:type="spellStart"/>
      <w:r w:rsidR="00261DC9" w:rsidRPr="00DB7DAE">
        <w:rPr>
          <w:rFonts w:eastAsia="Calibri" w:cstheme="minorHAnsi"/>
          <w:sz w:val="24"/>
          <w:szCs w:val="24"/>
        </w:rPr>
        <w:t>MySuper</w:t>
      </w:r>
      <w:proofErr w:type="spellEnd"/>
      <w:r w:rsidR="00261DC9" w:rsidRPr="00DB7DAE">
        <w:rPr>
          <w:rFonts w:eastAsia="Calibri" w:cstheme="minorHAnsi"/>
          <w:sz w:val="24"/>
          <w:szCs w:val="24"/>
        </w:rPr>
        <w:t xml:space="preserve"> product. </w:t>
      </w:r>
    </w:p>
    <w:p w14:paraId="5093D179" w14:textId="7A46AA08" w:rsidR="00DC4C41" w:rsidRPr="00DB7DAE" w:rsidRDefault="00DC4C41" w:rsidP="00DC4C41">
      <w:pPr>
        <w:tabs>
          <w:tab w:val="left" w:pos="567"/>
        </w:tabs>
        <w:spacing w:before="120" w:after="120"/>
        <w:rPr>
          <w:rFonts w:eastAsia="Calibri" w:cstheme="minorHAnsi"/>
          <w:i/>
          <w:iCs/>
          <w:color w:val="4F81BD" w:themeColor="accent1"/>
          <w:sz w:val="24"/>
          <w:szCs w:val="24"/>
        </w:rPr>
      </w:pPr>
      <w:r w:rsidRPr="00DB7DAE">
        <w:rPr>
          <w:rFonts w:eastAsia="Calibri" w:cstheme="minorHAnsi"/>
          <w:i/>
          <w:iCs/>
          <w:color w:val="4F81BD" w:themeColor="accent1"/>
          <w:sz w:val="24"/>
          <w:szCs w:val="24"/>
        </w:rPr>
        <w:t>The Super System Review (Cooper Review)</w:t>
      </w:r>
      <w:r w:rsidR="003C2C05" w:rsidRPr="00DB7DAE">
        <w:rPr>
          <w:rFonts w:eastAsia="Calibri" w:cstheme="minorHAnsi"/>
          <w:i/>
          <w:iCs/>
          <w:color w:val="4F81BD" w:themeColor="accent1"/>
          <w:sz w:val="24"/>
          <w:szCs w:val="24"/>
        </w:rPr>
        <w:t xml:space="preserve"> and Stronger Super</w:t>
      </w:r>
    </w:p>
    <w:p w14:paraId="100F9F8E" w14:textId="3772BB83" w:rsidR="00A97A61" w:rsidRPr="00DB7DAE" w:rsidRDefault="00A97A61" w:rsidP="00DC4C41">
      <w:pPr>
        <w:tabs>
          <w:tab w:val="left" w:pos="567"/>
        </w:tabs>
        <w:spacing w:before="120" w:after="120"/>
        <w:rPr>
          <w:rFonts w:eastAsia="Calibri" w:cstheme="minorHAnsi"/>
          <w:sz w:val="24"/>
          <w:szCs w:val="24"/>
        </w:rPr>
      </w:pPr>
      <w:r w:rsidRPr="00DB7DAE">
        <w:rPr>
          <w:rFonts w:cstheme="minorHAnsi"/>
          <w:sz w:val="24"/>
          <w:szCs w:val="24"/>
        </w:rPr>
        <w:t xml:space="preserve">In May 2009, </w:t>
      </w:r>
      <w:r w:rsidRPr="00DB7DAE">
        <w:rPr>
          <w:rFonts w:eastAsia="Calibri" w:cstheme="minorHAnsi"/>
          <w:sz w:val="24"/>
          <w:szCs w:val="24"/>
        </w:rPr>
        <w:t xml:space="preserve">a review was commissioned by the </w:t>
      </w:r>
      <w:r w:rsidR="004F31EF">
        <w:rPr>
          <w:rFonts w:eastAsia="Calibri" w:cstheme="minorHAnsi"/>
          <w:sz w:val="24"/>
          <w:szCs w:val="24"/>
        </w:rPr>
        <w:t>then</w:t>
      </w:r>
      <w:r w:rsidRPr="00DB7DAE">
        <w:rPr>
          <w:rFonts w:eastAsia="Calibri" w:cstheme="minorHAnsi"/>
          <w:sz w:val="24"/>
          <w:szCs w:val="24"/>
        </w:rPr>
        <w:t xml:space="preserve"> </w:t>
      </w:r>
      <w:r w:rsidR="000F1FD4">
        <w:rPr>
          <w:rFonts w:eastAsia="Calibri" w:cstheme="minorHAnsi"/>
          <w:sz w:val="24"/>
          <w:szCs w:val="24"/>
        </w:rPr>
        <w:t>G</w:t>
      </w:r>
      <w:r w:rsidRPr="00DB7DAE">
        <w:rPr>
          <w:rFonts w:eastAsia="Calibri" w:cstheme="minorHAnsi"/>
          <w:sz w:val="24"/>
          <w:szCs w:val="24"/>
        </w:rPr>
        <w:t xml:space="preserve">overnment to examine and analyse the governance, efficiency, </w:t>
      </w:r>
      <w:r w:rsidR="003B4476" w:rsidRPr="00DB7DAE">
        <w:rPr>
          <w:rFonts w:eastAsia="Calibri" w:cstheme="minorHAnsi"/>
          <w:sz w:val="24"/>
          <w:szCs w:val="24"/>
        </w:rPr>
        <w:t>structure,</w:t>
      </w:r>
      <w:r w:rsidRPr="00DB7DAE">
        <w:rPr>
          <w:rFonts w:eastAsia="Calibri" w:cstheme="minorHAnsi"/>
          <w:sz w:val="24"/>
          <w:szCs w:val="24"/>
        </w:rPr>
        <w:t xml:space="preserve"> and operation of Australia's superannuation system, led by Jeremy Cooper (the Cooper Review). </w:t>
      </w:r>
      <w:r w:rsidRPr="00DB7DAE">
        <w:rPr>
          <w:rFonts w:cstheme="minorHAnsi"/>
          <w:sz w:val="24"/>
          <w:szCs w:val="24"/>
        </w:rPr>
        <w:t>The</w:t>
      </w:r>
      <w:r w:rsidR="009574F8">
        <w:rPr>
          <w:rFonts w:cstheme="minorHAnsi"/>
          <w:sz w:val="24"/>
          <w:szCs w:val="24"/>
        </w:rPr>
        <w:t xml:space="preserve"> Cooper</w:t>
      </w:r>
      <w:r w:rsidRPr="00DB7DAE">
        <w:rPr>
          <w:rFonts w:cstheme="minorHAnsi"/>
          <w:sz w:val="24"/>
          <w:szCs w:val="24"/>
        </w:rPr>
        <w:t xml:space="preserve"> Review provided an opportunity to take stock of the superannuation system </w:t>
      </w:r>
      <w:r w:rsidR="001E645B">
        <w:rPr>
          <w:rFonts w:cstheme="minorHAnsi"/>
          <w:sz w:val="24"/>
          <w:szCs w:val="24"/>
        </w:rPr>
        <w:t xml:space="preserve">considering </w:t>
      </w:r>
      <w:r w:rsidRPr="00DB7DAE">
        <w:rPr>
          <w:rFonts w:cstheme="minorHAnsi"/>
          <w:sz w:val="24"/>
          <w:szCs w:val="24"/>
        </w:rPr>
        <w:t xml:space="preserve">how it might develop as the system matures. Whilst the </w:t>
      </w:r>
      <w:r w:rsidR="009574F8">
        <w:rPr>
          <w:rFonts w:cstheme="minorHAnsi"/>
          <w:sz w:val="24"/>
          <w:szCs w:val="24"/>
        </w:rPr>
        <w:t>Cooper</w:t>
      </w:r>
      <w:r w:rsidRPr="00DB7DAE">
        <w:rPr>
          <w:rFonts w:cstheme="minorHAnsi"/>
          <w:sz w:val="24"/>
          <w:szCs w:val="24"/>
        </w:rPr>
        <w:t xml:space="preserve"> Review concluded that the broad architecture of the system was appropriate, it recommended significant changes to enhance member outcomes and increase the efficiency, </w:t>
      </w:r>
      <w:r w:rsidR="003B4476" w:rsidRPr="00DB7DAE">
        <w:rPr>
          <w:rFonts w:cstheme="minorHAnsi"/>
          <w:sz w:val="24"/>
          <w:szCs w:val="24"/>
        </w:rPr>
        <w:t>governance,</w:t>
      </w:r>
      <w:r w:rsidRPr="00DB7DAE">
        <w:rPr>
          <w:rFonts w:cstheme="minorHAnsi"/>
          <w:sz w:val="24"/>
          <w:szCs w:val="24"/>
        </w:rPr>
        <w:t xml:space="preserve"> and transparency of the system.</w:t>
      </w:r>
    </w:p>
    <w:p w14:paraId="435F79F0" w14:textId="14AE0931" w:rsidR="00052A12" w:rsidRPr="00DB7DAE" w:rsidRDefault="00DC4C41" w:rsidP="00DC4C41">
      <w:pPr>
        <w:tabs>
          <w:tab w:val="left" w:pos="567"/>
        </w:tabs>
        <w:spacing w:before="120" w:after="120"/>
        <w:rPr>
          <w:rFonts w:eastAsia="Calibri" w:cstheme="minorHAnsi"/>
          <w:sz w:val="24"/>
          <w:szCs w:val="24"/>
        </w:rPr>
      </w:pPr>
      <w:r w:rsidRPr="00DB7DAE">
        <w:rPr>
          <w:rFonts w:eastAsia="Calibri" w:cstheme="minorHAnsi"/>
          <w:sz w:val="24"/>
          <w:szCs w:val="24"/>
        </w:rPr>
        <w:t xml:space="preserve">The recommendations of the Cooper Review were handed to </w:t>
      </w:r>
      <w:r w:rsidR="0046477A">
        <w:rPr>
          <w:rFonts w:eastAsia="Calibri" w:cstheme="minorHAnsi"/>
          <w:sz w:val="24"/>
          <w:szCs w:val="24"/>
        </w:rPr>
        <w:t>G</w:t>
      </w:r>
      <w:r w:rsidRPr="00DB7DAE">
        <w:rPr>
          <w:rFonts w:eastAsia="Calibri" w:cstheme="minorHAnsi"/>
          <w:sz w:val="24"/>
          <w:szCs w:val="24"/>
        </w:rPr>
        <w:t>overnment in 2010 and formed the basis for the Stronger Super reforms, which were targeted at the superannuation industry. The Cooper Review made recommendations aimed at improving the superannuation system’s focus on operating in members’ best interests</w:t>
      </w:r>
      <w:r w:rsidR="008F2776" w:rsidRPr="00DB7DAE">
        <w:rPr>
          <w:rFonts w:eastAsia="Calibri" w:cstheme="minorHAnsi"/>
          <w:sz w:val="24"/>
          <w:szCs w:val="24"/>
        </w:rPr>
        <w:t xml:space="preserve">, leading to </w:t>
      </w:r>
      <w:r w:rsidRPr="00DB7DAE">
        <w:rPr>
          <w:rFonts w:eastAsia="Calibri" w:cstheme="minorHAnsi"/>
          <w:sz w:val="24"/>
          <w:szCs w:val="24"/>
        </w:rPr>
        <w:t>a series of reforms to the regulatory framework for superannuation funds.</w:t>
      </w:r>
      <w:r w:rsidR="008F2776" w:rsidRPr="00DB7DAE">
        <w:rPr>
          <w:rFonts w:eastAsia="Calibri" w:cstheme="minorHAnsi"/>
          <w:sz w:val="24"/>
          <w:szCs w:val="24"/>
        </w:rPr>
        <w:t xml:space="preserve"> </w:t>
      </w:r>
      <w:r w:rsidR="00CC1E91" w:rsidRPr="00DB7DAE">
        <w:rPr>
          <w:rFonts w:eastAsia="Calibri" w:cstheme="minorHAnsi"/>
          <w:sz w:val="24"/>
          <w:szCs w:val="24"/>
        </w:rPr>
        <w:t xml:space="preserve">In relation to </w:t>
      </w:r>
      <w:r w:rsidR="00CC1E91" w:rsidRPr="00DB7DAE">
        <w:rPr>
          <w:rFonts w:eastAsia="Calibri" w:cstheme="minorHAnsi"/>
          <w:sz w:val="24"/>
          <w:szCs w:val="24"/>
        </w:rPr>
        <w:lastRenderedPageBreak/>
        <w:t>transparency, t</w:t>
      </w:r>
      <w:r w:rsidR="00EB35D3" w:rsidRPr="00DB7DAE">
        <w:rPr>
          <w:rFonts w:eastAsia="Calibri" w:cstheme="minorHAnsi"/>
          <w:sz w:val="24"/>
          <w:szCs w:val="24"/>
        </w:rPr>
        <w:t>he</w:t>
      </w:r>
      <w:r w:rsidR="002B6EA6">
        <w:rPr>
          <w:rFonts w:eastAsia="Calibri" w:cstheme="minorHAnsi"/>
          <w:sz w:val="24"/>
          <w:szCs w:val="24"/>
        </w:rPr>
        <w:t xml:space="preserve"> Cooper</w:t>
      </w:r>
      <w:r w:rsidR="00EB35D3" w:rsidRPr="00DB7DAE">
        <w:rPr>
          <w:rFonts w:eastAsia="Calibri" w:cstheme="minorHAnsi"/>
          <w:sz w:val="24"/>
          <w:szCs w:val="24"/>
        </w:rPr>
        <w:t xml:space="preserve"> Review</w:t>
      </w:r>
      <w:r w:rsidR="00014905">
        <w:rPr>
          <w:rFonts w:eastAsia="Calibri" w:cstheme="minorHAnsi"/>
          <w:sz w:val="24"/>
          <w:szCs w:val="24"/>
        </w:rPr>
        <w:t xml:space="preserve"> specifically recommended a complete </w:t>
      </w:r>
      <w:r w:rsidR="004F31EF" w:rsidRPr="00DB7DAE">
        <w:rPr>
          <w:rFonts w:eastAsia="Calibri" w:cstheme="minorHAnsi"/>
          <w:sz w:val="24"/>
          <w:szCs w:val="24"/>
        </w:rPr>
        <w:t>portfolio holdings disclosure (PHD)</w:t>
      </w:r>
      <w:r w:rsidR="00014905">
        <w:rPr>
          <w:rFonts w:eastAsia="Calibri" w:cstheme="minorHAnsi"/>
          <w:sz w:val="24"/>
          <w:szCs w:val="24"/>
        </w:rPr>
        <w:t xml:space="preserve"> regime</w:t>
      </w:r>
      <w:r w:rsidR="00014905">
        <w:rPr>
          <w:rStyle w:val="FootnoteReference"/>
          <w:rFonts w:eastAsia="Calibri" w:cstheme="minorHAnsi"/>
          <w:sz w:val="24"/>
          <w:szCs w:val="24"/>
        </w:rPr>
        <w:footnoteReference w:id="5"/>
      </w:r>
      <w:r w:rsidR="00014905">
        <w:rPr>
          <w:rFonts w:eastAsia="Calibri" w:cstheme="minorHAnsi"/>
          <w:sz w:val="24"/>
          <w:szCs w:val="24"/>
        </w:rPr>
        <w:t>,</w:t>
      </w:r>
      <w:r w:rsidR="00EB35D3" w:rsidRPr="00DB7DAE">
        <w:rPr>
          <w:rFonts w:eastAsia="Calibri" w:cstheme="minorHAnsi"/>
          <w:sz w:val="24"/>
          <w:szCs w:val="24"/>
        </w:rPr>
        <w:t xml:space="preserve"> not</w:t>
      </w:r>
      <w:r w:rsidR="00014905">
        <w:rPr>
          <w:rFonts w:eastAsia="Calibri" w:cstheme="minorHAnsi"/>
          <w:sz w:val="24"/>
          <w:szCs w:val="24"/>
        </w:rPr>
        <w:t>ing</w:t>
      </w:r>
      <w:r w:rsidR="00EB35D3" w:rsidRPr="00DB7DAE">
        <w:rPr>
          <w:rFonts w:eastAsia="Calibri" w:cstheme="minorHAnsi"/>
          <w:sz w:val="24"/>
          <w:szCs w:val="24"/>
        </w:rPr>
        <w:t xml:space="preserve"> that portfolio disclosure in Australia is unduly opaque and does not meet global best practice. Requiring the disclosure of portfolio holdings will provide greater transparency and allow members to understand where their superannuation is invested. </w:t>
      </w:r>
    </w:p>
    <w:p w14:paraId="67BFEB78" w14:textId="749D54A6" w:rsidR="004A20E0" w:rsidRDefault="003C2C05" w:rsidP="00DC4C41">
      <w:pPr>
        <w:tabs>
          <w:tab w:val="left" w:pos="567"/>
        </w:tabs>
        <w:spacing w:before="120" w:after="120"/>
        <w:rPr>
          <w:rFonts w:eastAsia="Calibri" w:cstheme="minorHAnsi"/>
          <w:sz w:val="24"/>
          <w:szCs w:val="24"/>
        </w:rPr>
      </w:pPr>
      <w:r w:rsidRPr="00DB7DAE">
        <w:rPr>
          <w:rFonts w:eastAsia="Calibri" w:cstheme="minorHAnsi"/>
          <w:sz w:val="24"/>
          <w:szCs w:val="24"/>
        </w:rPr>
        <w:t xml:space="preserve">Whilst the legal framework for portfolio holdings has been in place </w:t>
      </w:r>
      <w:r w:rsidR="005142D0" w:rsidRPr="00DB7DAE">
        <w:rPr>
          <w:rFonts w:eastAsia="Calibri" w:cstheme="minorHAnsi"/>
          <w:sz w:val="24"/>
          <w:szCs w:val="24"/>
        </w:rPr>
        <w:t xml:space="preserve">in the primary law </w:t>
      </w:r>
      <w:r w:rsidR="008F2776" w:rsidRPr="00DB7DAE">
        <w:rPr>
          <w:rFonts w:eastAsia="Calibri" w:cstheme="minorHAnsi"/>
          <w:sz w:val="24"/>
          <w:szCs w:val="24"/>
        </w:rPr>
        <w:t xml:space="preserve">since </w:t>
      </w:r>
      <w:r w:rsidR="00DB7DAE">
        <w:rPr>
          <w:rFonts w:eastAsia="Calibri" w:cstheme="minorHAnsi"/>
          <w:sz w:val="24"/>
          <w:szCs w:val="24"/>
        </w:rPr>
        <w:t>2012</w:t>
      </w:r>
      <w:r w:rsidR="008F2776" w:rsidRPr="00DB7DAE">
        <w:rPr>
          <w:rFonts w:eastAsia="Calibri" w:cstheme="minorHAnsi"/>
          <w:sz w:val="24"/>
          <w:szCs w:val="24"/>
        </w:rPr>
        <w:t>,</w:t>
      </w:r>
      <w:r w:rsidRPr="00DB7DAE">
        <w:rPr>
          <w:rFonts w:eastAsia="Calibri" w:cstheme="minorHAnsi"/>
          <w:sz w:val="24"/>
          <w:szCs w:val="24"/>
        </w:rPr>
        <w:t xml:space="preserve"> </w:t>
      </w:r>
      <w:r w:rsidR="004A20E0">
        <w:rPr>
          <w:rFonts w:eastAsia="Calibri" w:cstheme="minorHAnsi"/>
          <w:sz w:val="24"/>
          <w:szCs w:val="24"/>
        </w:rPr>
        <w:t>the</w:t>
      </w:r>
      <w:r w:rsidR="00AB041F">
        <w:rPr>
          <w:rFonts w:eastAsia="Calibri" w:cstheme="minorHAnsi"/>
          <w:sz w:val="24"/>
          <w:szCs w:val="24"/>
        </w:rPr>
        <w:t xml:space="preserve"> obligations</w:t>
      </w:r>
      <w:r w:rsidR="004A20E0">
        <w:rPr>
          <w:rFonts w:eastAsia="Calibri" w:cstheme="minorHAnsi"/>
          <w:sz w:val="24"/>
          <w:szCs w:val="24"/>
        </w:rPr>
        <w:t xml:space="preserve"> have not come into effect as ASIC has provided class order relief until supporting </w:t>
      </w:r>
      <w:r w:rsidR="00CB73C5">
        <w:rPr>
          <w:rFonts w:eastAsia="Calibri" w:cstheme="minorHAnsi"/>
          <w:sz w:val="24"/>
          <w:szCs w:val="24"/>
        </w:rPr>
        <w:t xml:space="preserve">regulations </w:t>
      </w:r>
      <w:r w:rsidR="004A20E0">
        <w:rPr>
          <w:rFonts w:eastAsia="Calibri" w:cstheme="minorHAnsi"/>
          <w:sz w:val="24"/>
          <w:szCs w:val="24"/>
        </w:rPr>
        <w:t xml:space="preserve">have been made by Government. </w:t>
      </w:r>
      <w:r w:rsidR="00F7334A">
        <w:rPr>
          <w:rFonts w:eastAsia="Calibri" w:cstheme="minorHAnsi"/>
          <w:sz w:val="24"/>
          <w:szCs w:val="24"/>
        </w:rPr>
        <w:t>ASIC provided this relief noting that “w</w:t>
      </w:r>
      <w:r w:rsidR="00F7334A" w:rsidRPr="00A044DF">
        <w:rPr>
          <w:rFonts w:eastAsia="Calibri" w:cstheme="minorHAnsi"/>
          <w:sz w:val="24"/>
          <w:szCs w:val="24"/>
        </w:rPr>
        <w:t>ithout regulations to support the PHD requirements, there is no information prescribed to standardise the format for PHD and provide further information about specific exemptions from the requirements</w:t>
      </w:r>
      <w:r w:rsidR="00F7334A">
        <w:rPr>
          <w:rFonts w:eastAsia="Calibri" w:cstheme="minorHAnsi"/>
          <w:sz w:val="24"/>
          <w:szCs w:val="24"/>
        </w:rPr>
        <w:t>”</w:t>
      </w:r>
      <w:r w:rsidR="00F7334A">
        <w:rPr>
          <w:rStyle w:val="FootnoteReference"/>
          <w:rFonts w:eastAsia="Calibri" w:cstheme="minorHAnsi"/>
          <w:sz w:val="24"/>
          <w:szCs w:val="24"/>
        </w:rPr>
        <w:footnoteReference w:id="6"/>
      </w:r>
      <w:r w:rsidR="00F7334A" w:rsidRPr="00A044DF">
        <w:rPr>
          <w:rFonts w:eastAsia="Calibri" w:cstheme="minorHAnsi"/>
          <w:sz w:val="24"/>
          <w:szCs w:val="24"/>
        </w:rPr>
        <w:t>.</w:t>
      </w:r>
      <w:r w:rsidR="00F7334A">
        <w:rPr>
          <w:color w:val="000000"/>
          <w:shd w:val="clear" w:color="auto" w:fill="FFFFFF"/>
        </w:rPr>
        <w:t> </w:t>
      </w:r>
      <w:r w:rsidR="004A20E0">
        <w:rPr>
          <w:rFonts w:eastAsia="Calibri" w:cstheme="minorHAnsi"/>
          <w:sz w:val="24"/>
          <w:szCs w:val="24"/>
        </w:rPr>
        <w:t xml:space="preserve">These </w:t>
      </w:r>
      <w:r w:rsidR="00C370C0">
        <w:rPr>
          <w:rFonts w:eastAsia="Calibri" w:cstheme="minorHAnsi"/>
          <w:sz w:val="24"/>
          <w:szCs w:val="24"/>
        </w:rPr>
        <w:t xml:space="preserve">supporting regulations are being assessed as a part of this RIS. </w:t>
      </w:r>
    </w:p>
    <w:p w14:paraId="126E1766" w14:textId="73A109C0" w:rsidR="00EA5697" w:rsidRPr="00DB7DAE" w:rsidRDefault="002B2EE5" w:rsidP="002B2EE5">
      <w:pPr>
        <w:pStyle w:val="Heading1numbered"/>
        <w:rPr>
          <w:rFonts w:asciiTheme="minorHAnsi" w:hAnsiTheme="minorHAnsi" w:cstheme="minorHAnsi"/>
          <w:sz w:val="24"/>
          <w:szCs w:val="24"/>
        </w:rPr>
      </w:pPr>
      <w:bookmarkStart w:id="1" w:name="_Toc86998878"/>
      <w:r w:rsidRPr="00DB7DAE">
        <w:rPr>
          <w:rFonts w:asciiTheme="minorHAnsi" w:hAnsiTheme="minorHAnsi" w:cstheme="minorHAnsi"/>
          <w:sz w:val="24"/>
          <w:szCs w:val="24"/>
        </w:rPr>
        <w:t>What is the policy problem you are trying to solve?</w:t>
      </w:r>
      <w:bookmarkEnd w:id="1"/>
    </w:p>
    <w:p w14:paraId="7F24A91E" w14:textId="77777777" w:rsidR="002E600C" w:rsidRDefault="00AE0578" w:rsidP="009158E4">
      <w:pPr>
        <w:tabs>
          <w:tab w:val="left" w:pos="567"/>
        </w:tabs>
        <w:spacing w:before="120" w:after="120"/>
        <w:rPr>
          <w:rFonts w:cstheme="minorHAnsi"/>
          <w:sz w:val="24"/>
          <w:szCs w:val="24"/>
        </w:rPr>
      </w:pPr>
      <w:r w:rsidRPr="001854FD">
        <w:rPr>
          <w:rFonts w:cstheme="minorHAnsi"/>
          <w:sz w:val="24"/>
          <w:szCs w:val="24"/>
        </w:rPr>
        <w:t xml:space="preserve">Trustees of superannuation funds are required to act in the best financial interests of their members. </w:t>
      </w:r>
    </w:p>
    <w:p w14:paraId="3B7BF5ED" w14:textId="7B1FD8D5" w:rsidR="009158E4" w:rsidRPr="00DB7DAE" w:rsidRDefault="002E600C" w:rsidP="009158E4">
      <w:pPr>
        <w:tabs>
          <w:tab w:val="left" w:pos="567"/>
        </w:tabs>
        <w:spacing w:before="120" w:after="120"/>
        <w:rPr>
          <w:rFonts w:eastAsia="Calibri" w:cstheme="minorHAnsi"/>
          <w:sz w:val="24"/>
          <w:szCs w:val="24"/>
        </w:rPr>
      </w:pPr>
      <w:r>
        <w:rPr>
          <w:rFonts w:cstheme="minorHAnsi"/>
          <w:sz w:val="24"/>
          <w:szCs w:val="24"/>
        </w:rPr>
        <w:t>T</w:t>
      </w:r>
      <w:r w:rsidR="00AE0578" w:rsidRPr="001854FD">
        <w:rPr>
          <w:rFonts w:cstheme="minorHAnsi"/>
          <w:sz w:val="24"/>
          <w:szCs w:val="24"/>
        </w:rPr>
        <w:t>here are weaknesses in the transparency framework governing trustees</w:t>
      </w:r>
      <w:r>
        <w:rPr>
          <w:rFonts w:cstheme="minorHAnsi"/>
          <w:sz w:val="24"/>
          <w:szCs w:val="24"/>
        </w:rPr>
        <w:t xml:space="preserve"> and i</w:t>
      </w:r>
      <w:r w:rsidR="00AE0578" w:rsidRPr="001854FD">
        <w:rPr>
          <w:rFonts w:cstheme="minorHAnsi"/>
          <w:sz w:val="24"/>
          <w:szCs w:val="24"/>
        </w:rPr>
        <w:t xml:space="preserve">n particular, </w:t>
      </w:r>
      <w:r w:rsidR="00DF013A" w:rsidRPr="001854FD">
        <w:rPr>
          <w:rFonts w:cstheme="minorHAnsi"/>
          <w:sz w:val="24"/>
          <w:szCs w:val="24"/>
        </w:rPr>
        <w:t>s</w:t>
      </w:r>
      <w:r w:rsidR="0045465E" w:rsidRPr="001854FD">
        <w:rPr>
          <w:rFonts w:cstheme="minorHAnsi"/>
          <w:sz w:val="24"/>
          <w:szCs w:val="24"/>
        </w:rPr>
        <w:t xml:space="preserve">uperannuation entities </w:t>
      </w:r>
      <w:r w:rsidR="00394BEE">
        <w:rPr>
          <w:rFonts w:cstheme="minorHAnsi"/>
          <w:sz w:val="24"/>
          <w:szCs w:val="24"/>
        </w:rPr>
        <w:t>do not</w:t>
      </w:r>
      <w:r w:rsidR="0045465E" w:rsidRPr="001854FD">
        <w:rPr>
          <w:rFonts w:cstheme="minorHAnsi"/>
          <w:sz w:val="24"/>
          <w:szCs w:val="24"/>
        </w:rPr>
        <w:t xml:space="preserve"> </w:t>
      </w:r>
      <w:r w:rsidRPr="001854FD">
        <w:rPr>
          <w:rFonts w:cstheme="minorHAnsi"/>
          <w:sz w:val="24"/>
          <w:szCs w:val="24"/>
        </w:rPr>
        <w:t xml:space="preserve">currently </w:t>
      </w:r>
      <w:r w:rsidR="0045465E" w:rsidRPr="001854FD">
        <w:rPr>
          <w:rFonts w:cstheme="minorHAnsi"/>
          <w:sz w:val="24"/>
          <w:szCs w:val="24"/>
        </w:rPr>
        <w:t>provide sufficient detailed information on the final allocation of their fund member’s contributions. The failure to provide this type of detailed information limits the ability for all market participants, including researchers, financial advisers, and investors, to have a clear</w:t>
      </w:r>
      <w:r w:rsidR="00D716F8" w:rsidRPr="001854FD">
        <w:rPr>
          <w:rFonts w:cstheme="minorHAnsi"/>
          <w:sz w:val="24"/>
          <w:szCs w:val="24"/>
        </w:rPr>
        <w:t xml:space="preserve">, </w:t>
      </w:r>
      <w:r w:rsidR="003B4476" w:rsidRPr="001854FD">
        <w:rPr>
          <w:rFonts w:cstheme="minorHAnsi"/>
          <w:sz w:val="24"/>
          <w:szCs w:val="24"/>
        </w:rPr>
        <w:t>comparable,</w:t>
      </w:r>
      <w:r w:rsidR="0045465E" w:rsidRPr="001854FD">
        <w:rPr>
          <w:rFonts w:cstheme="minorHAnsi"/>
          <w:sz w:val="24"/>
          <w:szCs w:val="24"/>
        </w:rPr>
        <w:t xml:space="preserve"> and complete picture of the</w:t>
      </w:r>
      <w:r w:rsidR="006168F1">
        <w:rPr>
          <w:rFonts w:cstheme="minorHAnsi"/>
          <w:sz w:val="24"/>
          <w:szCs w:val="24"/>
        </w:rPr>
        <w:t xml:space="preserve"> superannuation</w:t>
      </w:r>
      <w:r w:rsidR="0045465E" w:rsidRPr="001854FD">
        <w:rPr>
          <w:rFonts w:cstheme="minorHAnsi"/>
          <w:sz w:val="24"/>
          <w:szCs w:val="24"/>
        </w:rPr>
        <w:t xml:space="preserve"> investment market.</w:t>
      </w:r>
      <w:r w:rsidR="009158E4" w:rsidRPr="001854FD">
        <w:rPr>
          <w:rFonts w:cstheme="minorHAnsi"/>
          <w:sz w:val="24"/>
          <w:szCs w:val="24"/>
        </w:rPr>
        <w:t xml:space="preserve"> </w:t>
      </w:r>
    </w:p>
    <w:p w14:paraId="29A74CDF" w14:textId="01F20B94" w:rsidR="00EF0210" w:rsidRDefault="00394BEE" w:rsidP="00CD3ED9">
      <w:pPr>
        <w:pStyle w:val="Default"/>
        <w:tabs>
          <w:tab w:val="left" w:pos="1418"/>
        </w:tabs>
        <w:rPr>
          <w:rFonts w:asciiTheme="minorHAnsi" w:hAnsiTheme="minorHAnsi" w:cstheme="minorHAnsi"/>
        </w:rPr>
      </w:pPr>
      <w:r>
        <w:rPr>
          <w:rFonts w:asciiTheme="minorHAnsi" w:hAnsiTheme="minorHAnsi" w:cstheme="minorHAnsi"/>
        </w:rPr>
        <w:t xml:space="preserve">The </w:t>
      </w:r>
      <w:r w:rsidR="00655217">
        <w:rPr>
          <w:rFonts w:asciiTheme="minorHAnsi" w:hAnsiTheme="minorHAnsi" w:cstheme="minorHAnsi"/>
        </w:rPr>
        <w:t>l</w:t>
      </w:r>
      <w:r w:rsidR="00FE795D" w:rsidRPr="00A06CE9">
        <w:rPr>
          <w:rFonts w:asciiTheme="minorHAnsi" w:hAnsiTheme="minorHAnsi" w:cstheme="minorHAnsi"/>
        </w:rPr>
        <w:t>ack of transparency in asset allocation results in uninformed decision making, which can result in adverse outcomes for fund members</w:t>
      </w:r>
      <w:r w:rsidR="000426D0">
        <w:rPr>
          <w:rFonts w:asciiTheme="minorHAnsi" w:hAnsiTheme="minorHAnsi" w:cstheme="minorHAnsi"/>
        </w:rPr>
        <w:t xml:space="preserve"> and an “</w:t>
      </w:r>
      <w:r w:rsidR="008A3261" w:rsidRPr="008A3261">
        <w:rPr>
          <w:rFonts w:asciiTheme="minorHAnsi" w:hAnsiTheme="minorHAnsi" w:cstheme="minorHAnsi"/>
        </w:rPr>
        <w:t>erosion of trust between investors and managers.</w:t>
      </w:r>
      <w:r w:rsidR="000426D0">
        <w:rPr>
          <w:rFonts w:asciiTheme="minorHAnsi" w:hAnsiTheme="minorHAnsi" w:cstheme="minorHAnsi"/>
        </w:rPr>
        <w:t>”</w:t>
      </w:r>
      <w:r w:rsidR="000426D0">
        <w:rPr>
          <w:rStyle w:val="FootnoteReference"/>
          <w:rFonts w:asciiTheme="minorHAnsi" w:hAnsiTheme="minorHAnsi" w:cstheme="minorHAnsi"/>
        </w:rPr>
        <w:footnoteReference w:id="7"/>
      </w:r>
      <w:r w:rsidR="000426D0">
        <w:rPr>
          <w:rFonts w:asciiTheme="minorHAnsi" w:hAnsiTheme="minorHAnsi" w:cstheme="minorHAnsi"/>
        </w:rPr>
        <w:t xml:space="preserve"> </w:t>
      </w:r>
      <w:r w:rsidR="00121AB7" w:rsidRPr="007B469D">
        <w:rPr>
          <w:rFonts w:asciiTheme="minorHAnsi" w:hAnsiTheme="minorHAnsi" w:cstheme="minorHAnsi"/>
        </w:rPr>
        <w:t xml:space="preserve">Reforms, such as improved superannuation </w:t>
      </w:r>
      <w:r w:rsidR="000A3A2B">
        <w:rPr>
          <w:rFonts w:asciiTheme="minorHAnsi" w:hAnsiTheme="minorHAnsi" w:cstheme="minorHAnsi"/>
        </w:rPr>
        <w:t>portfolio holdings disclosure</w:t>
      </w:r>
      <w:r w:rsidR="00C43E70">
        <w:rPr>
          <w:rFonts w:asciiTheme="minorHAnsi" w:hAnsiTheme="minorHAnsi" w:cstheme="minorHAnsi"/>
        </w:rPr>
        <w:t>,</w:t>
      </w:r>
      <w:r w:rsidR="00121AB7" w:rsidRPr="007B469D">
        <w:rPr>
          <w:rFonts w:asciiTheme="minorHAnsi" w:hAnsiTheme="minorHAnsi" w:cstheme="minorHAnsi"/>
        </w:rPr>
        <w:t xml:space="preserve"> are needed in Australia to improve our systemic transparency</w:t>
      </w:r>
      <w:r w:rsidR="008C7470" w:rsidRPr="001854FD">
        <w:rPr>
          <w:rFonts w:asciiTheme="minorHAnsi" w:hAnsiTheme="minorHAnsi" w:cstheme="minorHAnsi"/>
        </w:rPr>
        <w:t xml:space="preserve"> and system efficiency to “enable members to choose to engage should they desire to do so</w:t>
      </w:r>
      <w:r w:rsidR="00A127D4" w:rsidRPr="001854FD">
        <w:rPr>
          <w:rFonts w:asciiTheme="minorHAnsi" w:hAnsiTheme="minorHAnsi" w:cstheme="minorHAnsi"/>
        </w:rPr>
        <w:t>.</w:t>
      </w:r>
      <w:r w:rsidR="008C7470" w:rsidRPr="001854FD">
        <w:rPr>
          <w:rFonts w:asciiTheme="minorHAnsi" w:hAnsiTheme="minorHAnsi" w:cstheme="minorHAnsi"/>
        </w:rPr>
        <w:t>”</w:t>
      </w:r>
      <w:r w:rsidR="00A127D4" w:rsidRPr="001854FD">
        <w:rPr>
          <w:rStyle w:val="FootnoteReference"/>
          <w:rFonts w:asciiTheme="minorHAnsi" w:hAnsiTheme="minorHAnsi" w:cstheme="minorHAnsi"/>
        </w:rPr>
        <w:footnoteReference w:id="8"/>
      </w:r>
      <w:r w:rsidR="001476F2">
        <w:rPr>
          <w:rFonts w:asciiTheme="minorHAnsi" w:hAnsiTheme="minorHAnsi" w:cstheme="minorHAnsi"/>
        </w:rPr>
        <w:t xml:space="preserve"> </w:t>
      </w:r>
      <w:r w:rsidR="002E600C">
        <w:rPr>
          <w:rFonts w:asciiTheme="minorHAnsi" w:hAnsiTheme="minorHAnsi" w:cstheme="minorHAnsi"/>
        </w:rPr>
        <w:t xml:space="preserve">This is of a particular importance </w:t>
      </w:r>
      <w:r w:rsidR="005E3ABA" w:rsidRPr="005E3ABA">
        <w:rPr>
          <w:rFonts w:asciiTheme="minorHAnsi" w:hAnsiTheme="minorHAnsi" w:cstheme="minorHAnsi"/>
        </w:rPr>
        <w:t>given the compulsory nature of superannuation</w:t>
      </w:r>
      <w:r w:rsidR="005E3ABA">
        <w:rPr>
          <w:rFonts w:asciiTheme="minorHAnsi" w:hAnsiTheme="minorHAnsi" w:cstheme="minorHAnsi"/>
        </w:rPr>
        <w:t>.</w:t>
      </w:r>
    </w:p>
    <w:p w14:paraId="5ADDD9E7" w14:textId="0BFD5860" w:rsidR="00EF0210" w:rsidRDefault="00EF0210" w:rsidP="00CD3ED9">
      <w:pPr>
        <w:pStyle w:val="Default"/>
        <w:tabs>
          <w:tab w:val="left" w:pos="1418"/>
        </w:tabs>
        <w:rPr>
          <w:rFonts w:asciiTheme="minorHAnsi" w:hAnsiTheme="minorHAnsi" w:cstheme="minorHAnsi"/>
        </w:rPr>
      </w:pPr>
    </w:p>
    <w:p w14:paraId="7BC08665" w14:textId="7C97CFEE" w:rsidR="00D47F4A" w:rsidRDefault="007C4DAB" w:rsidP="00D47F4A">
      <w:pPr>
        <w:pStyle w:val="Default"/>
        <w:tabs>
          <w:tab w:val="left" w:pos="1418"/>
        </w:tabs>
        <w:rPr>
          <w:rFonts w:asciiTheme="minorHAnsi" w:hAnsiTheme="minorHAnsi" w:cstheme="minorHAnsi"/>
        </w:rPr>
      </w:pPr>
      <w:r>
        <w:rPr>
          <w:rFonts w:asciiTheme="minorHAnsi" w:hAnsiTheme="minorHAnsi" w:cstheme="minorHAnsi"/>
        </w:rPr>
        <w:t xml:space="preserve">The Productivity Commission’s </w:t>
      </w:r>
      <w:r w:rsidR="00D47F4A">
        <w:rPr>
          <w:rFonts w:asciiTheme="minorHAnsi" w:hAnsiTheme="minorHAnsi" w:cstheme="minorHAnsi"/>
        </w:rPr>
        <w:t xml:space="preserve">report, </w:t>
      </w:r>
      <w:r w:rsidR="00D47F4A" w:rsidRPr="00C1424E">
        <w:rPr>
          <w:rFonts w:asciiTheme="minorHAnsi" w:hAnsiTheme="minorHAnsi" w:cstheme="minorHAnsi"/>
          <w:i/>
          <w:iCs/>
        </w:rPr>
        <w:t>Superannuation: Assessing Efficiency and Competitiveness</w:t>
      </w:r>
      <w:r w:rsidR="00D47F4A">
        <w:rPr>
          <w:rFonts w:asciiTheme="minorHAnsi" w:hAnsiTheme="minorHAnsi" w:cstheme="minorHAnsi"/>
        </w:rPr>
        <w:t xml:space="preserve"> (PC Report)</w:t>
      </w:r>
      <w:r>
        <w:rPr>
          <w:rFonts w:asciiTheme="minorHAnsi" w:hAnsiTheme="minorHAnsi" w:cstheme="minorHAnsi"/>
        </w:rPr>
        <w:t xml:space="preserve"> found 53</w:t>
      </w:r>
      <w:r w:rsidR="00C741CA">
        <w:rPr>
          <w:rFonts w:asciiTheme="minorHAnsi" w:hAnsiTheme="minorHAnsi" w:cstheme="minorHAnsi"/>
        </w:rPr>
        <w:t xml:space="preserve"> per cent</w:t>
      </w:r>
      <w:r>
        <w:rPr>
          <w:rFonts w:asciiTheme="minorHAnsi" w:hAnsiTheme="minorHAnsi" w:cstheme="minorHAnsi"/>
        </w:rPr>
        <w:t xml:space="preserve"> of members did not understand how their funds are invested (either not at all or not very well).</w:t>
      </w:r>
      <w:r w:rsidR="00D47F4A">
        <w:rPr>
          <w:rStyle w:val="FootnoteReference"/>
          <w:rFonts w:asciiTheme="minorHAnsi" w:hAnsiTheme="minorHAnsi" w:cstheme="minorHAnsi"/>
        </w:rPr>
        <w:footnoteReference w:id="9"/>
      </w:r>
      <w:r>
        <w:rPr>
          <w:rFonts w:asciiTheme="minorHAnsi" w:hAnsiTheme="minorHAnsi" w:cstheme="minorHAnsi"/>
        </w:rPr>
        <w:t xml:space="preserve"> The review further highlighted that </w:t>
      </w:r>
      <w:r w:rsidR="00E939DB">
        <w:rPr>
          <w:rFonts w:asciiTheme="minorHAnsi" w:hAnsiTheme="minorHAnsi" w:cstheme="minorHAnsi"/>
        </w:rPr>
        <w:t>the</w:t>
      </w:r>
      <w:r>
        <w:rPr>
          <w:rFonts w:asciiTheme="minorHAnsi" w:hAnsiTheme="minorHAnsi" w:cstheme="minorHAnsi"/>
        </w:rPr>
        <w:t xml:space="preserve"> lack of transparency “makes it harder for engaged members to compare products and identify the best-performing funds. This suppresses competitive pressure on the demand </w:t>
      </w:r>
      <w:r w:rsidR="00DC32BC">
        <w:rPr>
          <w:rFonts w:asciiTheme="minorHAnsi" w:hAnsiTheme="minorHAnsi" w:cstheme="minorHAnsi"/>
        </w:rPr>
        <w:t>side and</w:t>
      </w:r>
      <w:r>
        <w:rPr>
          <w:rFonts w:asciiTheme="minorHAnsi" w:hAnsiTheme="minorHAnsi" w:cstheme="minorHAnsi"/>
        </w:rPr>
        <w:t xml:space="preserve"> gives rise to the perverse risk of worse outcomes for members who do get engaged.</w:t>
      </w:r>
      <w:r w:rsidR="00D47F4A">
        <w:rPr>
          <w:rFonts w:asciiTheme="minorHAnsi" w:hAnsiTheme="minorHAnsi" w:cstheme="minorHAnsi"/>
        </w:rPr>
        <w:t>”</w:t>
      </w:r>
      <w:r w:rsidR="00D47F4A">
        <w:rPr>
          <w:rStyle w:val="FootnoteReference"/>
          <w:rFonts w:asciiTheme="minorHAnsi" w:hAnsiTheme="minorHAnsi" w:cstheme="minorHAnsi"/>
        </w:rPr>
        <w:footnoteReference w:id="10"/>
      </w:r>
      <w:r>
        <w:rPr>
          <w:rFonts w:asciiTheme="minorHAnsi" w:hAnsiTheme="minorHAnsi" w:cstheme="minorHAnsi"/>
        </w:rPr>
        <w:t xml:space="preserve"> </w:t>
      </w:r>
    </w:p>
    <w:p w14:paraId="314AD4D7" w14:textId="77777777" w:rsidR="00D47F4A" w:rsidRDefault="00D47F4A" w:rsidP="00D47F4A">
      <w:pPr>
        <w:pStyle w:val="Default"/>
        <w:tabs>
          <w:tab w:val="left" w:pos="1418"/>
        </w:tabs>
        <w:rPr>
          <w:rFonts w:asciiTheme="minorHAnsi" w:hAnsiTheme="minorHAnsi" w:cstheme="minorHAnsi"/>
        </w:rPr>
      </w:pPr>
    </w:p>
    <w:p w14:paraId="270C101F" w14:textId="00F0F238" w:rsidR="00121AB7" w:rsidRPr="00A06CE9" w:rsidRDefault="00A017FF" w:rsidP="004A20E0">
      <w:pPr>
        <w:pStyle w:val="Default"/>
        <w:tabs>
          <w:tab w:val="left" w:pos="1418"/>
        </w:tabs>
        <w:rPr>
          <w:rFonts w:asciiTheme="minorHAnsi" w:hAnsiTheme="minorHAnsi" w:cstheme="minorHAnsi"/>
        </w:rPr>
      </w:pPr>
      <w:r>
        <w:rPr>
          <w:rFonts w:asciiTheme="minorHAnsi" w:hAnsiTheme="minorHAnsi" w:cstheme="minorHAnsi"/>
        </w:rPr>
        <w:t xml:space="preserve">Improved disclosure on portfolio holdings </w:t>
      </w:r>
      <w:r w:rsidR="00CD3ED9">
        <w:rPr>
          <w:rFonts w:asciiTheme="minorHAnsi" w:hAnsiTheme="minorHAnsi" w:cstheme="minorHAnsi"/>
        </w:rPr>
        <w:t xml:space="preserve">will enable members to communicate their preferences to funds about exposure to certain asset classes. This should </w:t>
      </w:r>
      <w:r>
        <w:rPr>
          <w:rFonts w:asciiTheme="minorHAnsi" w:hAnsiTheme="minorHAnsi" w:cstheme="minorHAnsi"/>
        </w:rPr>
        <w:t xml:space="preserve">promote efficiency and enhance competition. </w:t>
      </w:r>
      <w:r w:rsidR="00BD3845">
        <w:rPr>
          <w:rFonts w:asciiTheme="minorHAnsi" w:hAnsiTheme="minorHAnsi" w:cstheme="minorHAnsi"/>
        </w:rPr>
        <w:t>If</w:t>
      </w:r>
      <w:r w:rsidR="004A20E0">
        <w:rPr>
          <w:rFonts w:asciiTheme="minorHAnsi" w:hAnsiTheme="minorHAnsi" w:cstheme="minorHAnsi"/>
        </w:rPr>
        <w:t xml:space="preserve"> a member is </w:t>
      </w:r>
      <w:r w:rsidR="00BD3845">
        <w:rPr>
          <w:rFonts w:asciiTheme="minorHAnsi" w:hAnsiTheme="minorHAnsi" w:cstheme="minorHAnsi"/>
        </w:rPr>
        <w:t xml:space="preserve">dissatisfied with </w:t>
      </w:r>
      <w:r w:rsidR="004A20E0">
        <w:rPr>
          <w:rFonts w:asciiTheme="minorHAnsi" w:hAnsiTheme="minorHAnsi" w:cstheme="minorHAnsi"/>
        </w:rPr>
        <w:t>the asset classes of their</w:t>
      </w:r>
      <w:r w:rsidR="00BD3845">
        <w:rPr>
          <w:rFonts w:asciiTheme="minorHAnsi" w:hAnsiTheme="minorHAnsi" w:cstheme="minorHAnsi"/>
        </w:rPr>
        <w:t xml:space="preserve"> investment option, they can switch to an alternative investment option, or change superannuation providers. </w:t>
      </w:r>
      <w:r w:rsidR="00113557">
        <w:rPr>
          <w:rFonts w:asciiTheme="minorHAnsi" w:hAnsiTheme="minorHAnsi" w:cstheme="minorHAnsi"/>
        </w:rPr>
        <w:t>Enhanced transparency supports</w:t>
      </w:r>
      <w:r w:rsidR="00BD3845">
        <w:rPr>
          <w:rFonts w:asciiTheme="minorHAnsi" w:hAnsiTheme="minorHAnsi" w:cstheme="minorHAnsi"/>
        </w:rPr>
        <w:t xml:space="preserve"> superannuation funds </w:t>
      </w:r>
      <w:r w:rsidR="003B33FF">
        <w:rPr>
          <w:rFonts w:asciiTheme="minorHAnsi" w:hAnsiTheme="minorHAnsi" w:cstheme="minorHAnsi"/>
        </w:rPr>
        <w:t xml:space="preserve">being </w:t>
      </w:r>
      <w:r w:rsidR="00BD3845">
        <w:rPr>
          <w:rFonts w:asciiTheme="minorHAnsi" w:hAnsiTheme="minorHAnsi" w:cstheme="minorHAnsi"/>
        </w:rPr>
        <w:t xml:space="preserve">more accountable </w:t>
      </w:r>
      <w:r w:rsidR="003B33FF">
        <w:rPr>
          <w:rFonts w:asciiTheme="minorHAnsi" w:hAnsiTheme="minorHAnsi" w:cstheme="minorHAnsi"/>
        </w:rPr>
        <w:t xml:space="preserve">for </w:t>
      </w:r>
      <w:r w:rsidR="00BD3845">
        <w:rPr>
          <w:rFonts w:asciiTheme="minorHAnsi" w:hAnsiTheme="minorHAnsi" w:cstheme="minorHAnsi"/>
        </w:rPr>
        <w:t>the</w:t>
      </w:r>
      <w:r w:rsidR="003B33FF">
        <w:rPr>
          <w:rFonts w:asciiTheme="minorHAnsi" w:hAnsiTheme="minorHAnsi" w:cstheme="minorHAnsi"/>
        </w:rPr>
        <w:t>ir</w:t>
      </w:r>
      <w:r w:rsidR="00BD3845">
        <w:rPr>
          <w:rFonts w:asciiTheme="minorHAnsi" w:hAnsiTheme="minorHAnsi" w:cstheme="minorHAnsi"/>
        </w:rPr>
        <w:t xml:space="preserve"> </w:t>
      </w:r>
      <w:r w:rsidR="003B33FF">
        <w:rPr>
          <w:rFonts w:asciiTheme="minorHAnsi" w:hAnsiTheme="minorHAnsi" w:cstheme="minorHAnsi"/>
        </w:rPr>
        <w:t xml:space="preserve">requirement to act in the </w:t>
      </w:r>
      <w:r w:rsidR="00E31248">
        <w:rPr>
          <w:rFonts w:asciiTheme="minorHAnsi" w:hAnsiTheme="minorHAnsi" w:cstheme="minorHAnsi"/>
        </w:rPr>
        <w:t xml:space="preserve">best financial interests </w:t>
      </w:r>
      <w:r w:rsidR="00BD3845">
        <w:rPr>
          <w:rFonts w:asciiTheme="minorHAnsi" w:hAnsiTheme="minorHAnsi" w:cstheme="minorHAnsi"/>
        </w:rPr>
        <w:t>of members</w:t>
      </w:r>
      <w:r w:rsidR="00295774">
        <w:rPr>
          <w:rFonts w:asciiTheme="minorHAnsi" w:hAnsiTheme="minorHAnsi" w:cstheme="minorHAnsi"/>
        </w:rPr>
        <w:t>.</w:t>
      </w:r>
    </w:p>
    <w:p w14:paraId="082E0FBC" w14:textId="745F205D" w:rsidR="007E195F" w:rsidRDefault="009B4EDF" w:rsidP="007E195F">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Similar sentiments have been expressed by </w:t>
      </w:r>
      <w:r w:rsidR="00785FE7">
        <w:rPr>
          <w:rFonts w:asciiTheme="minorHAnsi" w:hAnsiTheme="minorHAnsi" w:cstheme="minorHAnsi"/>
          <w:color w:val="000000"/>
        </w:rPr>
        <w:t xml:space="preserve">International market financial analyst, </w:t>
      </w:r>
      <w:r w:rsidR="00785FE7" w:rsidRPr="00DB7DAE">
        <w:rPr>
          <w:rFonts w:asciiTheme="minorHAnsi" w:hAnsiTheme="minorHAnsi" w:cstheme="minorHAnsi"/>
          <w:color w:val="000000"/>
        </w:rPr>
        <w:t>Morningstar</w:t>
      </w:r>
      <w:r>
        <w:rPr>
          <w:rFonts w:asciiTheme="minorHAnsi" w:hAnsiTheme="minorHAnsi" w:cstheme="minorHAnsi"/>
          <w:color w:val="000000"/>
        </w:rPr>
        <w:t xml:space="preserve">. </w:t>
      </w:r>
      <w:r w:rsidR="00394BEE">
        <w:rPr>
          <w:rFonts w:asciiTheme="minorHAnsi" w:hAnsiTheme="minorHAnsi" w:cstheme="minorHAnsi"/>
          <w:color w:val="000000"/>
        </w:rPr>
        <w:t>It has</w:t>
      </w:r>
      <w:r>
        <w:rPr>
          <w:rFonts w:asciiTheme="minorHAnsi" w:hAnsiTheme="minorHAnsi" w:cstheme="minorHAnsi"/>
          <w:color w:val="000000"/>
        </w:rPr>
        <w:t xml:space="preserve"> </w:t>
      </w:r>
      <w:r w:rsidR="00785FE7" w:rsidRPr="00DB7DAE">
        <w:rPr>
          <w:rFonts w:asciiTheme="minorHAnsi" w:hAnsiTheme="minorHAnsi" w:cstheme="minorHAnsi"/>
          <w:color w:val="000000"/>
        </w:rPr>
        <w:t xml:space="preserve">indicated that the lack of disclosure in relation to </w:t>
      </w:r>
      <w:r w:rsidR="00394BEE">
        <w:rPr>
          <w:rFonts w:asciiTheme="minorHAnsi" w:hAnsiTheme="minorHAnsi" w:cstheme="minorHAnsi"/>
          <w:color w:val="000000"/>
        </w:rPr>
        <w:t xml:space="preserve">the </w:t>
      </w:r>
      <w:r w:rsidR="00785FE7" w:rsidRPr="00DB7DAE">
        <w:rPr>
          <w:rFonts w:asciiTheme="minorHAnsi" w:hAnsiTheme="minorHAnsi" w:cstheme="minorHAnsi"/>
          <w:color w:val="000000"/>
        </w:rPr>
        <w:t>final asset allocation of superannuation member contributions can:</w:t>
      </w:r>
    </w:p>
    <w:p w14:paraId="4551E40C" w14:textId="3DF2CB2C" w:rsidR="007E195F" w:rsidRPr="00C66D67" w:rsidRDefault="009B4EDF" w:rsidP="007E195F">
      <w:pPr>
        <w:pStyle w:val="Bullet"/>
        <w:rPr>
          <w:color w:val="000000"/>
          <w:sz w:val="24"/>
          <w:szCs w:val="30"/>
        </w:rPr>
      </w:pPr>
      <w:r w:rsidRPr="00C66D67">
        <w:rPr>
          <w:sz w:val="24"/>
          <w:szCs w:val="30"/>
        </w:rPr>
        <w:t xml:space="preserve">restrict the ability of investors to discover if a fund is investing in </w:t>
      </w:r>
      <w:r w:rsidR="00113557">
        <w:rPr>
          <w:sz w:val="24"/>
          <w:szCs w:val="30"/>
        </w:rPr>
        <w:t xml:space="preserve">a particular </w:t>
      </w:r>
      <w:r w:rsidRPr="00C66D67">
        <w:rPr>
          <w:sz w:val="24"/>
          <w:szCs w:val="30"/>
        </w:rPr>
        <w:t xml:space="preserve">sector, which is important to some </w:t>
      </w:r>
      <w:proofErr w:type="gramStart"/>
      <w:r w:rsidRPr="00C66D67">
        <w:rPr>
          <w:sz w:val="24"/>
          <w:szCs w:val="30"/>
        </w:rPr>
        <w:t>investors;</w:t>
      </w:r>
      <w:proofErr w:type="gramEnd"/>
    </w:p>
    <w:p w14:paraId="29E13604" w14:textId="1E69BB47" w:rsidR="007E195F" w:rsidRDefault="00785FE7" w:rsidP="007E195F">
      <w:pPr>
        <w:pStyle w:val="Bullet"/>
        <w:rPr>
          <w:color w:val="000000"/>
        </w:rPr>
      </w:pPr>
      <w:r w:rsidRPr="007E195F">
        <w:rPr>
          <w:rFonts w:asciiTheme="minorHAnsi" w:hAnsiTheme="minorHAnsi" w:cstheme="minorHAnsi"/>
          <w:color w:val="000000"/>
          <w:sz w:val="24"/>
          <w:szCs w:val="24"/>
        </w:rPr>
        <w:t>hinder</w:t>
      </w:r>
      <w:r w:rsidRPr="007E195F">
        <w:rPr>
          <w:rFonts w:asciiTheme="minorHAnsi" w:hAnsiTheme="minorHAnsi" w:cstheme="minorHAnsi"/>
          <w:sz w:val="24"/>
          <w:szCs w:val="24"/>
        </w:rPr>
        <w:t xml:space="preserve"> researchers, </w:t>
      </w:r>
      <w:r w:rsidR="003B4476" w:rsidRPr="007E195F">
        <w:rPr>
          <w:rFonts w:asciiTheme="minorHAnsi" w:hAnsiTheme="minorHAnsi" w:cstheme="minorHAnsi"/>
          <w:sz w:val="24"/>
          <w:szCs w:val="24"/>
        </w:rPr>
        <w:t>investors,</w:t>
      </w:r>
      <w:r w:rsidRPr="007E195F">
        <w:rPr>
          <w:rFonts w:asciiTheme="minorHAnsi" w:hAnsiTheme="minorHAnsi" w:cstheme="minorHAnsi"/>
          <w:sz w:val="24"/>
          <w:szCs w:val="24"/>
        </w:rPr>
        <w:t xml:space="preserve"> and financial planners in determining the risks of </w:t>
      </w:r>
      <w:proofErr w:type="gramStart"/>
      <w:r w:rsidRPr="007E195F">
        <w:rPr>
          <w:rFonts w:asciiTheme="minorHAnsi" w:hAnsiTheme="minorHAnsi" w:cstheme="minorHAnsi"/>
          <w:sz w:val="24"/>
          <w:szCs w:val="24"/>
        </w:rPr>
        <w:t>particular investments</w:t>
      </w:r>
      <w:proofErr w:type="gramEnd"/>
      <w:r w:rsidRPr="007E195F">
        <w:rPr>
          <w:rFonts w:asciiTheme="minorHAnsi" w:hAnsiTheme="minorHAnsi" w:cstheme="minorHAnsi"/>
          <w:sz w:val="24"/>
          <w:szCs w:val="24"/>
        </w:rPr>
        <w:t xml:space="preserve">; and </w:t>
      </w:r>
    </w:p>
    <w:p w14:paraId="3FE1F977" w14:textId="77777777" w:rsidR="00785FE7" w:rsidRPr="007E195F" w:rsidRDefault="00785FE7" w:rsidP="007E195F">
      <w:pPr>
        <w:pStyle w:val="Bullet"/>
        <w:rPr>
          <w:color w:val="000000"/>
        </w:rPr>
      </w:pPr>
      <w:r w:rsidRPr="007E195F">
        <w:rPr>
          <w:rFonts w:asciiTheme="minorHAnsi" w:hAnsiTheme="minorHAnsi" w:cstheme="minorHAnsi"/>
          <w:sz w:val="24"/>
          <w:szCs w:val="24"/>
        </w:rPr>
        <w:t>fail to ensure investors have adequate protection, as investors are unable to establish whether a fund manager is investing in particularly risky markets or acting in a fraudulent manner.</w:t>
      </w:r>
    </w:p>
    <w:p w14:paraId="2A95E70D" w14:textId="66EB23B5" w:rsidR="00DC4C41" w:rsidRPr="00DB7DAE" w:rsidRDefault="00785FE7" w:rsidP="00DC4C41">
      <w:pPr>
        <w:pStyle w:val="CABParaSub"/>
        <w:rPr>
          <w:rFonts w:asciiTheme="minorHAnsi" w:hAnsiTheme="minorHAnsi" w:cstheme="minorHAnsi"/>
        </w:rPr>
      </w:pPr>
      <w:r>
        <w:rPr>
          <w:rFonts w:asciiTheme="minorHAnsi" w:hAnsiTheme="minorHAnsi" w:cstheme="minorHAnsi"/>
        </w:rPr>
        <w:t>I</w:t>
      </w:r>
      <w:r w:rsidR="00DC4C41" w:rsidRPr="00DB7DAE">
        <w:rPr>
          <w:rFonts w:asciiTheme="minorHAnsi" w:hAnsiTheme="minorHAnsi" w:cstheme="minorHAnsi"/>
        </w:rPr>
        <w:t>n 2013</w:t>
      </w:r>
      <w:r w:rsidR="003257E1" w:rsidRPr="00DB7DAE">
        <w:rPr>
          <w:rFonts w:asciiTheme="minorHAnsi" w:hAnsiTheme="minorHAnsi" w:cstheme="minorHAnsi"/>
        </w:rPr>
        <w:t xml:space="preserve">, </w:t>
      </w:r>
      <w:r w:rsidR="00DC4C41" w:rsidRPr="00DB7DAE">
        <w:rPr>
          <w:rFonts w:asciiTheme="minorHAnsi" w:hAnsiTheme="minorHAnsi" w:cstheme="minorHAnsi"/>
        </w:rPr>
        <w:t>2015</w:t>
      </w:r>
      <w:r w:rsidR="003257E1" w:rsidRPr="00DB7DAE">
        <w:rPr>
          <w:rFonts w:asciiTheme="minorHAnsi" w:hAnsiTheme="minorHAnsi" w:cstheme="minorHAnsi"/>
        </w:rPr>
        <w:t xml:space="preserve"> and 2020</w:t>
      </w:r>
      <w:r>
        <w:rPr>
          <w:rFonts w:asciiTheme="minorHAnsi" w:hAnsiTheme="minorHAnsi" w:cstheme="minorHAnsi"/>
        </w:rPr>
        <w:t>,</w:t>
      </w:r>
      <w:r w:rsidRPr="00DB7DAE">
        <w:rPr>
          <w:rStyle w:val="FootnoteReference"/>
          <w:rFonts w:asciiTheme="minorHAnsi" w:hAnsiTheme="minorHAnsi" w:cstheme="minorHAnsi"/>
        </w:rPr>
        <w:footnoteReference w:id="11"/>
      </w:r>
      <w:r>
        <w:rPr>
          <w:rFonts w:asciiTheme="minorHAnsi" w:hAnsiTheme="minorHAnsi" w:cstheme="minorHAnsi"/>
        </w:rPr>
        <w:t xml:space="preserve"> Morningstar also</w:t>
      </w:r>
      <w:r w:rsidR="00DC4C41" w:rsidRPr="00DB7DAE">
        <w:rPr>
          <w:rFonts w:asciiTheme="minorHAnsi" w:hAnsiTheme="minorHAnsi" w:cstheme="minorHAnsi"/>
        </w:rPr>
        <w:t xml:space="preserve"> </w:t>
      </w:r>
      <w:r>
        <w:rPr>
          <w:rFonts w:asciiTheme="minorHAnsi" w:hAnsiTheme="minorHAnsi" w:cstheme="minorHAnsi"/>
        </w:rPr>
        <w:t>noted</w:t>
      </w:r>
      <w:r w:rsidRPr="00DB7DAE">
        <w:rPr>
          <w:rFonts w:asciiTheme="minorHAnsi" w:hAnsiTheme="minorHAnsi" w:cstheme="minorHAnsi"/>
        </w:rPr>
        <w:t xml:space="preserve"> </w:t>
      </w:r>
      <w:r w:rsidR="00DC4C41" w:rsidRPr="00DB7DAE">
        <w:rPr>
          <w:rFonts w:asciiTheme="minorHAnsi" w:hAnsiTheme="minorHAnsi" w:cstheme="minorHAnsi"/>
        </w:rPr>
        <w:t xml:space="preserve">that Australia </w:t>
      </w:r>
      <w:proofErr w:type="gramStart"/>
      <w:r w:rsidR="00DC4C41" w:rsidRPr="00DB7DAE">
        <w:rPr>
          <w:rFonts w:asciiTheme="minorHAnsi" w:hAnsiTheme="minorHAnsi" w:cstheme="minorHAnsi"/>
        </w:rPr>
        <w:t>lag</w:t>
      </w:r>
      <w:r w:rsidR="000D3D46" w:rsidRPr="00DB7DAE">
        <w:rPr>
          <w:rFonts w:asciiTheme="minorHAnsi" w:hAnsiTheme="minorHAnsi" w:cstheme="minorHAnsi"/>
        </w:rPr>
        <w:t>s</w:t>
      </w:r>
      <w:r w:rsidR="00DC4C41" w:rsidRPr="00DB7DAE">
        <w:rPr>
          <w:rFonts w:asciiTheme="minorHAnsi" w:hAnsiTheme="minorHAnsi" w:cstheme="minorHAnsi"/>
        </w:rPr>
        <w:t xml:space="preserve"> behind</w:t>
      </w:r>
      <w:proofErr w:type="gramEnd"/>
      <w:r w:rsidR="00DC4C41" w:rsidRPr="00DB7DAE">
        <w:rPr>
          <w:rFonts w:asciiTheme="minorHAnsi" w:hAnsiTheme="minorHAnsi" w:cstheme="minorHAnsi"/>
        </w:rPr>
        <w:t xml:space="preserve"> international best practice when it comes to improved transparency in relation to the final assets to which superannuation funds invest (portfolio holdings). </w:t>
      </w:r>
    </w:p>
    <w:p w14:paraId="26DE7B2A" w14:textId="77777777" w:rsidR="00DC4C41" w:rsidRDefault="00DC4C41" w:rsidP="00DC4C41">
      <w:pPr>
        <w:pStyle w:val="CABParaSub"/>
        <w:ind w:left="567"/>
        <w:rPr>
          <w:rFonts w:asciiTheme="minorHAnsi" w:eastAsia="Times New Roman" w:hAnsiTheme="minorHAnsi" w:cstheme="minorHAnsi"/>
          <w:i/>
          <w:lang w:eastAsia="en-AU"/>
        </w:rPr>
      </w:pPr>
      <w:r w:rsidRPr="00DB7DAE">
        <w:rPr>
          <w:rFonts w:asciiTheme="minorHAnsi" w:eastAsia="Times New Roman" w:hAnsiTheme="minorHAnsi" w:cstheme="minorHAnsi"/>
          <w:i/>
          <w:lang w:eastAsia="en-AU"/>
        </w:rPr>
        <w:t xml:space="preserve">"Most managers around the world provide portfolio disclosures monthly," says Anthony </w:t>
      </w:r>
      <w:proofErr w:type="spellStart"/>
      <w:r w:rsidRPr="00DB7DAE">
        <w:rPr>
          <w:rFonts w:asciiTheme="minorHAnsi" w:eastAsia="Times New Roman" w:hAnsiTheme="minorHAnsi" w:cstheme="minorHAnsi"/>
          <w:i/>
          <w:lang w:eastAsia="en-AU"/>
        </w:rPr>
        <w:t>Serhan</w:t>
      </w:r>
      <w:proofErr w:type="spellEnd"/>
      <w:r w:rsidRPr="00DB7DAE">
        <w:rPr>
          <w:rFonts w:asciiTheme="minorHAnsi" w:eastAsia="Times New Roman" w:hAnsiTheme="minorHAnsi" w:cstheme="minorHAnsi"/>
          <w:i/>
          <w:lang w:eastAsia="en-AU"/>
        </w:rPr>
        <w:t>, Morningstar's managing director of research strategy for the Asia-Pacific. "Of the 25 markets we looked at, Australia is now the only market with no implemented, regulated form of portfolio holdings disclosure.  "New Zealand has implemented it. We think this is going to help people understand their funds a lot better."</w:t>
      </w:r>
      <w:r w:rsidRPr="00DB7DAE">
        <w:rPr>
          <w:rFonts w:asciiTheme="minorHAnsi" w:eastAsia="Times New Roman" w:hAnsiTheme="minorHAnsi" w:cstheme="minorHAnsi"/>
          <w:i/>
          <w:vertAlign w:val="superscript"/>
          <w:lang w:eastAsia="en-AU"/>
        </w:rPr>
        <w:footnoteReference w:id="12"/>
      </w:r>
      <w:r w:rsidRPr="00DB7DAE">
        <w:rPr>
          <w:rFonts w:asciiTheme="minorHAnsi" w:eastAsia="Times New Roman" w:hAnsiTheme="minorHAnsi" w:cstheme="minorHAnsi"/>
          <w:i/>
          <w:lang w:eastAsia="en-AU"/>
        </w:rPr>
        <w:t xml:space="preserve"> </w:t>
      </w:r>
    </w:p>
    <w:p w14:paraId="10F80FFB" w14:textId="006994DD" w:rsidR="00C9512E" w:rsidRPr="002D5245" w:rsidRDefault="00CF21C5" w:rsidP="002D5245">
      <w:pPr>
        <w:pStyle w:val="CABParaSub"/>
        <w:rPr>
          <w:rFonts w:asciiTheme="minorHAnsi" w:eastAsia="Times New Roman" w:hAnsiTheme="minorHAnsi" w:cstheme="minorHAnsi"/>
          <w:bCs/>
          <w:i/>
          <w:lang w:eastAsia="en-AU"/>
        </w:rPr>
      </w:pPr>
      <w:r w:rsidRPr="000E7939">
        <w:rPr>
          <w:rFonts w:asciiTheme="minorHAnsi" w:hAnsiTheme="minorHAnsi" w:cstheme="minorHAnsi"/>
        </w:rPr>
        <w:t xml:space="preserve">Aware Super in </w:t>
      </w:r>
      <w:r w:rsidR="00A333BB">
        <w:rPr>
          <w:rFonts w:asciiTheme="minorHAnsi" w:hAnsiTheme="minorHAnsi" w:cstheme="minorHAnsi"/>
        </w:rPr>
        <w:t>its</w:t>
      </w:r>
      <w:r w:rsidR="00A333BB" w:rsidRPr="000E7939">
        <w:rPr>
          <w:rFonts w:asciiTheme="minorHAnsi" w:hAnsiTheme="minorHAnsi" w:cstheme="minorHAnsi"/>
        </w:rPr>
        <w:t xml:space="preserve"> </w:t>
      </w:r>
      <w:r w:rsidRPr="000E7939">
        <w:rPr>
          <w:rFonts w:asciiTheme="minorHAnsi" w:hAnsiTheme="minorHAnsi" w:cstheme="minorHAnsi"/>
        </w:rPr>
        <w:t xml:space="preserve">submission to the </w:t>
      </w:r>
      <w:r w:rsidR="00BA22F2" w:rsidRPr="000E7939">
        <w:rPr>
          <w:rFonts w:asciiTheme="minorHAnsi" w:hAnsiTheme="minorHAnsi" w:cstheme="minorHAnsi"/>
        </w:rPr>
        <w:t>‘</w:t>
      </w:r>
      <w:r w:rsidR="00BA22F2" w:rsidRPr="002215E0">
        <w:rPr>
          <w:rFonts w:asciiTheme="minorHAnsi" w:hAnsiTheme="minorHAnsi" w:cstheme="minorHAnsi"/>
          <w:i/>
          <w:iCs/>
        </w:rPr>
        <w:t>Your Future, Your Super</w:t>
      </w:r>
      <w:r w:rsidR="00BA22F2" w:rsidRPr="000E7939">
        <w:rPr>
          <w:rFonts w:asciiTheme="minorHAnsi" w:hAnsiTheme="minorHAnsi" w:cstheme="minorHAnsi"/>
        </w:rPr>
        <w:t xml:space="preserve"> Regulations and associated measures’</w:t>
      </w:r>
      <w:r w:rsidRPr="000E7939">
        <w:rPr>
          <w:rFonts w:asciiTheme="minorHAnsi" w:hAnsiTheme="minorHAnsi" w:cstheme="minorHAnsi"/>
        </w:rPr>
        <w:t xml:space="preserve"> consultation</w:t>
      </w:r>
      <w:r w:rsidR="00BA22F2" w:rsidRPr="000E7939">
        <w:rPr>
          <w:rFonts w:asciiTheme="minorHAnsi" w:hAnsiTheme="minorHAnsi" w:cstheme="minorHAnsi"/>
        </w:rPr>
        <w:t>,</w:t>
      </w:r>
      <w:r w:rsidRPr="000E7939">
        <w:rPr>
          <w:rFonts w:asciiTheme="minorHAnsi" w:hAnsiTheme="minorHAnsi" w:cstheme="minorHAnsi"/>
        </w:rPr>
        <w:t xml:space="preserve"> noted that “Australia lags many other jurisdictions in providing information on investments held by each investment option”</w:t>
      </w:r>
      <w:r w:rsidR="00BA22F2" w:rsidRPr="000E7939">
        <w:rPr>
          <w:rStyle w:val="FootnoteReference"/>
          <w:rFonts w:asciiTheme="minorHAnsi" w:hAnsiTheme="minorHAnsi" w:cstheme="minorHAnsi"/>
        </w:rPr>
        <w:footnoteReference w:id="13"/>
      </w:r>
      <w:r w:rsidRPr="000E7939">
        <w:rPr>
          <w:rFonts w:asciiTheme="minorHAnsi" w:hAnsiTheme="minorHAnsi" w:cstheme="minorHAnsi"/>
        </w:rPr>
        <w:t xml:space="preserve">. </w:t>
      </w:r>
      <w:r w:rsidR="00BA22F2" w:rsidRPr="000E7939">
        <w:rPr>
          <w:rFonts w:asciiTheme="minorHAnsi" w:hAnsiTheme="minorHAnsi" w:cstheme="minorHAnsi"/>
        </w:rPr>
        <w:t xml:space="preserve">Furthermore, the </w:t>
      </w:r>
      <w:r w:rsidR="00DF013A" w:rsidRPr="000E7939">
        <w:rPr>
          <w:rFonts w:asciiTheme="minorHAnsi" w:hAnsiTheme="minorHAnsi" w:cstheme="minorHAnsi"/>
        </w:rPr>
        <w:t xml:space="preserve">authors of the Morningstar Report </w:t>
      </w:r>
      <w:r w:rsidR="00BA22F2" w:rsidRPr="000E7939">
        <w:rPr>
          <w:rFonts w:asciiTheme="minorHAnsi" w:hAnsiTheme="minorHAnsi" w:cstheme="minorHAnsi"/>
        </w:rPr>
        <w:t>said that</w:t>
      </w:r>
      <w:r w:rsidR="008A3261" w:rsidRPr="000E7939">
        <w:rPr>
          <w:rFonts w:asciiTheme="minorHAnsi" w:hAnsiTheme="minorHAnsi" w:cstheme="minorHAnsi"/>
        </w:rPr>
        <w:t xml:space="preserve"> </w:t>
      </w:r>
      <w:r w:rsidR="00C958D5" w:rsidRPr="000E7939">
        <w:rPr>
          <w:rFonts w:asciiTheme="minorHAnsi" w:hAnsiTheme="minorHAnsi" w:cstheme="minorHAnsi"/>
        </w:rPr>
        <w:t>“for a country that aspires to be considered a global financial centre, having weak regulation that endorses</w:t>
      </w:r>
      <w:r w:rsidR="00C958D5" w:rsidRPr="002D5245">
        <w:rPr>
          <w:rFonts w:asciiTheme="minorHAnsi" w:hAnsiTheme="minorHAnsi" w:cstheme="minorHAnsi"/>
        </w:rPr>
        <w:t xml:space="preserve"> substandard portfolio disclosures should be a concern for all industry participants and is not in the best interests of retail investors</w:t>
      </w:r>
      <w:r w:rsidR="008A3261" w:rsidRPr="002D5245">
        <w:rPr>
          <w:rFonts w:asciiTheme="minorHAnsi" w:hAnsiTheme="minorHAnsi" w:cstheme="minorHAnsi"/>
        </w:rPr>
        <w:t>."</w:t>
      </w:r>
      <w:r w:rsidR="000426D0" w:rsidRPr="002D5245">
        <w:rPr>
          <w:rFonts w:asciiTheme="minorHAnsi" w:hAnsiTheme="minorHAnsi" w:cstheme="minorHAnsi"/>
          <w:vertAlign w:val="superscript"/>
        </w:rPr>
        <w:footnoteReference w:id="14"/>
      </w:r>
    </w:p>
    <w:p w14:paraId="59017778" w14:textId="311515F4" w:rsidR="00EA5697" w:rsidRPr="00DB7DAE" w:rsidRDefault="007B41FD" w:rsidP="007B41FD">
      <w:pPr>
        <w:pStyle w:val="Heading1numbered"/>
        <w:rPr>
          <w:rFonts w:asciiTheme="minorHAnsi" w:hAnsiTheme="minorHAnsi" w:cstheme="minorHAnsi"/>
          <w:sz w:val="24"/>
          <w:szCs w:val="24"/>
        </w:rPr>
      </w:pPr>
      <w:bookmarkStart w:id="2" w:name="_Toc86998879"/>
      <w:r w:rsidRPr="00DB7DAE">
        <w:rPr>
          <w:rFonts w:asciiTheme="minorHAnsi" w:hAnsiTheme="minorHAnsi" w:cstheme="minorHAnsi"/>
          <w:sz w:val="24"/>
          <w:szCs w:val="24"/>
        </w:rPr>
        <w:lastRenderedPageBreak/>
        <w:t>Why is government action needed?</w:t>
      </w:r>
      <w:bookmarkEnd w:id="2"/>
    </w:p>
    <w:p w14:paraId="58BF05B1" w14:textId="57D6DD2F" w:rsidR="00FB5284" w:rsidRDefault="00FB5284" w:rsidP="005C13A5">
      <w:pPr>
        <w:pStyle w:val="CABParaSub"/>
        <w:rPr>
          <w:rFonts w:asciiTheme="minorHAnsi" w:hAnsiTheme="minorHAnsi" w:cstheme="minorHAnsi"/>
          <w:b/>
        </w:rPr>
      </w:pPr>
      <w:proofErr w:type="gramStart"/>
      <w:r w:rsidRPr="005C13A5">
        <w:rPr>
          <w:rFonts w:asciiTheme="minorHAnsi" w:hAnsiTheme="minorHAnsi" w:cstheme="minorHAnsi"/>
        </w:rPr>
        <w:t>The majority of</w:t>
      </w:r>
      <w:proofErr w:type="gramEnd"/>
      <w:r w:rsidRPr="005C13A5">
        <w:rPr>
          <w:rFonts w:asciiTheme="minorHAnsi" w:hAnsiTheme="minorHAnsi" w:cstheme="minorHAnsi"/>
        </w:rPr>
        <w:t xml:space="preserve"> superannuation funds are not voluntarily </w:t>
      </w:r>
      <w:r w:rsidR="007B469D" w:rsidRPr="005C13A5">
        <w:rPr>
          <w:rFonts w:asciiTheme="minorHAnsi" w:hAnsiTheme="minorHAnsi" w:cstheme="minorHAnsi"/>
        </w:rPr>
        <w:t>disclosing portfolio holdings</w:t>
      </w:r>
      <w:r w:rsidRPr="005C13A5">
        <w:rPr>
          <w:rFonts w:asciiTheme="minorHAnsi" w:hAnsiTheme="minorHAnsi" w:cstheme="minorHAnsi"/>
        </w:rPr>
        <w:t xml:space="preserve">. Some commentators, such as Rainmaker, have </w:t>
      </w:r>
      <w:r w:rsidR="007924D2" w:rsidRPr="005C13A5">
        <w:rPr>
          <w:rFonts w:asciiTheme="minorHAnsi" w:hAnsiTheme="minorHAnsi" w:cstheme="minorHAnsi"/>
        </w:rPr>
        <w:t xml:space="preserve">observed </w:t>
      </w:r>
      <w:r w:rsidRPr="005C13A5">
        <w:rPr>
          <w:rFonts w:asciiTheme="minorHAnsi" w:hAnsiTheme="minorHAnsi" w:cstheme="minorHAnsi"/>
        </w:rPr>
        <w:t xml:space="preserve">that “PHD is practiced by only 60 super funds, being about one-third of APRA-regulated super funds. Most funds that practice PHD do so for their </w:t>
      </w:r>
      <w:proofErr w:type="gramStart"/>
      <w:r w:rsidRPr="005C13A5">
        <w:rPr>
          <w:rFonts w:asciiTheme="minorHAnsi" w:hAnsiTheme="minorHAnsi" w:cstheme="minorHAnsi"/>
        </w:rPr>
        <w:t>equities</w:t>
      </w:r>
      <w:proofErr w:type="gramEnd"/>
      <w:r w:rsidRPr="005C13A5">
        <w:rPr>
          <w:rFonts w:asciiTheme="minorHAnsi" w:hAnsiTheme="minorHAnsi" w:cstheme="minorHAnsi"/>
        </w:rPr>
        <w:t xml:space="preserve"> holdings, with only a small number doing so</w:t>
      </w:r>
      <w:r w:rsidR="00E35319">
        <w:rPr>
          <w:rFonts w:asciiTheme="minorHAnsi" w:hAnsiTheme="minorHAnsi" w:cstheme="minorHAnsi"/>
        </w:rPr>
        <w:t xml:space="preserve"> for</w:t>
      </w:r>
      <w:r w:rsidRPr="005C13A5">
        <w:rPr>
          <w:rFonts w:asciiTheme="minorHAnsi" w:hAnsiTheme="minorHAnsi" w:cstheme="minorHAnsi"/>
        </w:rPr>
        <w:t xml:space="preserve"> other asset classes such as property, bonds, infrastructure, private </w:t>
      </w:r>
      <w:r w:rsidR="003B4476" w:rsidRPr="005C13A5">
        <w:rPr>
          <w:rFonts w:asciiTheme="minorHAnsi" w:hAnsiTheme="minorHAnsi" w:cstheme="minorHAnsi"/>
        </w:rPr>
        <w:t>equity,</w:t>
      </w:r>
      <w:r w:rsidRPr="005C13A5">
        <w:rPr>
          <w:rFonts w:asciiTheme="minorHAnsi" w:hAnsiTheme="minorHAnsi" w:cstheme="minorHAnsi"/>
        </w:rPr>
        <w:t xml:space="preserve"> and cash. Of the funds that disclose their major shareholdings, they typically disclose only the largest 20 holdings, 6-monthly in arrears.”</w:t>
      </w:r>
      <w:r w:rsidR="00DF1F68">
        <w:rPr>
          <w:rStyle w:val="FootnoteReference"/>
          <w:rFonts w:asciiTheme="minorHAnsi" w:hAnsiTheme="minorHAnsi" w:cstheme="minorHAnsi"/>
        </w:rPr>
        <w:footnoteReference w:id="15"/>
      </w:r>
      <w:r w:rsidR="00263883" w:rsidRPr="005C13A5">
        <w:rPr>
          <w:rFonts w:asciiTheme="minorHAnsi" w:hAnsiTheme="minorHAnsi" w:cstheme="minorHAnsi"/>
        </w:rPr>
        <w:t xml:space="preserve"> </w:t>
      </w:r>
      <w:r w:rsidRPr="005C13A5">
        <w:rPr>
          <w:rFonts w:asciiTheme="minorHAnsi" w:hAnsiTheme="minorHAnsi" w:cstheme="minorHAnsi"/>
        </w:rPr>
        <w:t xml:space="preserve">    </w:t>
      </w:r>
    </w:p>
    <w:p w14:paraId="74399CE2" w14:textId="4D8B99CF" w:rsidR="00D62188" w:rsidRDefault="00FB5284" w:rsidP="005C13A5">
      <w:pPr>
        <w:pStyle w:val="CABParaSub"/>
        <w:rPr>
          <w:rFonts w:asciiTheme="minorHAnsi" w:hAnsiTheme="minorHAnsi" w:cstheme="minorHAnsi"/>
        </w:rPr>
      </w:pPr>
      <w:r w:rsidRPr="005C13A5">
        <w:rPr>
          <w:rFonts w:asciiTheme="minorHAnsi" w:hAnsiTheme="minorHAnsi" w:cstheme="minorHAnsi"/>
        </w:rPr>
        <w:t>On this basis</w:t>
      </w:r>
      <w:r w:rsidR="00A333BB">
        <w:rPr>
          <w:rFonts w:asciiTheme="minorHAnsi" w:hAnsiTheme="minorHAnsi" w:cstheme="minorHAnsi"/>
        </w:rPr>
        <w:t>,</w:t>
      </w:r>
      <w:r w:rsidRPr="005C13A5">
        <w:rPr>
          <w:rFonts w:asciiTheme="minorHAnsi" w:hAnsiTheme="minorHAnsi" w:cstheme="minorHAnsi"/>
        </w:rPr>
        <w:t xml:space="preserve"> Government intervention is needed to</w:t>
      </w:r>
      <w:r>
        <w:rPr>
          <w:rFonts w:asciiTheme="minorHAnsi" w:hAnsiTheme="minorHAnsi" w:cstheme="minorHAnsi"/>
        </w:rPr>
        <w:t xml:space="preserve"> </w:t>
      </w:r>
      <w:r w:rsidR="00D62188">
        <w:rPr>
          <w:rFonts w:asciiTheme="minorHAnsi" w:hAnsiTheme="minorHAnsi" w:cstheme="minorHAnsi"/>
        </w:rPr>
        <w:t xml:space="preserve">deliver </w:t>
      </w:r>
      <w:r w:rsidR="00867A54">
        <w:rPr>
          <w:rFonts w:asciiTheme="minorHAnsi" w:hAnsiTheme="minorHAnsi" w:cstheme="minorHAnsi"/>
        </w:rPr>
        <w:t xml:space="preserve">increased and consistent </w:t>
      </w:r>
      <w:r w:rsidRPr="005C13A5">
        <w:rPr>
          <w:rFonts w:asciiTheme="minorHAnsi" w:hAnsiTheme="minorHAnsi" w:cstheme="minorHAnsi"/>
        </w:rPr>
        <w:t>transparency amongst superannuation funds, allow</w:t>
      </w:r>
      <w:r w:rsidR="00D62188">
        <w:rPr>
          <w:rFonts w:asciiTheme="minorHAnsi" w:hAnsiTheme="minorHAnsi" w:cstheme="minorHAnsi"/>
        </w:rPr>
        <w:t>ing for</w:t>
      </w:r>
      <w:r w:rsidRPr="005C13A5">
        <w:rPr>
          <w:rFonts w:asciiTheme="minorHAnsi" w:hAnsiTheme="minorHAnsi" w:cstheme="minorHAnsi"/>
        </w:rPr>
        <w:t xml:space="preserve"> more informed decision making and enhanc</w:t>
      </w:r>
      <w:r w:rsidR="00D62188">
        <w:rPr>
          <w:rFonts w:asciiTheme="minorHAnsi" w:hAnsiTheme="minorHAnsi" w:cstheme="minorHAnsi"/>
        </w:rPr>
        <w:t>ing</w:t>
      </w:r>
      <w:r w:rsidRPr="005C13A5">
        <w:rPr>
          <w:rFonts w:asciiTheme="minorHAnsi" w:hAnsiTheme="minorHAnsi" w:cstheme="minorHAnsi"/>
        </w:rPr>
        <w:t xml:space="preserve"> confidence and competition in the superannuation system.</w:t>
      </w:r>
      <w:r w:rsidR="003919E9" w:rsidRPr="005C13A5">
        <w:rPr>
          <w:rFonts w:asciiTheme="minorHAnsi" w:hAnsiTheme="minorHAnsi" w:cstheme="minorHAnsi"/>
        </w:rPr>
        <w:t xml:space="preserve"> </w:t>
      </w:r>
    </w:p>
    <w:p w14:paraId="7DFE5E63" w14:textId="6FC1ADE8" w:rsidR="00121AB7" w:rsidRPr="00DB7DAE" w:rsidRDefault="007924D2" w:rsidP="005C13A5">
      <w:pPr>
        <w:pStyle w:val="CABParaSub"/>
        <w:rPr>
          <w:rFonts w:asciiTheme="minorHAnsi" w:hAnsiTheme="minorHAnsi" w:cstheme="minorHAnsi"/>
          <w:b/>
        </w:rPr>
      </w:pPr>
      <w:r w:rsidRPr="005C13A5">
        <w:rPr>
          <w:rFonts w:asciiTheme="minorHAnsi" w:hAnsiTheme="minorHAnsi" w:cstheme="minorHAnsi"/>
        </w:rPr>
        <w:t>In addition, f</w:t>
      </w:r>
      <w:r w:rsidR="001A1BF9" w:rsidRPr="005C13A5">
        <w:rPr>
          <w:rFonts w:asciiTheme="minorHAnsi" w:hAnsiTheme="minorHAnsi" w:cstheme="minorHAnsi"/>
        </w:rPr>
        <w:t>ollowing the Cooper Review</w:t>
      </w:r>
      <w:r w:rsidR="00C66D67" w:rsidRPr="005C13A5">
        <w:rPr>
          <w:rFonts w:asciiTheme="minorHAnsi" w:hAnsiTheme="minorHAnsi" w:cstheme="minorHAnsi"/>
        </w:rPr>
        <w:t xml:space="preserve"> recommendation</w:t>
      </w:r>
      <w:r w:rsidR="00D207ED" w:rsidRPr="005C13A5">
        <w:rPr>
          <w:rFonts w:asciiTheme="minorHAnsi" w:hAnsiTheme="minorHAnsi" w:cstheme="minorHAnsi"/>
        </w:rPr>
        <w:t>,</w:t>
      </w:r>
      <w:r w:rsidR="001A1BF9" w:rsidRPr="005C13A5">
        <w:rPr>
          <w:rFonts w:asciiTheme="minorHAnsi" w:hAnsiTheme="minorHAnsi" w:cstheme="minorHAnsi"/>
        </w:rPr>
        <w:t xml:space="preserve"> </w:t>
      </w:r>
      <w:r w:rsidR="00D207ED" w:rsidRPr="005C13A5">
        <w:rPr>
          <w:rFonts w:asciiTheme="minorHAnsi" w:hAnsiTheme="minorHAnsi" w:cstheme="minorHAnsi"/>
        </w:rPr>
        <w:t xml:space="preserve">the </w:t>
      </w:r>
      <w:r w:rsidR="00D207ED" w:rsidRPr="005C13A5">
        <w:rPr>
          <w:rFonts w:asciiTheme="minorHAnsi" w:hAnsiTheme="minorHAnsi" w:cstheme="minorHAnsi"/>
          <w:i/>
          <w:iCs/>
        </w:rPr>
        <w:t xml:space="preserve">Superannuation Legislation Amendment (Further </w:t>
      </w:r>
      <w:proofErr w:type="spellStart"/>
      <w:r w:rsidR="00D207ED" w:rsidRPr="005C13A5">
        <w:rPr>
          <w:rFonts w:asciiTheme="minorHAnsi" w:hAnsiTheme="minorHAnsi" w:cstheme="minorHAnsi"/>
          <w:i/>
          <w:iCs/>
        </w:rPr>
        <w:t>MySuper</w:t>
      </w:r>
      <w:proofErr w:type="spellEnd"/>
      <w:r w:rsidR="00D207ED" w:rsidRPr="005C13A5">
        <w:rPr>
          <w:rFonts w:asciiTheme="minorHAnsi" w:hAnsiTheme="minorHAnsi" w:cstheme="minorHAnsi"/>
          <w:i/>
          <w:iCs/>
        </w:rPr>
        <w:t xml:space="preserve"> and Transparency Measures) Act 2012</w:t>
      </w:r>
      <w:r w:rsidR="00D207ED" w:rsidRPr="005C13A5">
        <w:rPr>
          <w:rFonts w:asciiTheme="minorHAnsi" w:hAnsiTheme="minorHAnsi" w:cstheme="minorHAnsi"/>
        </w:rPr>
        <w:t xml:space="preserve"> amended the Corporations Act to </w:t>
      </w:r>
      <w:r w:rsidR="00121AB7" w:rsidRPr="005C13A5">
        <w:rPr>
          <w:rFonts w:asciiTheme="minorHAnsi" w:hAnsiTheme="minorHAnsi" w:cstheme="minorHAnsi"/>
        </w:rPr>
        <w:t>establish the framework for superannuation funds to disclose portfolio holdings information</w:t>
      </w:r>
      <w:r w:rsidR="00D207ED" w:rsidRPr="005C13A5">
        <w:rPr>
          <w:rFonts w:asciiTheme="minorHAnsi" w:hAnsiTheme="minorHAnsi" w:cstheme="minorHAnsi"/>
        </w:rPr>
        <w:t xml:space="preserve"> (section 1017BB)</w:t>
      </w:r>
      <w:r w:rsidR="00121AB7" w:rsidRPr="005C13A5">
        <w:rPr>
          <w:rFonts w:asciiTheme="minorHAnsi" w:hAnsiTheme="minorHAnsi" w:cstheme="minorHAnsi"/>
        </w:rPr>
        <w:t xml:space="preserve">. This framework was subsequently amended by the </w:t>
      </w:r>
      <w:r w:rsidR="00121AB7" w:rsidRPr="005C13A5">
        <w:rPr>
          <w:rFonts w:asciiTheme="minorHAnsi" w:hAnsiTheme="minorHAnsi" w:cstheme="minorHAnsi"/>
          <w:i/>
          <w:iCs/>
        </w:rPr>
        <w:t>Treasury Laws Amendment (Improving Accountability and Member Outcomes in Superannuation) Act 2019</w:t>
      </w:r>
      <w:r w:rsidR="00121AB7" w:rsidRPr="005C13A5">
        <w:rPr>
          <w:rFonts w:asciiTheme="minorHAnsi" w:hAnsiTheme="minorHAnsi" w:cstheme="minorHAnsi"/>
        </w:rPr>
        <w:t xml:space="preserve"> and</w:t>
      </w:r>
      <w:r w:rsidR="00D421B9" w:rsidRPr="005C13A5">
        <w:rPr>
          <w:rFonts w:asciiTheme="minorHAnsi" w:hAnsiTheme="minorHAnsi" w:cstheme="minorHAnsi"/>
        </w:rPr>
        <w:t xml:space="preserve"> </w:t>
      </w:r>
      <w:r w:rsidR="00566EC0" w:rsidRPr="005C13A5">
        <w:rPr>
          <w:rFonts w:asciiTheme="minorHAnsi" w:hAnsiTheme="minorHAnsi" w:cstheme="minorHAnsi"/>
        </w:rPr>
        <w:t>more recently</w:t>
      </w:r>
      <w:r w:rsidR="00121AB7" w:rsidRPr="005C13A5">
        <w:rPr>
          <w:rFonts w:asciiTheme="minorHAnsi" w:hAnsiTheme="minorHAnsi" w:cstheme="minorHAnsi"/>
        </w:rPr>
        <w:t xml:space="preserve"> the </w:t>
      </w:r>
      <w:r w:rsidR="00121AB7" w:rsidRPr="005C13A5">
        <w:rPr>
          <w:rFonts w:asciiTheme="minorHAnsi" w:hAnsiTheme="minorHAnsi" w:cstheme="minorHAnsi"/>
          <w:i/>
          <w:iCs/>
        </w:rPr>
        <w:t xml:space="preserve">Treasury Laws Amendment (Your Future, Your Super) </w:t>
      </w:r>
      <w:r w:rsidR="00566EC0" w:rsidRPr="005C13A5">
        <w:rPr>
          <w:rFonts w:asciiTheme="minorHAnsi" w:hAnsiTheme="minorHAnsi" w:cstheme="minorHAnsi"/>
          <w:i/>
          <w:iCs/>
        </w:rPr>
        <w:t>Act</w:t>
      </w:r>
      <w:r w:rsidR="00121AB7" w:rsidRPr="005C13A5">
        <w:rPr>
          <w:rFonts w:asciiTheme="minorHAnsi" w:hAnsiTheme="minorHAnsi" w:cstheme="minorHAnsi"/>
          <w:i/>
          <w:iCs/>
        </w:rPr>
        <w:t xml:space="preserve"> 2021</w:t>
      </w:r>
      <w:r w:rsidR="00121AB7" w:rsidRPr="00566EC0">
        <w:rPr>
          <w:rFonts w:asciiTheme="minorHAnsi" w:hAnsiTheme="minorHAnsi" w:cstheme="minorHAnsi"/>
          <w:i/>
        </w:rPr>
        <w:t xml:space="preserve">. </w:t>
      </w:r>
    </w:p>
    <w:p w14:paraId="58A5ECBE" w14:textId="4BA420E2" w:rsidR="00121AB7" w:rsidRPr="00384CCB" w:rsidRDefault="001E645B" w:rsidP="005C13A5">
      <w:pPr>
        <w:pStyle w:val="CABParaSub"/>
        <w:rPr>
          <w:rFonts w:asciiTheme="minorHAnsi" w:hAnsiTheme="minorHAnsi" w:cstheme="minorHAnsi"/>
          <w:b/>
        </w:rPr>
      </w:pPr>
      <w:r w:rsidRPr="005C13A5">
        <w:rPr>
          <w:rFonts w:asciiTheme="minorHAnsi" w:hAnsiTheme="minorHAnsi" w:cstheme="minorHAnsi"/>
        </w:rPr>
        <w:t>To</w:t>
      </w:r>
      <w:r w:rsidR="00785FE7" w:rsidRPr="005C13A5">
        <w:rPr>
          <w:rFonts w:asciiTheme="minorHAnsi" w:hAnsiTheme="minorHAnsi" w:cstheme="minorHAnsi"/>
        </w:rPr>
        <w:t xml:space="preserve"> operationalise </w:t>
      </w:r>
      <w:r w:rsidR="00D207ED" w:rsidRPr="005C13A5">
        <w:rPr>
          <w:rFonts w:asciiTheme="minorHAnsi" w:hAnsiTheme="minorHAnsi" w:cstheme="minorHAnsi"/>
        </w:rPr>
        <w:t>section 1017BB of the Corporations Act, r</w:t>
      </w:r>
      <w:r w:rsidR="00121AB7" w:rsidRPr="005C13A5">
        <w:rPr>
          <w:rFonts w:asciiTheme="minorHAnsi" w:hAnsiTheme="minorHAnsi" w:cstheme="minorHAnsi"/>
        </w:rPr>
        <w:t>egulations are required</w:t>
      </w:r>
      <w:r w:rsidR="00776664" w:rsidRPr="005C13A5">
        <w:rPr>
          <w:rFonts w:asciiTheme="minorHAnsi" w:hAnsiTheme="minorHAnsi" w:cstheme="minorHAnsi"/>
        </w:rPr>
        <w:t xml:space="preserve"> ahead of ASIC Class Order relief expiring</w:t>
      </w:r>
      <w:r w:rsidR="00C370C0">
        <w:rPr>
          <w:rFonts w:asciiTheme="minorHAnsi" w:hAnsiTheme="minorHAnsi" w:cstheme="minorHAnsi"/>
        </w:rPr>
        <w:t xml:space="preserve">, so that industry </w:t>
      </w:r>
      <w:r w:rsidR="00D62188">
        <w:rPr>
          <w:rFonts w:asciiTheme="minorHAnsi" w:hAnsiTheme="minorHAnsi" w:cstheme="minorHAnsi"/>
        </w:rPr>
        <w:t xml:space="preserve">knows the level </w:t>
      </w:r>
      <w:r w:rsidR="0072288B">
        <w:rPr>
          <w:rFonts w:asciiTheme="minorHAnsi" w:hAnsiTheme="minorHAnsi" w:cstheme="minorHAnsi"/>
        </w:rPr>
        <w:t>of information required and method for disclosure</w:t>
      </w:r>
      <w:r w:rsidR="00D01E24">
        <w:rPr>
          <w:rFonts w:asciiTheme="minorHAnsi" w:hAnsiTheme="minorHAnsi" w:cstheme="minorHAnsi"/>
        </w:rPr>
        <w:t xml:space="preserve"> to meet their legal obligations</w:t>
      </w:r>
      <w:r w:rsidR="00C370C0">
        <w:rPr>
          <w:rFonts w:asciiTheme="minorHAnsi" w:hAnsiTheme="minorHAnsi" w:cstheme="minorHAnsi"/>
        </w:rPr>
        <w:t xml:space="preserve">. </w:t>
      </w:r>
    </w:p>
    <w:p w14:paraId="25739707" w14:textId="445B38BB" w:rsidR="00EA5697" w:rsidRPr="00DB7DAE" w:rsidRDefault="007B41FD" w:rsidP="007B41FD">
      <w:pPr>
        <w:pStyle w:val="Heading1numbered"/>
        <w:rPr>
          <w:rFonts w:asciiTheme="minorHAnsi" w:hAnsiTheme="minorHAnsi" w:cstheme="minorHAnsi"/>
          <w:sz w:val="24"/>
          <w:szCs w:val="24"/>
        </w:rPr>
      </w:pPr>
      <w:r w:rsidRPr="00DB7DAE">
        <w:rPr>
          <w:rFonts w:asciiTheme="minorHAnsi" w:hAnsiTheme="minorHAnsi" w:cstheme="minorHAnsi"/>
          <w:sz w:val="24"/>
          <w:szCs w:val="24"/>
        </w:rPr>
        <w:t xml:space="preserve"> </w:t>
      </w:r>
      <w:bookmarkStart w:id="3" w:name="_Toc86998880"/>
      <w:r w:rsidRPr="00DB7DAE">
        <w:rPr>
          <w:rFonts w:asciiTheme="minorHAnsi" w:hAnsiTheme="minorHAnsi" w:cstheme="minorHAnsi"/>
          <w:sz w:val="24"/>
          <w:szCs w:val="24"/>
        </w:rPr>
        <w:t>What policy options</w:t>
      </w:r>
      <w:r w:rsidR="002B2EE5" w:rsidRPr="00DB7DAE">
        <w:rPr>
          <w:rFonts w:asciiTheme="minorHAnsi" w:hAnsiTheme="minorHAnsi" w:cstheme="minorHAnsi"/>
          <w:sz w:val="24"/>
          <w:szCs w:val="24"/>
        </w:rPr>
        <w:t xml:space="preserve"> are you considering</w:t>
      </w:r>
      <w:r w:rsidRPr="00DB7DAE">
        <w:rPr>
          <w:rFonts w:asciiTheme="minorHAnsi" w:hAnsiTheme="minorHAnsi" w:cstheme="minorHAnsi"/>
          <w:sz w:val="24"/>
          <w:szCs w:val="24"/>
        </w:rPr>
        <w:t>?</w:t>
      </w:r>
      <w:bookmarkEnd w:id="3"/>
    </w:p>
    <w:p w14:paraId="2E0E46C5" w14:textId="3E7A4429" w:rsidR="00B854F7" w:rsidRPr="003F1F3B" w:rsidRDefault="00B854F7" w:rsidP="003F1F3B">
      <w:pPr>
        <w:tabs>
          <w:tab w:val="left" w:pos="567"/>
        </w:tabs>
        <w:spacing w:before="120" w:after="120"/>
        <w:rPr>
          <w:rFonts w:eastAsia="Calibri" w:cstheme="minorHAnsi"/>
          <w:i/>
          <w:iCs/>
          <w:color w:val="4F81BD" w:themeColor="accent1"/>
          <w:sz w:val="24"/>
          <w:szCs w:val="24"/>
        </w:rPr>
      </w:pPr>
      <w:r w:rsidRPr="003F1F3B">
        <w:rPr>
          <w:rFonts w:eastAsia="Calibri" w:cstheme="minorHAnsi"/>
          <w:i/>
          <w:iCs/>
          <w:color w:val="4F81BD" w:themeColor="accent1"/>
          <w:sz w:val="24"/>
          <w:szCs w:val="24"/>
        </w:rPr>
        <w:t xml:space="preserve">Option 1: </w:t>
      </w:r>
      <w:r w:rsidR="00000717" w:rsidRPr="003F1F3B">
        <w:rPr>
          <w:rFonts w:eastAsia="Calibri" w:cstheme="minorHAnsi"/>
          <w:i/>
          <w:iCs/>
          <w:color w:val="4F81BD" w:themeColor="accent1"/>
          <w:sz w:val="24"/>
          <w:szCs w:val="24"/>
        </w:rPr>
        <w:t>M</w:t>
      </w:r>
      <w:r w:rsidR="00DF146E" w:rsidRPr="003F1F3B">
        <w:rPr>
          <w:rFonts w:eastAsia="Calibri" w:cstheme="minorHAnsi"/>
          <w:i/>
          <w:iCs/>
          <w:color w:val="4F81BD" w:themeColor="accent1"/>
          <w:sz w:val="24"/>
          <w:szCs w:val="24"/>
        </w:rPr>
        <w:t>aintain current regulatory settings</w:t>
      </w:r>
    </w:p>
    <w:p w14:paraId="1DEA9BDE" w14:textId="67275239" w:rsidR="00DF146E" w:rsidRPr="00A33844" w:rsidRDefault="00DF146E" w:rsidP="00DF146E">
      <w:pPr>
        <w:pStyle w:val="CABParaSub"/>
        <w:rPr>
          <w:rFonts w:asciiTheme="minorHAnsi" w:hAnsiTheme="minorHAnsi" w:cstheme="minorHAnsi"/>
          <w:iCs/>
        </w:rPr>
      </w:pPr>
      <w:r>
        <w:rPr>
          <w:rFonts w:asciiTheme="minorHAnsi" w:hAnsiTheme="minorHAnsi" w:cstheme="minorHAnsi"/>
          <w:iCs/>
        </w:rPr>
        <w:t xml:space="preserve">The obligation to disclose portfolio holdings already exists in the primary law, in section 1017BB of the </w:t>
      </w:r>
      <w:r>
        <w:rPr>
          <w:rFonts w:asciiTheme="minorHAnsi" w:hAnsiTheme="minorHAnsi" w:cstheme="minorHAnsi"/>
          <w:i/>
        </w:rPr>
        <w:t>Corporations Act 2001</w:t>
      </w:r>
      <w:r>
        <w:rPr>
          <w:rFonts w:asciiTheme="minorHAnsi" w:hAnsiTheme="minorHAnsi" w:cstheme="minorHAnsi"/>
          <w:iCs/>
        </w:rPr>
        <w:t xml:space="preserve">. These obligations require superannuation funds to </w:t>
      </w:r>
      <w:r w:rsidR="00000717">
        <w:rPr>
          <w:rFonts w:asciiTheme="minorHAnsi" w:hAnsiTheme="minorHAnsi" w:cstheme="minorHAnsi"/>
          <w:iCs/>
        </w:rPr>
        <w:t>publicly disclose sufficient information to identify certain investment items, identify the value</w:t>
      </w:r>
      <w:r>
        <w:rPr>
          <w:rFonts w:asciiTheme="minorHAnsi" w:hAnsiTheme="minorHAnsi" w:cstheme="minorHAnsi"/>
          <w:iCs/>
        </w:rPr>
        <w:t xml:space="preserve"> </w:t>
      </w:r>
      <w:r w:rsidR="00000717">
        <w:rPr>
          <w:rFonts w:asciiTheme="minorHAnsi" w:hAnsiTheme="minorHAnsi" w:cstheme="minorHAnsi"/>
          <w:iCs/>
        </w:rPr>
        <w:t>and weighting of these disclosable investment items along with the total value and weighting of all disclosable investment items.</w:t>
      </w:r>
    </w:p>
    <w:p w14:paraId="377A71C9" w14:textId="00C62BB2" w:rsidR="00A22946" w:rsidRPr="001854FD" w:rsidRDefault="00B854F7" w:rsidP="008C6E82">
      <w:pPr>
        <w:pStyle w:val="CABParaSub"/>
        <w:rPr>
          <w:rFonts w:asciiTheme="minorHAnsi" w:hAnsiTheme="minorHAnsi" w:cstheme="minorHAnsi"/>
          <w:iCs/>
        </w:rPr>
      </w:pPr>
      <w:r w:rsidRPr="00C370C0">
        <w:rPr>
          <w:rFonts w:asciiTheme="minorHAnsi" w:hAnsiTheme="minorHAnsi" w:cstheme="minorHAnsi"/>
          <w:iCs/>
        </w:rPr>
        <w:t xml:space="preserve">Under this option, </w:t>
      </w:r>
      <w:r w:rsidR="00ED7BEE">
        <w:rPr>
          <w:rFonts w:asciiTheme="minorHAnsi" w:hAnsiTheme="minorHAnsi" w:cstheme="minorHAnsi"/>
          <w:iCs/>
        </w:rPr>
        <w:t xml:space="preserve">in the absence of any further regulations, the method of </w:t>
      </w:r>
      <w:r w:rsidR="00AD7533">
        <w:rPr>
          <w:rFonts w:asciiTheme="minorHAnsi" w:hAnsiTheme="minorHAnsi" w:cstheme="minorHAnsi"/>
          <w:iCs/>
        </w:rPr>
        <w:t xml:space="preserve">disclosure of portfolio holdings </w:t>
      </w:r>
      <w:r w:rsidR="002D3D6A">
        <w:rPr>
          <w:rFonts w:asciiTheme="minorHAnsi" w:hAnsiTheme="minorHAnsi" w:cstheme="minorHAnsi"/>
          <w:iCs/>
        </w:rPr>
        <w:t>would be at the discretion of the trustee</w:t>
      </w:r>
      <w:r w:rsidR="00980DC1">
        <w:rPr>
          <w:rFonts w:asciiTheme="minorHAnsi" w:hAnsiTheme="minorHAnsi" w:cstheme="minorHAnsi"/>
          <w:iCs/>
        </w:rPr>
        <w:t>s</w:t>
      </w:r>
      <w:r w:rsidR="002D3D6A">
        <w:rPr>
          <w:rFonts w:asciiTheme="minorHAnsi" w:hAnsiTheme="minorHAnsi" w:cstheme="minorHAnsi"/>
          <w:iCs/>
        </w:rPr>
        <w:t xml:space="preserve"> of superannuation funds.</w:t>
      </w:r>
      <w:r w:rsidR="00CD2352">
        <w:rPr>
          <w:rFonts w:asciiTheme="minorHAnsi" w:hAnsiTheme="minorHAnsi" w:cstheme="minorHAnsi"/>
          <w:iCs/>
        </w:rPr>
        <w:t xml:space="preserve"> </w:t>
      </w:r>
      <w:r w:rsidR="00D91394" w:rsidRPr="00C370C0">
        <w:rPr>
          <w:rFonts w:asciiTheme="minorHAnsi" w:hAnsiTheme="minorHAnsi" w:cstheme="minorHAnsi"/>
          <w:iCs/>
        </w:rPr>
        <w:t>This option also presents a high likelihood of ASIC continuing to provide class order relief from the existing obligations, in which case there would be no change from the status quo.</w:t>
      </w:r>
      <w:r w:rsidR="00F7334A">
        <w:rPr>
          <w:rFonts w:asciiTheme="minorHAnsi" w:hAnsiTheme="minorHAnsi" w:cstheme="minorHAnsi"/>
          <w:iCs/>
        </w:rPr>
        <w:t xml:space="preserve"> This is because </w:t>
      </w:r>
      <w:r w:rsidR="009A1EE3">
        <w:rPr>
          <w:rFonts w:asciiTheme="minorHAnsi" w:hAnsiTheme="minorHAnsi" w:cstheme="minorHAnsi"/>
          <w:iCs/>
        </w:rPr>
        <w:t>without regulations there would continue to be no prescribed information to standardise the format of disclosures and any specific exemptions from the requirements.</w:t>
      </w:r>
    </w:p>
    <w:p w14:paraId="68E67550" w14:textId="4EB4E435" w:rsidR="008C6E82" w:rsidRPr="003F1F3B" w:rsidRDefault="008C6E82" w:rsidP="003F1F3B">
      <w:pPr>
        <w:tabs>
          <w:tab w:val="left" w:pos="567"/>
        </w:tabs>
        <w:spacing w:before="120" w:after="120"/>
        <w:rPr>
          <w:rFonts w:eastAsia="Calibri" w:cstheme="minorHAnsi"/>
          <w:i/>
          <w:iCs/>
          <w:color w:val="4F81BD" w:themeColor="accent1"/>
          <w:sz w:val="24"/>
          <w:szCs w:val="24"/>
        </w:rPr>
      </w:pPr>
      <w:r w:rsidRPr="003F1F3B">
        <w:rPr>
          <w:rFonts w:eastAsia="Calibri" w:cstheme="minorHAnsi"/>
          <w:i/>
          <w:iCs/>
          <w:color w:val="4F81BD" w:themeColor="accent1"/>
          <w:sz w:val="24"/>
          <w:szCs w:val="24"/>
        </w:rPr>
        <w:t xml:space="preserve">Option </w:t>
      </w:r>
      <w:r w:rsidR="009108F2" w:rsidRPr="003F1F3B">
        <w:rPr>
          <w:rFonts w:eastAsia="Calibri" w:cstheme="minorHAnsi"/>
          <w:i/>
          <w:iCs/>
          <w:color w:val="4F81BD" w:themeColor="accent1"/>
          <w:sz w:val="24"/>
          <w:szCs w:val="24"/>
        </w:rPr>
        <w:t>2</w:t>
      </w:r>
      <w:r w:rsidRPr="003F1F3B">
        <w:rPr>
          <w:rFonts w:eastAsia="Calibri" w:cstheme="minorHAnsi"/>
          <w:i/>
          <w:iCs/>
          <w:color w:val="4F81BD" w:themeColor="accent1"/>
          <w:sz w:val="24"/>
          <w:szCs w:val="24"/>
        </w:rPr>
        <w:t xml:space="preserve">: </w:t>
      </w:r>
      <w:r w:rsidR="0023474B">
        <w:rPr>
          <w:rFonts w:eastAsia="Calibri" w:cstheme="minorHAnsi"/>
          <w:i/>
          <w:iCs/>
          <w:color w:val="4F81BD" w:themeColor="accent1"/>
          <w:sz w:val="24"/>
          <w:szCs w:val="24"/>
        </w:rPr>
        <w:t>Disaggregated and u</w:t>
      </w:r>
      <w:r w:rsidR="0023474B" w:rsidRPr="003F1F3B">
        <w:rPr>
          <w:rFonts w:eastAsia="Calibri" w:cstheme="minorHAnsi"/>
          <w:i/>
          <w:iCs/>
          <w:color w:val="4F81BD" w:themeColor="accent1"/>
          <w:sz w:val="24"/>
          <w:szCs w:val="24"/>
        </w:rPr>
        <w:t>niform</w:t>
      </w:r>
      <w:r w:rsidRPr="003F1F3B">
        <w:rPr>
          <w:rFonts w:eastAsia="Calibri" w:cstheme="minorHAnsi"/>
          <w:i/>
          <w:iCs/>
          <w:color w:val="4F81BD" w:themeColor="accent1"/>
          <w:sz w:val="24"/>
          <w:szCs w:val="24"/>
        </w:rPr>
        <w:t xml:space="preserve"> information disclosed across asset classes</w:t>
      </w:r>
    </w:p>
    <w:p w14:paraId="6D52F3CD" w14:textId="54C66AE2" w:rsidR="00AA427E" w:rsidRDefault="00AA427E" w:rsidP="008C6E82">
      <w:pPr>
        <w:pStyle w:val="CABParaSub"/>
        <w:rPr>
          <w:rFonts w:asciiTheme="minorHAnsi" w:hAnsiTheme="minorHAnsi" w:cstheme="minorHAnsi"/>
        </w:rPr>
      </w:pPr>
      <w:r>
        <w:rPr>
          <w:rFonts w:asciiTheme="minorHAnsi" w:hAnsiTheme="minorHAnsi" w:cstheme="minorHAnsi"/>
        </w:rPr>
        <w:t xml:space="preserve">A simple form of disclosure where the information required to be disclosed is the same for all investments, regardless of the type of investment or asset class. </w:t>
      </w:r>
      <w:r w:rsidR="008C6E82" w:rsidRPr="00DB7DAE">
        <w:rPr>
          <w:rFonts w:asciiTheme="minorHAnsi" w:hAnsiTheme="minorHAnsi" w:cstheme="minorHAnsi"/>
        </w:rPr>
        <w:t xml:space="preserve">Under this option, the information </w:t>
      </w:r>
      <w:r>
        <w:rPr>
          <w:rFonts w:asciiTheme="minorHAnsi" w:hAnsiTheme="minorHAnsi" w:cstheme="minorHAnsi"/>
        </w:rPr>
        <w:t>required to be disclosed</w:t>
      </w:r>
      <w:r w:rsidR="008C6E82" w:rsidRPr="00DB7DAE">
        <w:rPr>
          <w:rFonts w:asciiTheme="minorHAnsi" w:hAnsiTheme="minorHAnsi" w:cstheme="minorHAnsi"/>
        </w:rPr>
        <w:t xml:space="preserve"> </w:t>
      </w:r>
      <w:r>
        <w:rPr>
          <w:rFonts w:asciiTheme="minorHAnsi" w:hAnsiTheme="minorHAnsi" w:cstheme="minorHAnsi"/>
        </w:rPr>
        <w:t>includes:</w:t>
      </w:r>
      <w:r w:rsidR="008C6E82" w:rsidRPr="00DB7DAE">
        <w:rPr>
          <w:rFonts w:asciiTheme="minorHAnsi" w:hAnsiTheme="minorHAnsi" w:cstheme="minorHAnsi"/>
        </w:rPr>
        <w:t xml:space="preserve"> </w:t>
      </w:r>
    </w:p>
    <w:p w14:paraId="46AAEED9" w14:textId="1FC07DEF" w:rsidR="00AA427E" w:rsidRPr="001854FD" w:rsidRDefault="008C6E82" w:rsidP="00AA427E">
      <w:pPr>
        <w:pStyle w:val="Bullet"/>
        <w:rPr>
          <w:sz w:val="24"/>
          <w:szCs w:val="24"/>
        </w:rPr>
      </w:pPr>
      <w:r w:rsidRPr="001854FD">
        <w:rPr>
          <w:sz w:val="24"/>
          <w:szCs w:val="24"/>
        </w:rPr>
        <w:t xml:space="preserve">name/kind of </w:t>
      </w:r>
      <w:proofErr w:type="gramStart"/>
      <w:r w:rsidRPr="001854FD">
        <w:rPr>
          <w:sz w:val="24"/>
          <w:szCs w:val="24"/>
        </w:rPr>
        <w:t>asse</w:t>
      </w:r>
      <w:r w:rsidR="00AA427E" w:rsidRPr="001854FD">
        <w:rPr>
          <w:sz w:val="24"/>
          <w:szCs w:val="24"/>
        </w:rPr>
        <w:t>t</w:t>
      </w:r>
      <w:r w:rsidR="006E4A71">
        <w:rPr>
          <w:sz w:val="24"/>
          <w:szCs w:val="24"/>
        </w:rPr>
        <w:t>;</w:t>
      </w:r>
      <w:proofErr w:type="gramEnd"/>
    </w:p>
    <w:p w14:paraId="7BDAF39C" w14:textId="4E3DA9A2" w:rsidR="00AA427E" w:rsidRPr="001854FD" w:rsidRDefault="00AA427E" w:rsidP="00AA427E">
      <w:pPr>
        <w:pStyle w:val="Bullet"/>
        <w:rPr>
          <w:sz w:val="24"/>
          <w:szCs w:val="24"/>
        </w:rPr>
      </w:pPr>
      <w:r w:rsidRPr="001854FD">
        <w:rPr>
          <w:sz w:val="24"/>
          <w:szCs w:val="24"/>
        </w:rPr>
        <w:lastRenderedPageBreak/>
        <w:t>information required to identify the asset (</w:t>
      </w:r>
      <w:proofErr w:type="gramStart"/>
      <w:r w:rsidRPr="001854FD">
        <w:rPr>
          <w:sz w:val="24"/>
          <w:szCs w:val="24"/>
        </w:rPr>
        <w:t>e.g.</w:t>
      </w:r>
      <w:proofErr w:type="gramEnd"/>
      <w:r w:rsidRPr="001854FD">
        <w:rPr>
          <w:sz w:val="24"/>
          <w:szCs w:val="24"/>
        </w:rPr>
        <w:t xml:space="preserve"> security identifier)</w:t>
      </w:r>
      <w:r w:rsidR="006E4A71">
        <w:rPr>
          <w:sz w:val="24"/>
          <w:szCs w:val="24"/>
        </w:rPr>
        <w:t>;</w:t>
      </w:r>
    </w:p>
    <w:p w14:paraId="7FB296B4" w14:textId="05D0DAE6" w:rsidR="00AA427E" w:rsidRPr="001854FD" w:rsidRDefault="008C6E82" w:rsidP="00AA427E">
      <w:pPr>
        <w:pStyle w:val="Bullet"/>
        <w:rPr>
          <w:sz w:val="24"/>
          <w:szCs w:val="24"/>
        </w:rPr>
      </w:pPr>
      <w:r w:rsidRPr="001854FD">
        <w:rPr>
          <w:sz w:val="24"/>
          <w:szCs w:val="24"/>
        </w:rPr>
        <w:t>the number of assets held</w:t>
      </w:r>
      <w:r w:rsidR="00AA427E" w:rsidRPr="001854FD">
        <w:rPr>
          <w:sz w:val="24"/>
          <w:szCs w:val="24"/>
        </w:rPr>
        <w:t xml:space="preserve"> (</w:t>
      </w:r>
      <w:proofErr w:type="gramStart"/>
      <w:r w:rsidR="00AA427E" w:rsidRPr="001854FD">
        <w:rPr>
          <w:sz w:val="24"/>
          <w:szCs w:val="24"/>
        </w:rPr>
        <w:t>e.g.</w:t>
      </w:r>
      <w:proofErr w:type="gramEnd"/>
      <w:r w:rsidR="00AA427E" w:rsidRPr="001854FD">
        <w:rPr>
          <w:sz w:val="24"/>
          <w:szCs w:val="24"/>
        </w:rPr>
        <w:t xml:space="preserve"> number of shares, number of units)</w:t>
      </w:r>
      <w:r w:rsidR="006E4A71">
        <w:rPr>
          <w:sz w:val="24"/>
          <w:szCs w:val="24"/>
        </w:rPr>
        <w:t xml:space="preserve">; and </w:t>
      </w:r>
    </w:p>
    <w:p w14:paraId="6C2F7B0A" w14:textId="0F7B5AD8" w:rsidR="008C6E82" w:rsidRDefault="008C6E82">
      <w:pPr>
        <w:pStyle w:val="Bullet"/>
        <w:rPr>
          <w:sz w:val="24"/>
          <w:szCs w:val="24"/>
        </w:rPr>
      </w:pPr>
      <w:r w:rsidRPr="001854FD">
        <w:rPr>
          <w:sz w:val="24"/>
          <w:szCs w:val="24"/>
        </w:rPr>
        <w:t xml:space="preserve">the value of the asset </w:t>
      </w:r>
      <w:r w:rsidR="00AA427E" w:rsidRPr="001854FD">
        <w:rPr>
          <w:sz w:val="24"/>
          <w:szCs w:val="24"/>
        </w:rPr>
        <w:t xml:space="preserve">expressed in AUD </w:t>
      </w:r>
      <w:r w:rsidRPr="001854FD">
        <w:rPr>
          <w:sz w:val="24"/>
          <w:szCs w:val="24"/>
        </w:rPr>
        <w:t xml:space="preserve">and the weighing of that asset </w:t>
      </w:r>
      <w:r w:rsidR="00AA427E" w:rsidRPr="001854FD">
        <w:rPr>
          <w:sz w:val="24"/>
          <w:szCs w:val="24"/>
        </w:rPr>
        <w:t xml:space="preserve">relative to the </w:t>
      </w:r>
      <w:r w:rsidRPr="001854FD">
        <w:rPr>
          <w:sz w:val="24"/>
          <w:szCs w:val="24"/>
        </w:rPr>
        <w:t xml:space="preserve">total portfolio. </w:t>
      </w:r>
    </w:p>
    <w:p w14:paraId="1903C0AF" w14:textId="7FC6A793" w:rsidR="0023474B" w:rsidRDefault="0023474B" w:rsidP="00CB324E">
      <w:pPr>
        <w:pStyle w:val="Bullet"/>
        <w:numPr>
          <w:ilvl w:val="0"/>
          <w:numId w:val="0"/>
        </w:numPr>
        <w:rPr>
          <w:sz w:val="24"/>
          <w:szCs w:val="24"/>
        </w:rPr>
      </w:pPr>
      <w:r>
        <w:rPr>
          <w:sz w:val="24"/>
          <w:szCs w:val="24"/>
        </w:rPr>
        <w:t xml:space="preserve">This information would need to be disclosed for all individual assets regardless of size, nature (listed or unlisted) or ownership structure. </w:t>
      </w:r>
    </w:p>
    <w:p w14:paraId="04E47A62" w14:textId="538AFAA4" w:rsidR="00980DC1" w:rsidRPr="001854FD" w:rsidRDefault="000731AA" w:rsidP="00CD47B5">
      <w:pPr>
        <w:pStyle w:val="Bullet"/>
        <w:numPr>
          <w:ilvl w:val="0"/>
          <w:numId w:val="0"/>
        </w:numPr>
        <w:rPr>
          <w:sz w:val="24"/>
          <w:szCs w:val="24"/>
        </w:rPr>
      </w:pPr>
      <w:r w:rsidRPr="000D220B">
        <w:rPr>
          <w:sz w:val="24"/>
          <w:szCs w:val="24"/>
        </w:rPr>
        <w:t>The draft regulation</w:t>
      </w:r>
      <w:r w:rsidR="000D220B" w:rsidRPr="000D220B">
        <w:rPr>
          <w:sz w:val="24"/>
          <w:szCs w:val="24"/>
        </w:rPr>
        <w:t xml:space="preserve"> impact statement </w:t>
      </w:r>
      <w:r w:rsidRPr="000D220B">
        <w:rPr>
          <w:sz w:val="24"/>
          <w:szCs w:val="24"/>
        </w:rPr>
        <w:t>released for public consultation incorporated this option</w:t>
      </w:r>
      <w:r w:rsidR="000D220B" w:rsidRPr="000D220B">
        <w:rPr>
          <w:sz w:val="24"/>
          <w:szCs w:val="24"/>
        </w:rPr>
        <w:t xml:space="preserve"> for stakeholder comment</w:t>
      </w:r>
      <w:r w:rsidRPr="000D220B">
        <w:rPr>
          <w:sz w:val="24"/>
          <w:szCs w:val="24"/>
        </w:rPr>
        <w:t>.</w:t>
      </w:r>
      <w:r>
        <w:rPr>
          <w:sz w:val="24"/>
          <w:szCs w:val="24"/>
        </w:rPr>
        <w:t xml:space="preserve"> </w:t>
      </w:r>
    </w:p>
    <w:p w14:paraId="2AACDD1C" w14:textId="7E9627BE" w:rsidR="008C6E82" w:rsidRPr="003F1F3B" w:rsidRDefault="008C6E82" w:rsidP="003F1F3B">
      <w:pPr>
        <w:tabs>
          <w:tab w:val="left" w:pos="567"/>
        </w:tabs>
        <w:spacing w:before="120" w:after="120"/>
        <w:rPr>
          <w:rFonts w:eastAsia="Calibri" w:cstheme="minorHAnsi"/>
          <w:i/>
          <w:iCs/>
          <w:color w:val="4F81BD" w:themeColor="accent1"/>
          <w:sz w:val="24"/>
          <w:szCs w:val="24"/>
        </w:rPr>
      </w:pPr>
      <w:r w:rsidRPr="003F1F3B">
        <w:rPr>
          <w:rFonts w:eastAsia="Calibri" w:cstheme="minorHAnsi"/>
          <w:i/>
          <w:iCs/>
          <w:color w:val="4F81BD" w:themeColor="accent1"/>
          <w:sz w:val="24"/>
          <w:szCs w:val="24"/>
        </w:rPr>
        <w:t xml:space="preserve">Option </w:t>
      </w:r>
      <w:r w:rsidR="009108F2" w:rsidRPr="003F1F3B">
        <w:rPr>
          <w:rFonts w:eastAsia="Calibri" w:cstheme="minorHAnsi"/>
          <w:i/>
          <w:iCs/>
          <w:color w:val="4F81BD" w:themeColor="accent1"/>
          <w:sz w:val="24"/>
          <w:szCs w:val="24"/>
        </w:rPr>
        <w:t>3</w:t>
      </w:r>
      <w:r w:rsidRPr="003F1F3B">
        <w:rPr>
          <w:rFonts w:eastAsia="Calibri" w:cstheme="minorHAnsi"/>
          <w:i/>
          <w:iCs/>
          <w:color w:val="4F81BD" w:themeColor="accent1"/>
          <w:sz w:val="24"/>
          <w:szCs w:val="24"/>
        </w:rPr>
        <w:t xml:space="preserve">: </w:t>
      </w:r>
      <w:r w:rsidR="0023474B">
        <w:rPr>
          <w:rFonts w:eastAsia="Calibri" w:cstheme="minorHAnsi"/>
          <w:i/>
          <w:iCs/>
          <w:color w:val="4F81BD" w:themeColor="accent1"/>
          <w:sz w:val="24"/>
          <w:szCs w:val="24"/>
        </w:rPr>
        <w:t>Aggregated and t</w:t>
      </w:r>
      <w:r w:rsidR="0023474B" w:rsidRPr="003F1F3B">
        <w:rPr>
          <w:rFonts w:eastAsia="Calibri" w:cstheme="minorHAnsi"/>
          <w:i/>
          <w:iCs/>
          <w:color w:val="4F81BD" w:themeColor="accent1"/>
          <w:sz w:val="24"/>
          <w:szCs w:val="24"/>
        </w:rPr>
        <w:t>ailored</w:t>
      </w:r>
      <w:r w:rsidRPr="003F1F3B">
        <w:rPr>
          <w:rFonts w:eastAsia="Calibri" w:cstheme="minorHAnsi"/>
          <w:i/>
          <w:iCs/>
          <w:color w:val="4F81BD" w:themeColor="accent1"/>
          <w:sz w:val="24"/>
          <w:szCs w:val="24"/>
        </w:rPr>
        <w:t xml:space="preserve"> information disclosed for particular asset classes</w:t>
      </w:r>
    </w:p>
    <w:p w14:paraId="5FFD7391" w14:textId="2BC16196" w:rsidR="00E84FEB" w:rsidRDefault="00835A52" w:rsidP="00835A52">
      <w:pPr>
        <w:pStyle w:val="CABParaSub"/>
        <w:rPr>
          <w:rFonts w:asciiTheme="minorHAnsi" w:hAnsiTheme="minorHAnsi" w:cstheme="minorHAnsi"/>
        </w:rPr>
      </w:pPr>
      <w:r w:rsidRPr="00DB7DAE">
        <w:rPr>
          <w:rFonts w:asciiTheme="minorHAnsi" w:hAnsiTheme="minorHAnsi" w:cstheme="minorHAnsi"/>
        </w:rPr>
        <w:t>This option</w:t>
      </w:r>
      <w:r>
        <w:rPr>
          <w:rFonts w:asciiTheme="minorHAnsi" w:hAnsiTheme="minorHAnsi" w:cstheme="minorHAnsi"/>
        </w:rPr>
        <w:t xml:space="preserve"> differs to Option 2 in that it</w:t>
      </w:r>
      <w:r w:rsidRPr="00DB7DAE">
        <w:rPr>
          <w:rFonts w:asciiTheme="minorHAnsi" w:hAnsiTheme="minorHAnsi" w:cstheme="minorHAnsi"/>
        </w:rPr>
        <w:t xml:space="preserve"> </w:t>
      </w:r>
      <w:r>
        <w:rPr>
          <w:rFonts w:asciiTheme="minorHAnsi" w:hAnsiTheme="minorHAnsi" w:cstheme="minorHAnsi"/>
        </w:rPr>
        <w:t>separates the disclosure for different types of asset classes to allow for tailored information to be disclosed by superannuation funds which</w:t>
      </w:r>
      <w:r w:rsidRPr="00DB7DAE">
        <w:rPr>
          <w:rFonts w:asciiTheme="minorHAnsi" w:hAnsiTheme="minorHAnsi" w:cstheme="minorHAnsi"/>
        </w:rPr>
        <w:t xml:space="preserve"> reflect</w:t>
      </w:r>
      <w:r>
        <w:rPr>
          <w:rFonts w:asciiTheme="minorHAnsi" w:hAnsiTheme="minorHAnsi" w:cstheme="minorHAnsi"/>
        </w:rPr>
        <w:t>s</w:t>
      </w:r>
      <w:r w:rsidRPr="00DB7DAE">
        <w:rPr>
          <w:rFonts w:asciiTheme="minorHAnsi" w:hAnsiTheme="minorHAnsi" w:cstheme="minorHAnsi"/>
        </w:rPr>
        <w:t xml:space="preserve"> the most relevant information for </w:t>
      </w:r>
      <w:r>
        <w:rPr>
          <w:rFonts w:asciiTheme="minorHAnsi" w:hAnsiTheme="minorHAnsi" w:cstheme="minorHAnsi"/>
        </w:rPr>
        <w:t>users</w:t>
      </w:r>
      <w:r w:rsidRPr="00DB7DAE">
        <w:rPr>
          <w:rFonts w:asciiTheme="minorHAnsi" w:hAnsiTheme="minorHAnsi" w:cstheme="minorHAnsi"/>
        </w:rPr>
        <w:t>.</w:t>
      </w:r>
      <w:r>
        <w:rPr>
          <w:rFonts w:asciiTheme="minorHAnsi" w:hAnsiTheme="minorHAnsi" w:cstheme="minorHAnsi"/>
        </w:rPr>
        <w:t xml:space="preserve"> </w:t>
      </w:r>
      <w:r w:rsidR="004E4E48">
        <w:rPr>
          <w:rFonts w:asciiTheme="minorHAnsi" w:hAnsiTheme="minorHAnsi" w:cstheme="minorHAnsi"/>
        </w:rPr>
        <w:t xml:space="preserve">Introducing separate categories of disclosure </w:t>
      </w:r>
      <w:r>
        <w:rPr>
          <w:rFonts w:asciiTheme="minorHAnsi" w:hAnsiTheme="minorHAnsi" w:cstheme="minorHAnsi"/>
        </w:rPr>
        <w:t xml:space="preserve">allows for aggregated values to be disclosed for certain categories of unlisted assets and derivatives. </w:t>
      </w:r>
    </w:p>
    <w:p w14:paraId="5591CB93" w14:textId="6C41764F" w:rsidR="00E84FEB" w:rsidRDefault="00E84FEB" w:rsidP="00835A52">
      <w:pPr>
        <w:pStyle w:val="CABParaSub"/>
        <w:rPr>
          <w:rFonts w:asciiTheme="minorHAnsi" w:hAnsiTheme="minorHAnsi" w:cstheme="minorHAnsi"/>
        </w:rPr>
      </w:pPr>
      <w:r>
        <w:rPr>
          <w:rFonts w:asciiTheme="minorHAnsi" w:hAnsiTheme="minorHAnsi" w:cstheme="minorHAnsi"/>
        </w:rPr>
        <w:t>Specifically, this option allows:</w:t>
      </w:r>
    </w:p>
    <w:p w14:paraId="6A3D1CFF" w14:textId="27A31DC3" w:rsidR="00E84FEB" w:rsidRPr="00DE08E6" w:rsidRDefault="00E84FEB" w:rsidP="00E84FEB">
      <w:pPr>
        <w:pStyle w:val="ListParagraph"/>
        <w:numPr>
          <w:ilvl w:val="0"/>
          <w:numId w:val="12"/>
        </w:numPr>
        <w:rPr>
          <w:rFonts w:eastAsia="Times New Roman"/>
          <w:sz w:val="24"/>
          <w:szCs w:val="24"/>
        </w:rPr>
      </w:pPr>
      <w:r w:rsidRPr="00DE08E6">
        <w:rPr>
          <w:rFonts w:eastAsia="Times New Roman"/>
          <w:sz w:val="24"/>
          <w:szCs w:val="24"/>
        </w:rPr>
        <w:t xml:space="preserve">Aggregation of valuations for all </w:t>
      </w:r>
      <w:r w:rsidR="003B4476" w:rsidRPr="00DE08E6">
        <w:rPr>
          <w:rFonts w:eastAsia="Times New Roman"/>
          <w:sz w:val="24"/>
          <w:szCs w:val="24"/>
        </w:rPr>
        <w:t>internally managed</w:t>
      </w:r>
      <w:r w:rsidRPr="00DE08E6">
        <w:rPr>
          <w:rFonts w:eastAsia="Times New Roman"/>
          <w:sz w:val="24"/>
          <w:szCs w:val="24"/>
        </w:rPr>
        <w:t xml:space="preserve">, </w:t>
      </w:r>
      <w:r w:rsidR="003B4476" w:rsidRPr="00DE08E6">
        <w:rPr>
          <w:rFonts w:eastAsia="Times New Roman"/>
          <w:sz w:val="24"/>
          <w:szCs w:val="24"/>
        </w:rPr>
        <w:t>directly owned</w:t>
      </w:r>
      <w:r w:rsidRPr="00DE08E6">
        <w:rPr>
          <w:rFonts w:eastAsia="Times New Roman"/>
          <w:sz w:val="24"/>
          <w:szCs w:val="24"/>
        </w:rPr>
        <w:t xml:space="preserve"> unlisted </w:t>
      </w:r>
      <w:proofErr w:type="gramStart"/>
      <w:r w:rsidRPr="00DE08E6">
        <w:rPr>
          <w:rFonts w:eastAsia="Times New Roman"/>
          <w:sz w:val="24"/>
          <w:szCs w:val="24"/>
        </w:rPr>
        <w:t>assets</w:t>
      </w:r>
      <w:r w:rsidR="00C370C0">
        <w:rPr>
          <w:rFonts w:eastAsia="Times New Roman"/>
          <w:sz w:val="24"/>
          <w:szCs w:val="24"/>
        </w:rPr>
        <w:t>;</w:t>
      </w:r>
      <w:proofErr w:type="gramEnd"/>
    </w:p>
    <w:p w14:paraId="458E4EFC" w14:textId="15E0A157" w:rsidR="00E84FEB" w:rsidRPr="00DE08E6" w:rsidRDefault="00E84FEB" w:rsidP="00E84FEB">
      <w:pPr>
        <w:pStyle w:val="ListParagraph"/>
        <w:numPr>
          <w:ilvl w:val="0"/>
          <w:numId w:val="12"/>
        </w:numPr>
        <w:rPr>
          <w:rFonts w:eastAsia="Times New Roman"/>
          <w:sz w:val="24"/>
          <w:szCs w:val="24"/>
        </w:rPr>
      </w:pPr>
      <w:r w:rsidRPr="00DE08E6">
        <w:rPr>
          <w:rFonts w:eastAsia="Times New Roman"/>
          <w:sz w:val="24"/>
          <w:szCs w:val="24"/>
        </w:rPr>
        <w:t xml:space="preserve">Aggregation of assets by fund manager for all externally managed, directly owned unlisted </w:t>
      </w:r>
      <w:proofErr w:type="gramStart"/>
      <w:r w:rsidRPr="00DE08E6">
        <w:rPr>
          <w:rFonts w:eastAsia="Times New Roman"/>
          <w:sz w:val="24"/>
          <w:szCs w:val="24"/>
        </w:rPr>
        <w:t>assets</w:t>
      </w:r>
      <w:r w:rsidR="00C370C0">
        <w:rPr>
          <w:rFonts w:eastAsia="Times New Roman"/>
          <w:sz w:val="24"/>
          <w:szCs w:val="24"/>
        </w:rPr>
        <w:t>;</w:t>
      </w:r>
      <w:proofErr w:type="gramEnd"/>
    </w:p>
    <w:p w14:paraId="7F78E60C" w14:textId="3F71F7AF" w:rsidR="00E84FEB" w:rsidRPr="00DE08E6" w:rsidRDefault="00E84FEB" w:rsidP="00E84FEB">
      <w:pPr>
        <w:pStyle w:val="ListParagraph"/>
        <w:numPr>
          <w:ilvl w:val="0"/>
          <w:numId w:val="12"/>
        </w:numPr>
        <w:rPr>
          <w:rFonts w:eastAsia="Times New Roman"/>
          <w:sz w:val="24"/>
          <w:szCs w:val="24"/>
        </w:rPr>
      </w:pPr>
      <w:r w:rsidRPr="00DE08E6">
        <w:rPr>
          <w:rFonts w:eastAsia="Times New Roman"/>
          <w:sz w:val="24"/>
          <w:szCs w:val="24"/>
        </w:rPr>
        <w:t xml:space="preserve">Aggregation of assets by fund manager for all </w:t>
      </w:r>
      <w:r w:rsidR="00C370C0">
        <w:rPr>
          <w:rFonts w:eastAsia="Times New Roman"/>
          <w:sz w:val="24"/>
          <w:szCs w:val="24"/>
        </w:rPr>
        <w:t xml:space="preserve">externally managed unlisted assets </w:t>
      </w:r>
      <w:r w:rsidRPr="00DE08E6">
        <w:rPr>
          <w:rFonts w:eastAsia="Times New Roman"/>
          <w:sz w:val="24"/>
          <w:szCs w:val="24"/>
        </w:rPr>
        <w:t xml:space="preserve">that are held by a non-associated </w:t>
      </w:r>
      <w:proofErr w:type="gramStart"/>
      <w:r w:rsidR="00C370C0">
        <w:rPr>
          <w:rFonts w:eastAsia="Times New Roman"/>
          <w:sz w:val="24"/>
          <w:szCs w:val="24"/>
        </w:rPr>
        <w:t>entity;</w:t>
      </w:r>
      <w:proofErr w:type="gramEnd"/>
    </w:p>
    <w:p w14:paraId="5C1E45A8" w14:textId="7F3D9397" w:rsidR="00E84FEB" w:rsidRPr="00DE08E6" w:rsidRDefault="00E84FEB" w:rsidP="00E84FEB">
      <w:pPr>
        <w:pStyle w:val="ListParagraph"/>
        <w:numPr>
          <w:ilvl w:val="0"/>
          <w:numId w:val="12"/>
        </w:numPr>
        <w:rPr>
          <w:rFonts w:eastAsia="Times New Roman"/>
          <w:sz w:val="24"/>
          <w:szCs w:val="24"/>
        </w:rPr>
      </w:pPr>
      <w:r w:rsidRPr="00DE08E6">
        <w:rPr>
          <w:rFonts w:eastAsia="Times New Roman"/>
          <w:sz w:val="24"/>
          <w:szCs w:val="24"/>
        </w:rPr>
        <w:t>Aggregation by type of derivative for derivative valuations and weightings</w:t>
      </w:r>
      <w:r w:rsidR="00C370C0">
        <w:rPr>
          <w:rFonts w:eastAsia="Times New Roman"/>
          <w:sz w:val="24"/>
          <w:szCs w:val="24"/>
        </w:rPr>
        <w:t>; and</w:t>
      </w:r>
    </w:p>
    <w:p w14:paraId="10631C12" w14:textId="69A8C851" w:rsidR="00E84FEB" w:rsidRPr="00DE08E6" w:rsidRDefault="00E84FEB" w:rsidP="00E84FEB">
      <w:pPr>
        <w:pStyle w:val="ListParagraph"/>
        <w:numPr>
          <w:ilvl w:val="0"/>
          <w:numId w:val="12"/>
        </w:numPr>
        <w:rPr>
          <w:rFonts w:eastAsia="Times New Roman"/>
          <w:sz w:val="24"/>
          <w:szCs w:val="24"/>
        </w:rPr>
      </w:pPr>
      <w:r w:rsidRPr="00DE08E6">
        <w:rPr>
          <w:rFonts w:eastAsia="Times New Roman"/>
          <w:sz w:val="24"/>
          <w:szCs w:val="24"/>
        </w:rPr>
        <w:t xml:space="preserve">Additional tables to disclose the exposure of the fund to certain asset classes and currency </w:t>
      </w:r>
      <w:proofErr w:type="gramStart"/>
      <w:r w:rsidRPr="00DE08E6">
        <w:rPr>
          <w:rFonts w:eastAsia="Times New Roman"/>
          <w:sz w:val="24"/>
          <w:szCs w:val="24"/>
        </w:rPr>
        <w:t>as a result of</w:t>
      </w:r>
      <w:proofErr w:type="gramEnd"/>
      <w:r w:rsidRPr="00DE08E6">
        <w:rPr>
          <w:rFonts w:eastAsia="Times New Roman"/>
          <w:sz w:val="24"/>
          <w:szCs w:val="24"/>
        </w:rPr>
        <w:t xml:space="preserve"> the total derivative positions</w:t>
      </w:r>
      <w:r w:rsidR="00DC6308">
        <w:rPr>
          <w:rFonts w:eastAsia="Times New Roman"/>
          <w:sz w:val="24"/>
          <w:szCs w:val="24"/>
        </w:rPr>
        <w:t>.</w:t>
      </w:r>
    </w:p>
    <w:p w14:paraId="32FEC6DB" w14:textId="5FB09B2F" w:rsidR="00715C06" w:rsidRDefault="00715C06" w:rsidP="008C6E82">
      <w:pPr>
        <w:pStyle w:val="CABParaSub"/>
        <w:rPr>
          <w:rFonts w:asciiTheme="minorHAnsi" w:hAnsiTheme="minorHAnsi" w:cstheme="minorHAnsi"/>
        </w:rPr>
      </w:pPr>
      <w:r>
        <w:rPr>
          <w:rFonts w:asciiTheme="minorHAnsi" w:hAnsiTheme="minorHAnsi" w:cstheme="minorHAnsi"/>
        </w:rPr>
        <w:t>This option has been revised to reflect comments received from stakeholders when the draft regulations were released for public consultation</w:t>
      </w:r>
      <w:r w:rsidR="007865AC">
        <w:rPr>
          <w:rFonts w:asciiTheme="minorHAnsi" w:hAnsiTheme="minorHAnsi" w:cstheme="minorHAnsi"/>
        </w:rPr>
        <w:t xml:space="preserve"> (described in section 5 below)</w:t>
      </w:r>
      <w:r>
        <w:rPr>
          <w:rFonts w:asciiTheme="minorHAnsi" w:hAnsiTheme="minorHAnsi" w:cstheme="minorHAnsi"/>
        </w:rPr>
        <w:t>.</w:t>
      </w:r>
    </w:p>
    <w:p w14:paraId="1B8909F3" w14:textId="3027DF92" w:rsidR="0071487B" w:rsidRPr="0071487B" w:rsidRDefault="002D5245" w:rsidP="002D5245">
      <w:pPr>
        <w:pStyle w:val="Heading1numbered"/>
        <w:rPr>
          <w:rFonts w:asciiTheme="minorHAnsi" w:hAnsiTheme="minorHAnsi" w:cstheme="minorHAnsi"/>
          <w:sz w:val="24"/>
          <w:szCs w:val="24"/>
        </w:rPr>
      </w:pPr>
      <w:r>
        <w:rPr>
          <w:rFonts w:asciiTheme="minorHAnsi" w:hAnsiTheme="minorHAnsi" w:cstheme="minorHAnsi"/>
          <w:sz w:val="24"/>
          <w:szCs w:val="24"/>
        </w:rPr>
        <w:t xml:space="preserve"> </w:t>
      </w:r>
      <w:bookmarkStart w:id="4" w:name="_Toc86998881"/>
      <w:r w:rsidR="0071487B">
        <w:rPr>
          <w:rFonts w:asciiTheme="minorHAnsi" w:hAnsiTheme="minorHAnsi" w:cstheme="minorHAnsi"/>
          <w:sz w:val="24"/>
          <w:szCs w:val="24"/>
        </w:rPr>
        <w:t>What is the likely net benefit of each option?</w:t>
      </w:r>
      <w:bookmarkEnd w:id="4"/>
    </w:p>
    <w:p w14:paraId="701DE903" w14:textId="1552F78C" w:rsidR="00B43396" w:rsidRPr="003F1F3B" w:rsidRDefault="00A22946" w:rsidP="003F1F3B">
      <w:pPr>
        <w:tabs>
          <w:tab w:val="left" w:pos="567"/>
        </w:tabs>
        <w:spacing w:before="120" w:after="120"/>
        <w:rPr>
          <w:rFonts w:eastAsia="Calibri" w:cstheme="minorHAnsi"/>
          <w:i/>
          <w:iCs/>
          <w:color w:val="4F81BD" w:themeColor="accent1"/>
          <w:sz w:val="24"/>
          <w:szCs w:val="24"/>
        </w:rPr>
      </w:pPr>
      <w:r w:rsidRPr="003F1F3B">
        <w:rPr>
          <w:rFonts w:eastAsia="Calibri" w:cstheme="minorHAnsi"/>
          <w:i/>
          <w:iCs/>
          <w:color w:val="4F81BD" w:themeColor="accent1"/>
          <w:sz w:val="24"/>
          <w:szCs w:val="24"/>
        </w:rPr>
        <w:t>Option 1: Maintain current regulatory settings</w:t>
      </w:r>
    </w:p>
    <w:p w14:paraId="5E8EF74C" w14:textId="79C32B08" w:rsidR="00004058" w:rsidRPr="00B43396" w:rsidRDefault="00004058" w:rsidP="0071487B">
      <w:pPr>
        <w:pStyle w:val="CABParaSub"/>
        <w:rPr>
          <w:rFonts w:asciiTheme="minorHAnsi" w:eastAsiaTheme="minorHAnsi" w:hAnsiTheme="minorHAnsi" w:cstheme="minorBidi"/>
        </w:rPr>
      </w:pPr>
      <w:r w:rsidRPr="00B43396">
        <w:rPr>
          <w:rFonts w:asciiTheme="minorHAnsi" w:eastAsiaTheme="minorHAnsi" w:hAnsiTheme="minorHAnsi" w:cstheme="minorBidi"/>
        </w:rPr>
        <w:t>Maintaining the</w:t>
      </w:r>
      <w:r w:rsidR="00B43396" w:rsidRPr="00B43396">
        <w:rPr>
          <w:rFonts w:asciiTheme="minorHAnsi" w:eastAsiaTheme="minorHAnsi" w:hAnsiTheme="minorHAnsi" w:cstheme="minorBidi"/>
        </w:rPr>
        <w:t xml:space="preserve"> current settings involves compelling superannuation funds to undertake a form of disclosure without providing sufficient guidance </w:t>
      </w:r>
      <w:r w:rsidR="0088102F">
        <w:rPr>
          <w:rFonts w:asciiTheme="minorHAnsi" w:eastAsiaTheme="minorHAnsi" w:hAnsiTheme="minorHAnsi" w:cstheme="minorBidi"/>
        </w:rPr>
        <w:t xml:space="preserve">as to how this is to be implemented. </w:t>
      </w:r>
      <w:r w:rsidR="00B43396" w:rsidRPr="00B43396">
        <w:rPr>
          <w:rFonts w:asciiTheme="minorHAnsi" w:eastAsiaTheme="minorHAnsi" w:hAnsiTheme="minorHAnsi" w:cstheme="minorBidi"/>
        </w:rPr>
        <w:t xml:space="preserve">The current ambiguity in the law has resulted in ASIC providing class order relief from the disclosure obligations for many years. This is not a desirable </w:t>
      </w:r>
      <w:r w:rsidR="0088102F">
        <w:rPr>
          <w:rFonts w:asciiTheme="minorHAnsi" w:eastAsiaTheme="minorHAnsi" w:hAnsiTheme="minorHAnsi" w:cstheme="minorBidi"/>
        </w:rPr>
        <w:t xml:space="preserve">long-term outcome. </w:t>
      </w:r>
    </w:p>
    <w:p w14:paraId="4A6E5F4A" w14:textId="36AC09A0" w:rsidR="00B43396" w:rsidRPr="00B43396" w:rsidRDefault="00FC0CA1" w:rsidP="0071487B">
      <w:pPr>
        <w:pStyle w:val="CABParaSub"/>
        <w:rPr>
          <w:rFonts w:asciiTheme="minorHAnsi" w:eastAsiaTheme="minorHAnsi" w:hAnsiTheme="minorHAnsi" w:cstheme="minorBidi"/>
        </w:rPr>
      </w:pPr>
      <w:r>
        <w:rPr>
          <w:rFonts w:asciiTheme="minorHAnsi" w:eastAsiaTheme="minorHAnsi" w:hAnsiTheme="minorHAnsi" w:cstheme="minorBidi"/>
        </w:rPr>
        <w:t xml:space="preserve">If </w:t>
      </w:r>
      <w:r w:rsidR="008F0111">
        <w:rPr>
          <w:rFonts w:asciiTheme="minorHAnsi" w:eastAsiaTheme="minorHAnsi" w:hAnsiTheme="minorHAnsi" w:cstheme="minorBidi"/>
        </w:rPr>
        <w:t>ASIC does not continue its current class order relief, t</w:t>
      </w:r>
      <w:r w:rsidR="00B43396" w:rsidRPr="00B43396">
        <w:rPr>
          <w:rFonts w:asciiTheme="minorHAnsi" w:eastAsiaTheme="minorHAnsi" w:hAnsiTheme="minorHAnsi" w:cstheme="minorBidi"/>
        </w:rPr>
        <w:t>he impact of this option will be primarily on businesses as they will be required to compile and present the information</w:t>
      </w:r>
      <w:r>
        <w:rPr>
          <w:rFonts w:asciiTheme="minorHAnsi" w:eastAsiaTheme="minorHAnsi" w:hAnsiTheme="minorHAnsi" w:cstheme="minorBidi"/>
        </w:rPr>
        <w:t>, including navigating the current ambiguity to ensure compliance with the law</w:t>
      </w:r>
      <w:r w:rsidR="00B43396" w:rsidRPr="00B43396">
        <w:rPr>
          <w:rFonts w:asciiTheme="minorHAnsi" w:eastAsiaTheme="minorHAnsi" w:hAnsiTheme="minorHAnsi" w:cstheme="minorBidi"/>
        </w:rPr>
        <w:t xml:space="preserve">. </w:t>
      </w:r>
    </w:p>
    <w:p w14:paraId="5E7385EF" w14:textId="7F9015B0" w:rsidR="00ED7BEE" w:rsidRDefault="004F3216" w:rsidP="002057C6">
      <w:pPr>
        <w:pStyle w:val="CABParaSub"/>
        <w:rPr>
          <w:rFonts w:asciiTheme="minorHAnsi" w:hAnsiTheme="minorHAnsi" w:cstheme="minorHAnsi"/>
          <w:u w:val="single"/>
        </w:rPr>
      </w:pPr>
      <w:r w:rsidRPr="00B43396">
        <w:rPr>
          <w:rFonts w:asciiTheme="minorHAnsi" w:eastAsiaTheme="minorHAnsi" w:hAnsiTheme="minorHAnsi" w:cstheme="minorBidi"/>
        </w:rPr>
        <w:t xml:space="preserve">The impact on individuals will be positive through </w:t>
      </w:r>
      <w:r w:rsidR="000168DB" w:rsidRPr="00B43396">
        <w:rPr>
          <w:rFonts w:asciiTheme="minorHAnsi" w:eastAsiaTheme="minorHAnsi" w:hAnsiTheme="minorHAnsi" w:cstheme="minorBidi"/>
        </w:rPr>
        <w:t xml:space="preserve">some </w:t>
      </w:r>
      <w:r w:rsidRPr="00B43396">
        <w:rPr>
          <w:rFonts w:asciiTheme="minorHAnsi" w:eastAsiaTheme="minorHAnsi" w:hAnsiTheme="minorHAnsi" w:cstheme="minorBidi"/>
        </w:rPr>
        <w:t xml:space="preserve">transparency facilitating </w:t>
      </w:r>
      <w:r w:rsidR="000168DB" w:rsidRPr="00B43396">
        <w:rPr>
          <w:rFonts w:asciiTheme="minorHAnsi" w:eastAsiaTheme="minorHAnsi" w:hAnsiTheme="minorHAnsi" w:cstheme="minorBidi"/>
        </w:rPr>
        <w:t>m</w:t>
      </w:r>
      <w:r w:rsidRPr="00B43396">
        <w:rPr>
          <w:rFonts w:asciiTheme="minorHAnsi" w:eastAsiaTheme="minorHAnsi" w:hAnsiTheme="minorHAnsi" w:cstheme="minorBidi"/>
        </w:rPr>
        <w:t xml:space="preserve">ore information for members about investment decisions of superannuation funds. </w:t>
      </w:r>
      <w:r w:rsidR="00B43396" w:rsidRPr="00B43396">
        <w:rPr>
          <w:rFonts w:asciiTheme="minorHAnsi" w:eastAsiaTheme="minorHAnsi" w:hAnsiTheme="minorHAnsi" w:cstheme="minorBidi"/>
        </w:rPr>
        <w:t>In the absence of any further guiding regulations however, there is likely to be limited comparability across different funds</w:t>
      </w:r>
      <w:r w:rsidR="0088102F">
        <w:rPr>
          <w:rFonts w:asciiTheme="minorHAnsi" w:eastAsiaTheme="minorHAnsi" w:hAnsiTheme="minorHAnsi" w:cstheme="minorBidi"/>
        </w:rPr>
        <w:t xml:space="preserve">. </w:t>
      </w:r>
      <w:r w:rsidR="0088102F">
        <w:rPr>
          <w:rFonts w:asciiTheme="minorHAnsi" w:hAnsiTheme="minorHAnsi" w:cstheme="minorHAnsi"/>
        </w:rPr>
        <w:t xml:space="preserve">There is no cost to individual’s leisure time as </w:t>
      </w:r>
      <w:r w:rsidR="00732634">
        <w:rPr>
          <w:rFonts w:asciiTheme="minorHAnsi" w:hAnsiTheme="minorHAnsi" w:cstheme="minorHAnsi"/>
        </w:rPr>
        <w:t xml:space="preserve">there is no obligation for members to review </w:t>
      </w:r>
      <w:r w:rsidR="0088102F">
        <w:rPr>
          <w:rFonts w:asciiTheme="minorHAnsi" w:hAnsiTheme="minorHAnsi" w:cstheme="minorHAnsi"/>
        </w:rPr>
        <w:t xml:space="preserve">PHD </w:t>
      </w:r>
      <w:r w:rsidR="00732634">
        <w:rPr>
          <w:rFonts w:asciiTheme="minorHAnsi" w:hAnsiTheme="minorHAnsi" w:cstheme="minorHAnsi"/>
        </w:rPr>
        <w:t>information</w:t>
      </w:r>
      <w:r w:rsidR="0088102F">
        <w:rPr>
          <w:rFonts w:asciiTheme="minorHAnsi" w:hAnsiTheme="minorHAnsi" w:cstheme="minorHAnsi"/>
        </w:rPr>
        <w:t>.</w:t>
      </w:r>
      <w:r w:rsidR="00121F5F" w:rsidRPr="00B43396">
        <w:rPr>
          <w:rFonts w:asciiTheme="minorHAnsi" w:eastAsiaTheme="minorHAnsi" w:hAnsiTheme="minorHAnsi" w:cstheme="minorBidi"/>
        </w:rPr>
        <w:t xml:space="preserve"> </w:t>
      </w:r>
    </w:p>
    <w:p w14:paraId="660EDEAF" w14:textId="2261B58D" w:rsidR="00A22946" w:rsidRPr="003F1F3B" w:rsidRDefault="00A22946" w:rsidP="003F1F3B">
      <w:pPr>
        <w:tabs>
          <w:tab w:val="left" w:pos="567"/>
        </w:tabs>
        <w:spacing w:before="120" w:after="120"/>
        <w:rPr>
          <w:rFonts w:eastAsia="Calibri" w:cstheme="minorHAnsi"/>
          <w:i/>
          <w:iCs/>
          <w:color w:val="4F81BD" w:themeColor="accent1"/>
          <w:sz w:val="24"/>
          <w:szCs w:val="24"/>
        </w:rPr>
      </w:pPr>
      <w:r w:rsidRPr="003F1F3B">
        <w:rPr>
          <w:rFonts w:eastAsia="Calibri" w:cstheme="minorHAnsi"/>
          <w:i/>
          <w:iCs/>
          <w:color w:val="4F81BD" w:themeColor="accent1"/>
          <w:sz w:val="24"/>
          <w:szCs w:val="24"/>
        </w:rPr>
        <w:lastRenderedPageBreak/>
        <w:t xml:space="preserve">Option 2: </w:t>
      </w:r>
      <w:r w:rsidR="005B4386">
        <w:rPr>
          <w:rFonts w:eastAsia="Calibri" w:cstheme="minorHAnsi"/>
          <w:i/>
          <w:iCs/>
          <w:color w:val="4F81BD" w:themeColor="accent1"/>
          <w:sz w:val="24"/>
          <w:szCs w:val="24"/>
        </w:rPr>
        <w:t>Disaggregated and u</w:t>
      </w:r>
      <w:r w:rsidR="005B4386" w:rsidRPr="003F1F3B">
        <w:rPr>
          <w:rFonts w:eastAsia="Calibri" w:cstheme="minorHAnsi"/>
          <w:i/>
          <w:iCs/>
          <w:color w:val="4F81BD" w:themeColor="accent1"/>
          <w:sz w:val="24"/>
          <w:szCs w:val="24"/>
        </w:rPr>
        <w:t xml:space="preserve">niform </w:t>
      </w:r>
      <w:r w:rsidRPr="003F1F3B">
        <w:rPr>
          <w:rFonts w:eastAsia="Calibri" w:cstheme="minorHAnsi"/>
          <w:i/>
          <w:iCs/>
          <w:color w:val="4F81BD" w:themeColor="accent1"/>
          <w:sz w:val="24"/>
          <w:szCs w:val="24"/>
        </w:rPr>
        <w:t>information disclosed across asset classes</w:t>
      </w:r>
    </w:p>
    <w:p w14:paraId="37BD1CE0" w14:textId="77777777" w:rsidR="00012CAB" w:rsidRDefault="0093439D" w:rsidP="0093439D">
      <w:pPr>
        <w:pStyle w:val="CABParaSub"/>
        <w:rPr>
          <w:rFonts w:asciiTheme="minorHAnsi" w:hAnsiTheme="minorHAnsi" w:cstheme="minorHAnsi"/>
        </w:rPr>
      </w:pPr>
      <w:r w:rsidRPr="00DB7DAE">
        <w:rPr>
          <w:rFonts w:asciiTheme="minorHAnsi" w:hAnsiTheme="minorHAnsi" w:cstheme="minorHAnsi"/>
        </w:rPr>
        <w:t>The impact of this option will be primarily on businesses. It will require public disclosure of data which superannuation funds will be responsible for compiling.</w:t>
      </w:r>
      <w:r>
        <w:rPr>
          <w:rFonts w:asciiTheme="minorHAnsi" w:hAnsiTheme="minorHAnsi" w:cstheme="minorHAnsi"/>
        </w:rPr>
        <w:t xml:space="preserve"> </w:t>
      </w:r>
      <w:r w:rsidR="00274AE4">
        <w:rPr>
          <w:rFonts w:asciiTheme="minorHAnsi" w:hAnsiTheme="minorHAnsi" w:cstheme="minorHAnsi"/>
        </w:rPr>
        <w:t>The requirement to disclose disaggregated information about all investments, particularly derivatives, will result in comprehensive, but extremely lengthy disclosure. One superannuation fund noted that having to disclose individual derivative positions would result in over 21,000 lines of information to be reported.</w:t>
      </w:r>
      <w:r w:rsidR="00274AE4">
        <w:rPr>
          <w:rStyle w:val="FootnoteReference"/>
          <w:rFonts w:asciiTheme="minorHAnsi" w:hAnsiTheme="minorHAnsi" w:cstheme="minorHAnsi"/>
        </w:rPr>
        <w:footnoteReference w:id="16"/>
      </w:r>
      <w:r w:rsidR="00274AE4">
        <w:rPr>
          <w:rFonts w:asciiTheme="minorHAnsi" w:hAnsiTheme="minorHAnsi" w:cstheme="minorHAnsi"/>
        </w:rPr>
        <w:t xml:space="preserve"> </w:t>
      </w:r>
    </w:p>
    <w:p w14:paraId="5F1F379D" w14:textId="651A29A9" w:rsidR="0093439D" w:rsidRDefault="0093439D" w:rsidP="0093439D">
      <w:pPr>
        <w:pStyle w:val="CABParaSub"/>
        <w:rPr>
          <w:rFonts w:asciiTheme="minorHAnsi" w:hAnsiTheme="minorHAnsi" w:cstheme="minorHAnsi"/>
        </w:rPr>
      </w:pPr>
      <w:r w:rsidRPr="00DB7DAE">
        <w:rPr>
          <w:rFonts w:asciiTheme="minorHAnsi" w:hAnsiTheme="minorHAnsi" w:cstheme="minorHAnsi"/>
        </w:rPr>
        <w:t xml:space="preserve">The impact on individuals will be positive through improved transparency facilitating more information for members about investment decisions of superannuation funds, </w:t>
      </w:r>
      <w:r w:rsidR="00182A5C">
        <w:rPr>
          <w:rFonts w:asciiTheme="minorHAnsi" w:hAnsiTheme="minorHAnsi" w:cstheme="minorHAnsi"/>
        </w:rPr>
        <w:t xml:space="preserve">including for those </w:t>
      </w:r>
      <w:r w:rsidRPr="00DB7DAE">
        <w:rPr>
          <w:rFonts w:asciiTheme="minorHAnsi" w:hAnsiTheme="minorHAnsi" w:cstheme="minorHAnsi"/>
        </w:rPr>
        <w:t>members w</w:t>
      </w:r>
      <w:r w:rsidR="00182A5C">
        <w:rPr>
          <w:rFonts w:asciiTheme="minorHAnsi" w:hAnsiTheme="minorHAnsi" w:cstheme="minorHAnsi"/>
        </w:rPr>
        <w:t>ho</w:t>
      </w:r>
      <w:r w:rsidRPr="00DB7DAE">
        <w:rPr>
          <w:rFonts w:asciiTheme="minorHAnsi" w:hAnsiTheme="minorHAnsi" w:cstheme="minorHAnsi"/>
        </w:rPr>
        <w:t xml:space="preserve"> rely on professional advisers, reports by professional investors and analysts. However, as the requirements for disclosure are not tailored to individual asset classes, this </w:t>
      </w:r>
      <w:r>
        <w:rPr>
          <w:rFonts w:asciiTheme="minorHAnsi" w:hAnsiTheme="minorHAnsi" w:cstheme="minorHAnsi"/>
        </w:rPr>
        <w:t xml:space="preserve">option </w:t>
      </w:r>
      <w:r w:rsidRPr="00DB7DAE">
        <w:rPr>
          <w:rFonts w:asciiTheme="minorHAnsi" w:hAnsiTheme="minorHAnsi" w:cstheme="minorHAnsi"/>
        </w:rPr>
        <w:t xml:space="preserve">limits the ability of individuals and professional advisers to make conclusions based on the information provided. </w:t>
      </w:r>
      <w:r w:rsidR="00A110B1">
        <w:rPr>
          <w:rFonts w:asciiTheme="minorHAnsi" w:hAnsiTheme="minorHAnsi" w:cstheme="minorHAnsi"/>
        </w:rPr>
        <w:t xml:space="preserve">The length of the information provided may also discourage members from engaging with it. </w:t>
      </w:r>
    </w:p>
    <w:p w14:paraId="22F32457" w14:textId="78F37E8C" w:rsidR="0093439D" w:rsidRPr="00DB7DAE" w:rsidRDefault="0088102F" w:rsidP="0093439D">
      <w:pPr>
        <w:pStyle w:val="CABParaSub"/>
        <w:rPr>
          <w:rFonts w:asciiTheme="minorHAnsi" w:hAnsiTheme="minorHAnsi" w:cstheme="minorHAnsi"/>
        </w:rPr>
      </w:pPr>
      <w:r>
        <w:rPr>
          <w:rFonts w:asciiTheme="minorHAnsi" w:hAnsiTheme="minorHAnsi" w:cstheme="minorHAnsi"/>
        </w:rPr>
        <w:t>As with Option 1</w:t>
      </w:r>
      <w:r w:rsidR="0093439D">
        <w:rPr>
          <w:rFonts w:asciiTheme="minorHAnsi" w:hAnsiTheme="minorHAnsi" w:cstheme="minorHAnsi"/>
        </w:rPr>
        <w:t xml:space="preserve"> there is no cost to individuals</w:t>
      </w:r>
      <w:r w:rsidR="0061660B">
        <w:rPr>
          <w:rFonts w:asciiTheme="minorHAnsi" w:hAnsiTheme="minorHAnsi" w:cstheme="minorHAnsi"/>
        </w:rPr>
        <w:t>’</w:t>
      </w:r>
      <w:r w:rsidR="0093439D">
        <w:rPr>
          <w:rFonts w:asciiTheme="minorHAnsi" w:hAnsiTheme="minorHAnsi" w:cstheme="minorHAnsi"/>
        </w:rPr>
        <w:t xml:space="preserve"> leisure </w:t>
      </w:r>
      <w:r>
        <w:rPr>
          <w:rFonts w:asciiTheme="minorHAnsi" w:hAnsiTheme="minorHAnsi" w:cstheme="minorHAnsi"/>
        </w:rPr>
        <w:t xml:space="preserve">time and no </w:t>
      </w:r>
      <w:r w:rsidR="0093439D" w:rsidRPr="00DB7DAE">
        <w:rPr>
          <w:rFonts w:asciiTheme="minorHAnsi" w:hAnsiTheme="minorHAnsi" w:cstheme="minorHAnsi"/>
        </w:rPr>
        <w:t>specific community group will be impacted by this option.</w:t>
      </w:r>
    </w:p>
    <w:p w14:paraId="06F7DC71" w14:textId="7BCBED79" w:rsidR="00F84681" w:rsidRPr="00F53D76" w:rsidRDefault="00F84681" w:rsidP="002057C6">
      <w:pPr>
        <w:pStyle w:val="CABParaSub"/>
        <w:rPr>
          <w:rFonts w:asciiTheme="minorHAnsi" w:hAnsiTheme="minorHAnsi" w:cstheme="minorHAnsi"/>
          <w:u w:val="single"/>
        </w:rPr>
      </w:pPr>
      <w:r w:rsidRPr="00F53D76">
        <w:rPr>
          <w:rFonts w:asciiTheme="minorHAnsi" w:hAnsiTheme="minorHAnsi" w:cstheme="minorHAnsi"/>
          <w:u w:val="single"/>
        </w:rPr>
        <w:t>Costs</w:t>
      </w:r>
    </w:p>
    <w:p w14:paraId="10068ABF" w14:textId="6DC2500A" w:rsidR="00E13F54" w:rsidRPr="007271F8" w:rsidRDefault="0002649E" w:rsidP="007271F8">
      <w:pPr>
        <w:pStyle w:val="CABParaSub"/>
        <w:rPr>
          <w:rFonts w:asciiTheme="minorHAnsi" w:hAnsiTheme="minorHAnsi" w:cstheme="minorHAnsi"/>
        </w:rPr>
      </w:pPr>
      <w:r w:rsidRPr="007271F8">
        <w:rPr>
          <w:rFonts w:asciiTheme="minorHAnsi" w:hAnsiTheme="minorHAnsi" w:cstheme="minorHAnsi"/>
        </w:rPr>
        <w:t xml:space="preserve">It is anticipated that Option </w:t>
      </w:r>
      <w:r w:rsidR="009108F2" w:rsidRPr="007271F8">
        <w:rPr>
          <w:rFonts w:asciiTheme="minorHAnsi" w:hAnsiTheme="minorHAnsi" w:cstheme="minorHAnsi"/>
        </w:rPr>
        <w:t>2</w:t>
      </w:r>
      <w:r w:rsidRPr="007271F8">
        <w:rPr>
          <w:rFonts w:asciiTheme="minorHAnsi" w:hAnsiTheme="minorHAnsi" w:cstheme="minorHAnsi"/>
        </w:rPr>
        <w:t xml:space="preserve"> will have a total </w:t>
      </w:r>
      <w:r w:rsidR="002D27BE" w:rsidRPr="007271F8">
        <w:rPr>
          <w:rFonts w:asciiTheme="minorHAnsi" w:hAnsiTheme="minorHAnsi" w:cstheme="minorHAnsi"/>
        </w:rPr>
        <w:t xml:space="preserve">annual compliance cost impact, averaged over 10 years, </w:t>
      </w:r>
      <w:r w:rsidRPr="007271F8">
        <w:rPr>
          <w:rFonts w:asciiTheme="minorHAnsi" w:hAnsiTheme="minorHAnsi" w:cstheme="minorHAnsi"/>
        </w:rPr>
        <w:t>of $</w:t>
      </w:r>
      <w:r w:rsidRPr="007271F8" w:rsidDel="003E24A9">
        <w:rPr>
          <w:rFonts w:asciiTheme="minorHAnsi" w:hAnsiTheme="minorHAnsi" w:cstheme="minorHAnsi"/>
        </w:rPr>
        <w:t>5</w:t>
      </w:r>
      <w:r w:rsidR="00DC49AB" w:rsidRPr="007271F8">
        <w:rPr>
          <w:rFonts w:asciiTheme="minorHAnsi" w:hAnsiTheme="minorHAnsi" w:cstheme="minorHAnsi"/>
        </w:rPr>
        <w:t>.2</w:t>
      </w:r>
      <w:r w:rsidR="00DC1787" w:rsidRPr="007271F8" w:rsidDel="003E24A9">
        <w:rPr>
          <w:rFonts w:asciiTheme="minorHAnsi" w:hAnsiTheme="minorHAnsi" w:cstheme="minorHAnsi"/>
        </w:rPr>
        <w:t xml:space="preserve"> </w:t>
      </w:r>
      <w:r w:rsidRPr="007271F8">
        <w:rPr>
          <w:rFonts w:asciiTheme="minorHAnsi" w:hAnsiTheme="minorHAnsi" w:cstheme="minorHAnsi"/>
        </w:rPr>
        <w:t>m</w:t>
      </w:r>
      <w:r w:rsidR="00DC1787" w:rsidRPr="007271F8">
        <w:rPr>
          <w:rFonts w:asciiTheme="minorHAnsi" w:hAnsiTheme="minorHAnsi" w:cstheme="minorHAnsi"/>
        </w:rPr>
        <w:t>illion</w:t>
      </w:r>
      <w:r w:rsidRPr="007271F8">
        <w:rPr>
          <w:rFonts w:asciiTheme="minorHAnsi" w:hAnsiTheme="minorHAnsi" w:cstheme="minorHAnsi"/>
        </w:rPr>
        <w:t xml:space="preserve"> to business. </w:t>
      </w:r>
      <w:r w:rsidR="00956A7D" w:rsidRPr="007271F8">
        <w:rPr>
          <w:rFonts w:asciiTheme="minorHAnsi" w:hAnsiTheme="minorHAnsi" w:cstheme="minorHAnsi"/>
        </w:rPr>
        <w:t xml:space="preserve">These primarily relate to a </w:t>
      </w:r>
      <w:r w:rsidR="0061660B" w:rsidRPr="007271F8">
        <w:rPr>
          <w:rFonts w:asciiTheme="minorHAnsi" w:hAnsiTheme="minorHAnsi" w:cstheme="minorHAnsi"/>
        </w:rPr>
        <w:t>combination</w:t>
      </w:r>
      <w:r w:rsidR="00956A7D" w:rsidRPr="007271F8">
        <w:rPr>
          <w:rFonts w:asciiTheme="minorHAnsi" w:hAnsiTheme="minorHAnsi" w:cstheme="minorHAnsi"/>
        </w:rPr>
        <w:t xml:space="preserve"> of start</w:t>
      </w:r>
      <w:r w:rsidR="00727DE5" w:rsidRPr="007271F8">
        <w:rPr>
          <w:rFonts w:asciiTheme="minorHAnsi" w:hAnsiTheme="minorHAnsi" w:cstheme="minorHAnsi"/>
        </w:rPr>
        <w:t>-</w:t>
      </w:r>
      <w:r w:rsidR="00956A7D" w:rsidRPr="007271F8">
        <w:rPr>
          <w:rFonts w:asciiTheme="minorHAnsi" w:hAnsiTheme="minorHAnsi" w:cstheme="minorHAnsi"/>
        </w:rPr>
        <w:t>up costs and ongoing costs associated with understanding and then meeting the PHD requirements.</w:t>
      </w:r>
      <w:r w:rsidR="0053495B" w:rsidRPr="007271F8">
        <w:rPr>
          <w:rFonts w:asciiTheme="minorHAnsi" w:hAnsiTheme="minorHAnsi" w:cstheme="minorHAnsi"/>
        </w:rPr>
        <w:t xml:space="preserve">  Further information on the methodology and assumptions underpinning the estimated compliance cost is at Appendix A.</w:t>
      </w:r>
    </w:p>
    <w:p w14:paraId="754148E2" w14:textId="218F05A7" w:rsidR="00F515CB" w:rsidRPr="00176134" w:rsidRDefault="00012CAB" w:rsidP="00F515CB">
      <w:pPr>
        <w:pStyle w:val="CABParaSub"/>
        <w:rPr>
          <w:rFonts w:asciiTheme="minorHAnsi" w:hAnsiTheme="minorHAnsi" w:cstheme="minorHAnsi"/>
        </w:rPr>
      </w:pPr>
      <w:r w:rsidRPr="007271F8">
        <w:rPr>
          <w:rFonts w:asciiTheme="minorHAnsi" w:hAnsiTheme="minorHAnsi" w:cstheme="minorHAnsi"/>
        </w:rPr>
        <w:t>As this option requires superannuation funds to d</w:t>
      </w:r>
      <w:r w:rsidR="00F515CB" w:rsidRPr="007271F8">
        <w:rPr>
          <w:rFonts w:asciiTheme="minorHAnsi" w:hAnsiTheme="minorHAnsi" w:cstheme="minorHAnsi"/>
        </w:rPr>
        <w:t>isclos</w:t>
      </w:r>
      <w:r w:rsidRPr="007271F8">
        <w:rPr>
          <w:rFonts w:asciiTheme="minorHAnsi" w:hAnsiTheme="minorHAnsi" w:cstheme="minorHAnsi"/>
        </w:rPr>
        <w:t>e</w:t>
      </w:r>
      <w:r w:rsidR="00F515CB" w:rsidRPr="007271F8">
        <w:rPr>
          <w:rFonts w:asciiTheme="minorHAnsi" w:hAnsiTheme="minorHAnsi" w:cstheme="minorHAnsi"/>
        </w:rPr>
        <w:t xml:space="preserve"> the precise values of unlisted assets</w:t>
      </w:r>
      <w:r w:rsidR="005A491A" w:rsidRPr="00016479">
        <w:rPr>
          <w:rFonts w:asciiTheme="minorHAnsi" w:hAnsiTheme="minorHAnsi" w:cstheme="minorHAnsi"/>
        </w:rPr>
        <w:t xml:space="preserve"> </w:t>
      </w:r>
      <w:r w:rsidR="00520ABA">
        <w:rPr>
          <w:rFonts w:asciiTheme="minorHAnsi" w:hAnsiTheme="minorHAnsi" w:cstheme="minorHAnsi"/>
        </w:rPr>
        <w:t xml:space="preserve">some </w:t>
      </w:r>
      <w:r w:rsidR="00224BA8">
        <w:rPr>
          <w:rFonts w:asciiTheme="minorHAnsi" w:hAnsiTheme="minorHAnsi" w:cstheme="minorHAnsi"/>
        </w:rPr>
        <w:t>fund</w:t>
      </w:r>
      <w:r w:rsidR="00520ABA">
        <w:rPr>
          <w:rFonts w:asciiTheme="minorHAnsi" w:hAnsiTheme="minorHAnsi" w:cstheme="minorHAnsi"/>
        </w:rPr>
        <w:t xml:space="preserve">s argued </w:t>
      </w:r>
      <w:r w:rsidRPr="00016479">
        <w:rPr>
          <w:rFonts w:asciiTheme="minorHAnsi" w:hAnsiTheme="minorHAnsi" w:cstheme="minorHAnsi"/>
        </w:rPr>
        <w:t>it</w:t>
      </w:r>
      <w:r w:rsidR="00F515CB" w:rsidRPr="00176134">
        <w:rPr>
          <w:rFonts w:asciiTheme="minorHAnsi" w:hAnsiTheme="minorHAnsi" w:cstheme="minorHAnsi"/>
        </w:rPr>
        <w:t xml:space="preserve"> has the potential to reduce investment returns for super fund members, which is a significant cost. Stakeholders noted that unlisted assets such as property and infrastructure typically have a limited universe of potential buyers. The ability to generate premiums upon the sale of these assets </w:t>
      </w:r>
      <w:r w:rsidR="00520ABA">
        <w:rPr>
          <w:rFonts w:asciiTheme="minorHAnsi" w:hAnsiTheme="minorHAnsi" w:cstheme="minorHAnsi"/>
        </w:rPr>
        <w:t>c</w:t>
      </w:r>
      <w:r w:rsidR="00520ABA" w:rsidRPr="00176134">
        <w:rPr>
          <w:rFonts w:asciiTheme="minorHAnsi" w:hAnsiTheme="minorHAnsi" w:cstheme="minorHAnsi"/>
        </w:rPr>
        <w:t xml:space="preserve">ould </w:t>
      </w:r>
      <w:r w:rsidR="00F515CB" w:rsidRPr="00176134">
        <w:rPr>
          <w:rFonts w:asciiTheme="minorHAnsi" w:hAnsiTheme="minorHAnsi" w:cstheme="minorHAnsi"/>
        </w:rPr>
        <w:t xml:space="preserve">be eroded under this option, as buyers are likely to anchor their bids to the disclosed valuation. </w:t>
      </w:r>
    </w:p>
    <w:p w14:paraId="6495FA2A" w14:textId="422B4264" w:rsidR="00F515CB" w:rsidRPr="00176134" w:rsidRDefault="00F515CB" w:rsidP="00F515CB">
      <w:pPr>
        <w:pStyle w:val="CABParaSub"/>
        <w:rPr>
          <w:rFonts w:asciiTheme="minorHAnsi" w:hAnsiTheme="minorHAnsi" w:cstheme="minorHAnsi"/>
        </w:rPr>
      </w:pPr>
      <w:r w:rsidRPr="00176134">
        <w:rPr>
          <w:rFonts w:asciiTheme="minorHAnsi" w:hAnsiTheme="minorHAnsi" w:cstheme="minorHAnsi"/>
        </w:rPr>
        <w:t xml:space="preserve">Fund managers with an international presence noted that it would reduce their ability to compete in global markets, given the increased information asymmetry as competitors would have full and complete access to their portfolios and could use this to their advantage. </w:t>
      </w:r>
    </w:p>
    <w:p w14:paraId="6F9FD114" w14:textId="395DF44B" w:rsidR="00F515CB" w:rsidRPr="00DB7DAE" w:rsidRDefault="00F515CB" w:rsidP="002057C6">
      <w:pPr>
        <w:pStyle w:val="CABParaSub"/>
        <w:rPr>
          <w:rFonts w:asciiTheme="minorHAnsi" w:hAnsiTheme="minorHAnsi" w:cstheme="minorHAnsi"/>
        </w:rPr>
      </w:pPr>
      <w:r>
        <w:rPr>
          <w:rFonts w:asciiTheme="minorHAnsi" w:hAnsiTheme="minorHAnsi" w:cstheme="minorHAnsi"/>
        </w:rPr>
        <w:t xml:space="preserve">Requiring public disclosure of unlisted assets could also reduce the number of investment opportunities available to Australian superannuation funds, should international </w:t>
      </w:r>
      <w:r w:rsidR="00E42B82">
        <w:rPr>
          <w:rFonts w:asciiTheme="minorHAnsi" w:hAnsiTheme="minorHAnsi" w:cstheme="minorHAnsi"/>
        </w:rPr>
        <w:t xml:space="preserve">investor </w:t>
      </w:r>
      <w:r>
        <w:rPr>
          <w:rFonts w:asciiTheme="minorHAnsi" w:hAnsiTheme="minorHAnsi" w:cstheme="minorHAnsi"/>
        </w:rPr>
        <w:t>partners who are not subject to the same level of disclosure requirements</w:t>
      </w:r>
      <w:r w:rsidR="00C84DF0">
        <w:rPr>
          <w:rFonts w:asciiTheme="minorHAnsi" w:hAnsiTheme="minorHAnsi" w:cstheme="minorHAnsi"/>
        </w:rPr>
        <w:t>,</w:t>
      </w:r>
      <w:r>
        <w:rPr>
          <w:rFonts w:asciiTheme="minorHAnsi" w:hAnsiTheme="minorHAnsi" w:cstheme="minorHAnsi"/>
        </w:rPr>
        <w:t xml:space="preserve"> </w:t>
      </w:r>
      <w:r w:rsidR="00261524">
        <w:rPr>
          <w:rFonts w:asciiTheme="minorHAnsi" w:hAnsiTheme="minorHAnsi" w:cstheme="minorHAnsi"/>
        </w:rPr>
        <w:t>object</w:t>
      </w:r>
      <w:r>
        <w:rPr>
          <w:rFonts w:asciiTheme="minorHAnsi" w:hAnsiTheme="minorHAnsi" w:cstheme="minorHAnsi"/>
        </w:rPr>
        <w:t xml:space="preserve"> to hav</w:t>
      </w:r>
      <w:r w:rsidR="00261524">
        <w:rPr>
          <w:rFonts w:asciiTheme="minorHAnsi" w:hAnsiTheme="minorHAnsi" w:cstheme="minorHAnsi"/>
        </w:rPr>
        <w:t>ing</w:t>
      </w:r>
      <w:r>
        <w:rPr>
          <w:rFonts w:asciiTheme="minorHAnsi" w:hAnsiTheme="minorHAnsi" w:cstheme="minorHAnsi"/>
        </w:rPr>
        <w:t xml:space="preserve"> this information in the public domain. </w:t>
      </w:r>
    </w:p>
    <w:p w14:paraId="6D47B92B" w14:textId="5D953C91" w:rsidR="00F84681" w:rsidRPr="00F53D76" w:rsidRDefault="00F84681" w:rsidP="002057C6">
      <w:pPr>
        <w:pStyle w:val="CABParaSub"/>
        <w:rPr>
          <w:rFonts w:asciiTheme="minorHAnsi" w:hAnsiTheme="minorHAnsi" w:cstheme="minorHAnsi"/>
          <w:u w:val="single"/>
        </w:rPr>
      </w:pPr>
      <w:r w:rsidRPr="00F53D76">
        <w:rPr>
          <w:rFonts w:asciiTheme="minorHAnsi" w:hAnsiTheme="minorHAnsi" w:cstheme="minorHAnsi"/>
          <w:u w:val="single"/>
        </w:rPr>
        <w:t>Benefits</w:t>
      </w:r>
    </w:p>
    <w:p w14:paraId="41416802" w14:textId="10A53E4A" w:rsidR="00F84681" w:rsidRDefault="00956A7D" w:rsidP="002057C6">
      <w:pPr>
        <w:pStyle w:val="CABParaSub"/>
        <w:rPr>
          <w:rFonts w:asciiTheme="minorHAnsi" w:hAnsiTheme="minorHAnsi" w:cstheme="minorHAnsi"/>
        </w:rPr>
      </w:pPr>
      <w:r w:rsidRPr="00321D77">
        <w:rPr>
          <w:rFonts w:asciiTheme="minorHAnsi" w:hAnsiTheme="minorHAnsi" w:cstheme="minorHAnsi"/>
        </w:rPr>
        <w:t xml:space="preserve">Option </w:t>
      </w:r>
      <w:r w:rsidR="009108F2" w:rsidRPr="00321D77">
        <w:rPr>
          <w:rFonts w:asciiTheme="minorHAnsi" w:hAnsiTheme="minorHAnsi" w:cstheme="minorHAnsi"/>
        </w:rPr>
        <w:t>2</w:t>
      </w:r>
      <w:r w:rsidR="00012CAB">
        <w:rPr>
          <w:rFonts w:asciiTheme="minorHAnsi" w:hAnsiTheme="minorHAnsi" w:cstheme="minorHAnsi"/>
        </w:rPr>
        <w:t xml:space="preserve"> </w:t>
      </w:r>
      <w:r w:rsidR="007A5DE5" w:rsidRPr="00321D77">
        <w:rPr>
          <w:rFonts w:asciiTheme="minorHAnsi" w:hAnsiTheme="minorHAnsi" w:cstheme="minorHAnsi"/>
        </w:rPr>
        <w:t xml:space="preserve">provides </w:t>
      </w:r>
      <w:r w:rsidR="0093439D" w:rsidRPr="00321D77">
        <w:rPr>
          <w:rFonts w:asciiTheme="minorHAnsi" w:hAnsiTheme="minorHAnsi" w:cstheme="minorHAnsi"/>
        </w:rPr>
        <w:t>additional</w:t>
      </w:r>
      <w:r w:rsidR="007A5DE5" w:rsidRPr="00321D77">
        <w:rPr>
          <w:rFonts w:asciiTheme="minorHAnsi" w:hAnsiTheme="minorHAnsi" w:cstheme="minorHAnsi"/>
        </w:rPr>
        <w:t xml:space="preserve"> transparency</w:t>
      </w:r>
      <w:r w:rsidR="00EB2F8D">
        <w:rPr>
          <w:rFonts w:asciiTheme="minorHAnsi" w:hAnsiTheme="minorHAnsi" w:cstheme="minorHAnsi"/>
        </w:rPr>
        <w:t xml:space="preserve"> compared to Option 1</w:t>
      </w:r>
      <w:r w:rsidR="007A5DE5" w:rsidRPr="00321D77">
        <w:rPr>
          <w:rFonts w:asciiTheme="minorHAnsi" w:hAnsiTheme="minorHAnsi" w:cstheme="minorHAnsi"/>
        </w:rPr>
        <w:t>.</w:t>
      </w:r>
      <w:r w:rsidR="00E2413E" w:rsidRPr="00321D77">
        <w:rPr>
          <w:rFonts w:asciiTheme="minorHAnsi" w:hAnsiTheme="minorHAnsi" w:cstheme="minorHAnsi"/>
        </w:rPr>
        <w:t xml:space="preserve"> </w:t>
      </w:r>
    </w:p>
    <w:p w14:paraId="0533C4AF" w14:textId="75D0677D" w:rsidR="009E10D3" w:rsidRPr="00321D77" w:rsidRDefault="009E10D3" w:rsidP="009E10D3">
      <w:pPr>
        <w:pStyle w:val="CABParaSub"/>
        <w:rPr>
          <w:rFonts w:asciiTheme="minorHAnsi" w:hAnsiTheme="minorHAnsi" w:cstheme="minorHAnsi"/>
        </w:rPr>
      </w:pPr>
      <w:r>
        <w:rPr>
          <w:rFonts w:asciiTheme="minorHAnsi" w:hAnsiTheme="minorHAnsi" w:cstheme="minorHAnsi"/>
        </w:rPr>
        <w:t>Super Consumers Australia notes that improving the disclosure regime “will facilitate regulators and researchers in better understanding the relative (under)</w:t>
      </w:r>
      <w:r w:rsidR="00114AB6">
        <w:rPr>
          <w:rFonts w:asciiTheme="minorHAnsi" w:hAnsiTheme="minorHAnsi" w:cstheme="minorHAnsi"/>
        </w:rPr>
        <w:t xml:space="preserve"> </w:t>
      </w:r>
      <w:r>
        <w:rPr>
          <w:rFonts w:asciiTheme="minorHAnsi" w:hAnsiTheme="minorHAnsi" w:cstheme="minorHAnsi"/>
        </w:rPr>
        <w:t xml:space="preserve">performance of </w:t>
      </w:r>
      <w:r>
        <w:rPr>
          <w:rFonts w:asciiTheme="minorHAnsi" w:hAnsiTheme="minorHAnsi" w:cstheme="minorHAnsi"/>
        </w:rPr>
        <w:lastRenderedPageBreak/>
        <w:t>funds. It will also allow deeper investigation of the factors that go into good fund performance which can be used to assist industry and ultimately consumers with better performing funds”</w:t>
      </w:r>
      <w:r w:rsidR="00913254">
        <w:rPr>
          <w:rStyle w:val="FootnoteReference"/>
          <w:rFonts w:asciiTheme="minorHAnsi" w:hAnsiTheme="minorHAnsi" w:cstheme="minorHAnsi"/>
        </w:rPr>
        <w:footnoteReference w:id="17"/>
      </w:r>
      <w:r>
        <w:rPr>
          <w:rFonts w:asciiTheme="minorHAnsi" w:hAnsiTheme="minorHAnsi" w:cstheme="minorHAnsi"/>
        </w:rPr>
        <w:t xml:space="preserve">. </w:t>
      </w:r>
    </w:p>
    <w:p w14:paraId="15C1B85E" w14:textId="79A100BE" w:rsidR="00080F37" w:rsidRDefault="00A312CB" w:rsidP="002057C6">
      <w:pPr>
        <w:pStyle w:val="CABParaSub"/>
        <w:rPr>
          <w:rFonts w:asciiTheme="minorHAnsi" w:hAnsiTheme="minorHAnsi" w:cstheme="minorHAnsi"/>
        </w:rPr>
      </w:pPr>
      <w:r w:rsidRPr="00321D77">
        <w:rPr>
          <w:rFonts w:asciiTheme="minorHAnsi" w:hAnsiTheme="minorHAnsi" w:cstheme="minorHAnsi"/>
        </w:rPr>
        <w:t xml:space="preserve">Engaged fund members would benefit from the </w:t>
      </w:r>
      <w:r w:rsidR="009E10D3">
        <w:rPr>
          <w:rFonts w:asciiTheme="minorHAnsi" w:hAnsiTheme="minorHAnsi" w:cstheme="minorHAnsi"/>
        </w:rPr>
        <w:t>ability</w:t>
      </w:r>
      <w:r w:rsidRPr="00321D77">
        <w:rPr>
          <w:rFonts w:asciiTheme="minorHAnsi" w:hAnsiTheme="minorHAnsi" w:cstheme="minorHAnsi"/>
        </w:rPr>
        <w:t xml:space="preserve"> to see where their contributions are invested. </w:t>
      </w:r>
      <w:r w:rsidR="00012CAB">
        <w:rPr>
          <w:rFonts w:asciiTheme="minorHAnsi" w:hAnsiTheme="minorHAnsi" w:cstheme="minorHAnsi"/>
        </w:rPr>
        <w:t>T</w:t>
      </w:r>
      <w:r w:rsidRPr="00321D77">
        <w:rPr>
          <w:rFonts w:asciiTheme="minorHAnsi" w:hAnsiTheme="minorHAnsi" w:cstheme="minorHAnsi"/>
        </w:rPr>
        <w:t>his option may improve incentives for members to engage with funds and strengthen confidence in the superannuation system</w:t>
      </w:r>
      <w:r w:rsidR="00012CAB" w:rsidRPr="00012CAB">
        <w:rPr>
          <w:rFonts w:asciiTheme="minorHAnsi" w:hAnsiTheme="minorHAnsi" w:cstheme="minorHAnsi"/>
        </w:rPr>
        <w:t xml:space="preserve"> </w:t>
      </w:r>
      <w:r w:rsidR="00012CAB">
        <w:rPr>
          <w:rFonts w:asciiTheme="minorHAnsi" w:hAnsiTheme="minorHAnsi" w:cstheme="minorHAnsi"/>
        </w:rPr>
        <w:t>b</w:t>
      </w:r>
      <w:r w:rsidR="00012CAB" w:rsidRPr="00321D77">
        <w:rPr>
          <w:rFonts w:asciiTheme="minorHAnsi" w:hAnsiTheme="minorHAnsi" w:cstheme="minorHAnsi"/>
        </w:rPr>
        <w:t xml:space="preserve">y increasing </w:t>
      </w:r>
      <w:r w:rsidR="00012CAB">
        <w:rPr>
          <w:rFonts w:asciiTheme="minorHAnsi" w:hAnsiTheme="minorHAnsi" w:cstheme="minorHAnsi"/>
        </w:rPr>
        <w:t xml:space="preserve">the </w:t>
      </w:r>
      <w:r w:rsidR="00012CAB" w:rsidRPr="00321D77">
        <w:rPr>
          <w:rFonts w:asciiTheme="minorHAnsi" w:hAnsiTheme="minorHAnsi" w:cstheme="minorHAnsi"/>
        </w:rPr>
        <w:t>visibility of fund operations</w:t>
      </w:r>
      <w:r w:rsidRPr="00321D77">
        <w:rPr>
          <w:rFonts w:asciiTheme="minorHAnsi" w:hAnsiTheme="minorHAnsi" w:cstheme="minorHAnsi"/>
        </w:rPr>
        <w:t>.</w:t>
      </w:r>
      <w:r w:rsidR="009E10D3">
        <w:rPr>
          <w:rFonts w:asciiTheme="minorHAnsi" w:hAnsiTheme="minorHAnsi" w:cstheme="minorHAnsi"/>
        </w:rPr>
        <w:t xml:space="preserve"> </w:t>
      </w:r>
    </w:p>
    <w:p w14:paraId="0297B787" w14:textId="10B7D9F0" w:rsidR="00733811" w:rsidRDefault="009E10D3" w:rsidP="002057C6">
      <w:pPr>
        <w:pStyle w:val="CABParaSub"/>
        <w:rPr>
          <w:rFonts w:asciiTheme="minorHAnsi" w:hAnsiTheme="minorHAnsi" w:cstheme="minorHAnsi"/>
        </w:rPr>
      </w:pPr>
      <w:r w:rsidRPr="00812DC4">
        <w:rPr>
          <w:rFonts w:asciiTheme="minorHAnsi" w:hAnsiTheme="minorHAnsi" w:cstheme="minorHAnsi"/>
        </w:rPr>
        <w:t>In addition, greater transparency would provide consumers that may</w:t>
      </w:r>
      <w:r w:rsidR="00903ABF" w:rsidRPr="00812DC4">
        <w:rPr>
          <w:rFonts w:asciiTheme="minorHAnsi" w:hAnsiTheme="minorHAnsi" w:cstheme="minorHAnsi"/>
        </w:rPr>
        <w:t xml:space="preserve"> be</w:t>
      </w:r>
      <w:r w:rsidRPr="00812DC4">
        <w:rPr>
          <w:rFonts w:asciiTheme="minorHAnsi" w:hAnsiTheme="minorHAnsi" w:cstheme="minorHAnsi"/>
        </w:rPr>
        <w:t xml:space="preserve"> willing to pay higher fees to access </w:t>
      </w:r>
      <w:r w:rsidR="00114AB6">
        <w:rPr>
          <w:rFonts w:asciiTheme="minorHAnsi" w:hAnsiTheme="minorHAnsi" w:cstheme="minorHAnsi"/>
        </w:rPr>
        <w:t xml:space="preserve">specific </w:t>
      </w:r>
      <w:r w:rsidRPr="00812DC4">
        <w:rPr>
          <w:rFonts w:asciiTheme="minorHAnsi" w:hAnsiTheme="minorHAnsi" w:cstheme="minorHAnsi"/>
        </w:rPr>
        <w:t xml:space="preserve">investment strategies with the confidence that their super fund is true to label, or alternatively the incentive to switch funds should the </w:t>
      </w:r>
      <w:r w:rsidR="00903ABF" w:rsidRPr="00812DC4">
        <w:rPr>
          <w:rFonts w:asciiTheme="minorHAnsi" w:hAnsiTheme="minorHAnsi" w:cstheme="minorHAnsi"/>
        </w:rPr>
        <w:t>strategy</w:t>
      </w:r>
      <w:r w:rsidRPr="00812DC4">
        <w:rPr>
          <w:rFonts w:asciiTheme="minorHAnsi" w:hAnsiTheme="minorHAnsi" w:cstheme="minorHAnsi"/>
        </w:rPr>
        <w:t xml:space="preserve"> of the</w:t>
      </w:r>
      <w:r w:rsidR="00903ABF" w:rsidRPr="00812DC4">
        <w:rPr>
          <w:rFonts w:asciiTheme="minorHAnsi" w:hAnsiTheme="minorHAnsi" w:cstheme="minorHAnsi"/>
        </w:rPr>
        <w:t>ir current super</w:t>
      </w:r>
      <w:r w:rsidRPr="00812DC4">
        <w:rPr>
          <w:rFonts w:asciiTheme="minorHAnsi" w:hAnsiTheme="minorHAnsi" w:cstheme="minorHAnsi"/>
        </w:rPr>
        <w:t xml:space="preserve"> fund not meet their expectations. </w:t>
      </w:r>
    </w:p>
    <w:p w14:paraId="6054C732" w14:textId="43DC101F" w:rsidR="00903ABF" w:rsidRDefault="00114AB6" w:rsidP="002057C6">
      <w:pPr>
        <w:pStyle w:val="CABParaSub"/>
        <w:rPr>
          <w:rFonts w:asciiTheme="minorHAnsi" w:hAnsiTheme="minorHAnsi" w:cstheme="minorHAnsi"/>
        </w:rPr>
      </w:pPr>
      <w:r>
        <w:rPr>
          <w:rFonts w:asciiTheme="minorHAnsi" w:hAnsiTheme="minorHAnsi" w:cstheme="minorHAnsi"/>
        </w:rPr>
        <w:t xml:space="preserve">There is </w:t>
      </w:r>
      <w:r w:rsidR="00733811">
        <w:rPr>
          <w:rFonts w:asciiTheme="minorHAnsi" w:hAnsiTheme="minorHAnsi" w:cstheme="minorHAnsi"/>
        </w:rPr>
        <w:t xml:space="preserve">also potential for increased engagement with superannuation </w:t>
      </w:r>
      <w:r>
        <w:rPr>
          <w:rFonts w:asciiTheme="minorHAnsi" w:hAnsiTheme="minorHAnsi" w:cstheme="minorHAnsi"/>
        </w:rPr>
        <w:t xml:space="preserve">through </w:t>
      </w:r>
      <w:r w:rsidR="000F5214">
        <w:rPr>
          <w:rFonts w:asciiTheme="minorHAnsi" w:hAnsiTheme="minorHAnsi" w:cstheme="minorHAnsi"/>
        </w:rPr>
        <w:t xml:space="preserve">heightened </w:t>
      </w:r>
      <w:r w:rsidR="00733811">
        <w:rPr>
          <w:rFonts w:asciiTheme="minorHAnsi" w:hAnsiTheme="minorHAnsi" w:cstheme="minorHAnsi"/>
        </w:rPr>
        <w:t>media commentary result</w:t>
      </w:r>
      <w:r w:rsidR="000F5214">
        <w:rPr>
          <w:rFonts w:asciiTheme="minorHAnsi" w:hAnsiTheme="minorHAnsi" w:cstheme="minorHAnsi"/>
        </w:rPr>
        <w:t>ing</w:t>
      </w:r>
      <w:r w:rsidR="00733811">
        <w:rPr>
          <w:rFonts w:asciiTheme="minorHAnsi" w:hAnsiTheme="minorHAnsi" w:cstheme="minorHAnsi"/>
        </w:rPr>
        <w:t xml:space="preserve"> from the increased disclosure. Financial commentators support the translation of comprehensive disclosures into key messages</w:t>
      </w:r>
      <w:r w:rsidR="000F5214">
        <w:rPr>
          <w:rFonts w:asciiTheme="minorHAnsi" w:hAnsiTheme="minorHAnsi" w:cstheme="minorHAnsi"/>
        </w:rPr>
        <w:t xml:space="preserve"> </w:t>
      </w:r>
      <w:r w:rsidR="00733811">
        <w:rPr>
          <w:rFonts w:asciiTheme="minorHAnsi" w:hAnsiTheme="minorHAnsi" w:cstheme="minorHAnsi"/>
        </w:rPr>
        <w:t>thereby improving the accessibility of this information</w:t>
      </w:r>
      <w:r w:rsidR="000F5214">
        <w:rPr>
          <w:rFonts w:asciiTheme="minorHAnsi" w:hAnsiTheme="minorHAnsi" w:cstheme="minorHAnsi"/>
        </w:rPr>
        <w:t xml:space="preserve"> for the benefit of members</w:t>
      </w:r>
      <w:r w:rsidR="00733811">
        <w:rPr>
          <w:rFonts w:asciiTheme="minorHAnsi" w:hAnsiTheme="minorHAnsi" w:cstheme="minorHAnsi"/>
        </w:rPr>
        <w:t xml:space="preserve">. </w:t>
      </w:r>
    </w:p>
    <w:p w14:paraId="32E6C564" w14:textId="365CB8AF" w:rsidR="009E10D3" w:rsidRPr="00321D77" w:rsidRDefault="00253FAD" w:rsidP="002057C6">
      <w:pPr>
        <w:pStyle w:val="CABParaSub"/>
        <w:rPr>
          <w:rFonts w:asciiTheme="minorHAnsi" w:hAnsiTheme="minorHAnsi" w:cstheme="minorHAnsi"/>
        </w:rPr>
      </w:pPr>
      <w:r>
        <w:rPr>
          <w:rFonts w:asciiTheme="minorHAnsi" w:hAnsiTheme="minorHAnsi" w:cstheme="minorHAnsi"/>
        </w:rPr>
        <w:t xml:space="preserve">Greater access to information regarding the underlying investment strategy of a fund is also likely to benefit financial </w:t>
      </w:r>
      <w:r w:rsidR="000F5214">
        <w:rPr>
          <w:rFonts w:asciiTheme="minorHAnsi" w:hAnsiTheme="minorHAnsi" w:cstheme="minorHAnsi"/>
        </w:rPr>
        <w:t>advisers/</w:t>
      </w:r>
      <w:r>
        <w:rPr>
          <w:rFonts w:asciiTheme="minorHAnsi" w:hAnsiTheme="minorHAnsi" w:cstheme="minorHAnsi"/>
        </w:rPr>
        <w:t>planners</w:t>
      </w:r>
      <w:r w:rsidR="000F5214">
        <w:rPr>
          <w:rFonts w:asciiTheme="minorHAnsi" w:hAnsiTheme="minorHAnsi" w:cstheme="minorHAnsi"/>
        </w:rPr>
        <w:t xml:space="preserve"> who </w:t>
      </w:r>
      <w:r>
        <w:rPr>
          <w:rFonts w:asciiTheme="minorHAnsi" w:hAnsiTheme="minorHAnsi" w:cstheme="minorHAnsi"/>
        </w:rPr>
        <w:t xml:space="preserve">will be </w:t>
      </w:r>
      <w:proofErr w:type="gramStart"/>
      <w:r>
        <w:rPr>
          <w:rFonts w:asciiTheme="minorHAnsi" w:hAnsiTheme="minorHAnsi" w:cstheme="minorHAnsi"/>
        </w:rPr>
        <w:t>in a position</w:t>
      </w:r>
      <w:proofErr w:type="gramEnd"/>
      <w:r>
        <w:rPr>
          <w:rFonts w:asciiTheme="minorHAnsi" w:hAnsiTheme="minorHAnsi" w:cstheme="minorHAnsi"/>
        </w:rPr>
        <w:t xml:space="preserve"> to undertake more detailed analysis regarding the suitability of a fund’s investment strategy when making recommendations to their clients.   </w:t>
      </w:r>
    </w:p>
    <w:p w14:paraId="17486078" w14:textId="7209005C" w:rsidR="00A312CB" w:rsidRPr="00321D77" w:rsidRDefault="00253FAD" w:rsidP="002057C6">
      <w:pPr>
        <w:pStyle w:val="CABParaSub"/>
        <w:rPr>
          <w:rFonts w:asciiTheme="minorHAnsi" w:hAnsiTheme="minorHAnsi" w:cstheme="minorHAnsi"/>
        </w:rPr>
      </w:pPr>
      <w:r>
        <w:rPr>
          <w:rFonts w:asciiTheme="minorHAnsi" w:hAnsiTheme="minorHAnsi" w:cstheme="minorHAnsi"/>
        </w:rPr>
        <w:t>Overall</w:t>
      </w:r>
      <w:r w:rsidR="00903ABF">
        <w:rPr>
          <w:rFonts w:asciiTheme="minorHAnsi" w:hAnsiTheme="minorHAnsi" w:cstheme="minorHAnsi"/>
        </w:rPr>
        <w:t>,</w:t>
      </w:r>
      <w:r>
        <w:rPr>
          <w:rFonts w:asciiTheme="minorHAnsi" w:hAnsiTheme="minorHAnsi" w:cstheme="minorHAnsi"/>
        </w:rPr>
        <w:t xml:space="preserve"> it is expected that more informed decision making has the capacity to make the superannuation sector more competitive. </w:t>
      </w:r>
      <w:r w:rsidR="00A312CB" w:rsidRPr="00321D77">
        <w:rPr>
          <w:rFonts w:asciiTheme="minorHAnsi" w:hAnsiTheme="minorHAnsi" w:cstheme="minorHAnsi"/>
        </w:rPr>
        <w:t xml:space="preserve"> </w:t>
      </w:r>
    </w:p>
    <w:p w14:paraId="6684A237" w14:textId="7FD5EAE6" w:rsidR="00F84681" w:rsidRPr="00F53D76" w:rsidRDefault="00F84681" w:rsidP="00080F37">
      <w:pPr>
        <w:pStyle w:val="CABParaSub"/>
        <w:keepNext/>
        <w:rPr>
          <w:rFonts w:asciiTheme="minorHAnsi" w:hAnsiTheme="minorHAnsi" w:cstheme="minorHAnsi"/>
          <w:u w:val="single"/>
        </w:rPr>
      </w:pPr>
      <w:r w:rsidRPr="00F53D76">
        <w:rPr>
          <w:rFonts w:asciiTheme="minorHAnsi" w:hAnsiTheme="minorHAnsi" w:cstheme="minorHAnsi"/>
          <w:u w:val="single"/>
        </w:rPr>
        <w:t>Net benefit</w:t>
      </w:r>
    </w:p>
    <w:p w14:paraId="5CD7BD47" w14:textId="18E1323E" w:rsidR="00A312CB" w:rsidRPr="00DB7DAE" w:rsidRDefault="00F84681" w:rsidP="002057C6">
      <w:pPr>
        <w:pStyle w:val="CABParaSub"/>
        <w:rPr>
          <w:rFonts w:asciiTheme="minorHAnsi" w:hAnsiTheme="minorHAnsi" w:cstheme="minorHAnsi"/>
        </w:rPr>
      </w:pPr>
      <w:r w:rsidRPr="00DB7DAE">
        <w:rPr>
          <w:rFonts w:asciiTheme="minorHAnsi" w:hAnsiTheme="minorHAnsi" w:cstheme="minorHAnsi"/>
        </w:rPr>
        <w:t xml:space="preserve">Option </w:t>
      </w:r>
      <w:r w:rsidR="009108F2">
        <w:rPr>
          <w:rFonts w:asciiTheme="minorHAnsi" w:hAnsiTheme="minorHAnsi" w:cstheme="minorHAnsi"/>
        </w:rPr>
        <w:t>2</w:t>
      </w:r>
      <w:r w:rsidRPr="00DB7DAE">
        <w:rPr>
          <w:rFonts w:asciiTheme="minorHAnsi" w:hAnsiTheme="minorHAnsi" w:cstheme="minorHAnsi"/>
        </w:rPr>
        <w:t xml:space="preserve"> provides</w:t>
      </w:r>
      <w:r w:rsidR="00D22EC0">
        <w:rPr>
          <w:rFonts w:asciiTheme="minorHAnsi" w:hAnsiTheme="minorHAnsi" w:cstheme="minorHAnsi"/>
        </w:rPr>
        <w:t xml:space="preserve"> </w:t>
      </w:r>
      <w:r w:rsidR="00CC4262">
        <w:rPr>
          <w:rFonts w:asciiTheme="minorHAnsi" w:hAnsiTheme="minorHAnsi" w:cstheme="minorHAnsi"/>
        </w:rPr>
        <w:t xml:space="preserve">a </w:t>
      </w:r>
      <w:r w:rsidR="00313983">
        <w:rPr>
          <w:rFonts w:asciiTheme="minorHAnsi" w:hAnsiTheme="minorHAnsi" w:cstheme="minorHAnsi"/>
        </w:rPr>
        <w:t xml:space="preserve">clearer and more consistent </w:t>
      </w:r>
      <w:r w:rsidR="00CC4262">
        <w:rPr>
          <w:rFonts w:asciiTheme="minorHAnsi" w:hAnsiTheme="minorHAnsi" w:cstheme="minorHAnsi"/>
        </w:rPr>
        <w:t>level of transparency</w:t>
      </w:r>
      <w:r w:rsidR="00D22EC0">
        <w:rPr>
          <w:rFonts w:asciiTheme="minorHAnsi" w:hAnsiTheme="minorHAnsi" w:cstheme="minorHAnsi"/>
        </w:rPr>
        <w:t>.</w:t>
      </w:r>
      <w:r w:rsidR="00CA5A9F">
        <w:rPr>
          <w:rFonts w:asciiTheme="minorHAnsi" w:hAnsiTheme="minorHAnsi" w:cstheme="minorHAnsi"/>
        </w:rPr>
        <w:t xml:space="preserve"> It also empowers engaged members, providing them with the opportunity </w:t>
      </w:r>
      <w:r w:rsidR="00A312CB" w:rsidRPr="00A312CB">
        <w:rPr>
          <w:rFonts w:asciiTheme="minorHAnsi" w:hAnsiTheme="minorHAnsi" w:cstheme="minorHAnsi"/>
        </w:rPr>
        <w:t xml:space="preserve">to </w:t>
      </w:r>
      <w:r w:rsidR="00CA5A9F">
        <w:rPr>
          <w:rFonts w:asciiTheme="minorHAnsi" w:hAnsiTheme="minorHAnsi" w:cstheme="minorHAnsi"/>
        </w:rPr>
        <w:t>becom</w:t>
      </w:r>
      <w:r w:rsidR="00CC4262">
        <w:rPr>
          <w:rFonts w:asciiTheme="minorHAnsi" w:hAnsiTheme="minorHAnsi" w:cstheme="minorHAnsi"/>
        </w:rPr>
        <w:t xml:space="preserve">e </w:t>
      </w:r>
      <w:r w:rsidR="00CA5A9F">
        <w:rPr>
          <w:rFonts w:asciiTheme="minorHAnsi" w:hAnsiTheme="minorHAnsi" w:cstheme="minorHAnsi"/>
        </w:rPr>
        <w:t>more involved with their superannuation</w:t>
      </w:r>
      <w:r w:rsidR="00A312CB" w:rsidRPr="00A312CB">
        <w:rPr>
          <w:rFonts w:asciiTheme="minorHAnsi" w:hAnsiTheme="minorHAnsi" w:cstheme="minorHAnsi"/>
        </w:rPr>
        <w:t>.</w:t>
      </w:r>
      <w:r w:rsidR="00CC4262">
        <w:rPr>
          <w:rFonts w:asciiTheme="minorHAnsi" w:hAnsiTheme="minorHAnsi" w:cstheme="minorHAnsi"/>
        </w:rPr>
        <w:t xml:space="preserve"> </w:t>
      </w:r>
    </w:p>
    <w:p w14:paraId="289FE0C9" w14:textId="5F47CE9D" w:rsidR="00980DC1" w:rsidRDefault="00C96ADE" w:rsidP="002057C6">
      <w:pPr>
        <w:pStyle w:val="CABParaSub"/>
        <w:rPr>
          <w:rFonts w:asciiTheme="minorHAnsi" w:hAnsiTheme="minorHAnsi" w:cstheme="minorHAnsi"/>
        </w:rPr>
      </w:pPr>
      <w:r>
        <w:rPr>
          <w:rFonts w:asciiTheme="minorHAnsi" w:hAnsiTheme="minorHAnsi" w:cstheme="minorHAnsi"/>
        </w:rPr>
        <w:t xml:space="preserve">It is expected that </w:t>
      </w:r>
      <w:r w:rsidR="00BE78A2">
        <w:rPr>
          <w:rFonts w:asciiTheme="minorHAnsi" w:hAnsiTheme="minorHAnsi" w:cstheme="minorHAnsi"/>
        </w:rPr>
        <w:t xml:space="preserve">the costs associated with </w:t>
      </w:r>
      <w:r w:rsidR="00FA0DCA">
        <w:rPr>
          <w:rFonts w:asciiTheme="minorHAnsi" w:hAnsiTheme="minorHAnsi" w:cstheme="minorHAnsi"/>
        </w:rPr>
        <w:t>O</w:t>
      </w:r>
      <w:r w:rsidR="00BE78A2">
        <w:rPr>
          <w:rFonts w:asciiTheme="minorHAnsi" w:hAnsiTheme="minorHAnsi" w:cstheme="minorHAnsi"/>
        </w:rPr>
        <w:t xml:space="preserve">ption 2 are lower than what would be incurred under </w:t>
      </w:r>
      <w:r w:rsidR="00FA0DCA">
        <w:rPr>
          <w:rFonts w:asciiTheme="minorHAnsi" w:hAnsiTheme="minorHAnsi" w:cstheme="minorHAnsi"/>
        </w:rPr>
        <w:t>O</w:t>
      </w:r>
      <w:r w:rsidR="00BE78A2">
        <w:rPr>
          <w:rFonts w:asciiTheme="minorHAnsi" w:hAnsiTheme="minorHAnsi" w:cstheme="minorHAnsi"/>
        </w:rPr>
        <w:t xml:space="preserve">ption 1 </w:t>
      </w:r>
      <w:r w:rsidR="0089373A">
        <w:rPr>
          <w:rFonts w:asciiTheme="minorHAnsi" w:hAnsiTheme="minorHAnsi" w:cstheme="minorHAnsi"/>
        </w:rPr>
        <w:t>because it provides</w:t>
      </w:r>
      <w:r w:rsidR="00BE78A2">
        <w:rPr>
          <w:rFonts w:asciiTheme="minorHAnsi" w:hAnsiTheme="minorHAnsi" w:cstheme="minorHAnsi"/>
        </w:rPr>
        <w:t xml:space="preserve"> certainty to industry </w:t>
      </w:r>
      <w:r w:rsidR="0089373A">
        <w:rPr>
          <w:rFonts w:asciiTheme="minorHAnsi" w:hAnsiTheme="minorHAnsi" w:cstheme="minorHAnsi"/>
        </w:rPr>
        <w:t>about</w:t>
      </w:r>
      <w:r w:rsidR="00BE78A2">
        <w:rPr>
          <w:rFonts w:asciiTheme="minorHAnsi" w:hAnsiTheme="minorHAnsi" w:cstheme="minorHAnsi"/>
        </w:rPr>
        <w:t xml:space="preserve"> the method of disclosure to meet their legal obligations. </w:t>
      </w:r>
      <w:r w:rsidR="00C60488">
        <w:rPr>
          <w:rFonts w:asciiTheme="minorHAnsi" w:hAnsiTheme="minorHAnsi" w:cstheme="minorHAnsi"/>
        </w:rPr>
        <w:t>Assuming the existing</w:t>
      </w:r>
      <w:r w:rsidR="00EB0892">
        <w:rPr>
          <w:rFonts w:asciiTheme="minorHAnsi" w:hAnsiTheme="minorHAnsi" w:cstheme="minorHAnsi"/>
        </w:rPr>
        <w:t xml:space="preserve"> ASIC</w:t>
      </w:r>
      <w:r w:rsidR="00C60488">
        <w:rPr>
          <w:rFonts w:asciiTheme="minorHAnsi" w:hAnsiTheme="minorHAnsi" w:cstheme="minorHAnsi"/>
        </w:rPr>
        <w:t xml:space="preserve"> </w:t>
      </w:r>
      <w:r w:rsidR="00EB0892">
        <w:rPr>
          <w:rFonts w:asciiTheme="minorHAnsi" w:hAnsiTheme="minorHAnsi" w:cstheme="minorHAnsi"/>
        </w:rPr>
        <w:t>c</w:t>
      </w:r>
      <w:r w:rsidR="00C60488">
        <w:rPr>
          <w:rFonts w:asciiTheme="minorHAnsi" w:hAnsiTheme="minorHAnsi" w:cstheme="minorHAnsi"/>
        </w:rPr>
        <w:t xml:space="preserve">lass </w:t>
      </w:r>
      <w:r w:rsidR="00EB0892">
        <w:rPr>
          <w:rFonts w:asciiTheme="minorHAnsi" w:hAnsiTheme="minorHAnsi" w:cstheme="minorHAnsi"/>
        </w:rPr>
        <w:t>o</w:t>
      </w:r>
      <w:r w:rsidR="00C60488">
        <w:rPr>
          <w:rFonts w:asciiTheme="minorHAnsi" w:hAnsiTheme="minorHAnsi" w:cstheme="minorHAnsi"/>
        </w:rPr>
        <w:t xml:space="preserve">rder </w:t>
      </w:r>
      <w:r w:rsidR="00EB0892">
        <w:rPr>
          <w:rFonts w:asciiTheme="minorHAnsi" w:hAnsiTheme="minorHAnsi" w:cstheme="minorHAnsi"/>
        </w:rPr>
        <w:t>r</w:t>
      </w:r>
      <w:r w:rsidR="00C60488">
        <w:rPr>
          <w:rFonts w:asciiTheme="minorHAnsi" w:hAnsiTheme="minorHAnsi" w:cstheme="minorHAnsi"/>
        </w:rPr>
        <w:t xml:space="preserve">elief was </w:t>
      </w:r>
      <w:r w:rsidR="0089373A">
        <w:rPr>
          <w:rFonts w:asciiTheme="minorHAnsi" w:hAnsiTheme="minorHAnsi" w:cstheme="minorHAnsi"/>
        </w:rPr>
        <w:t>not extended</w:t>
      </w:r>
      <w:r w:rsidR="00C60488">
        <w:rPr>
          <w:rFonts w:asciiTheme="minorHAnsi" w:hAnsiTheme="minorHAnsi" w:cstheme="minorHAnsi"/>
        </w:rPr>
        <w:t xml:space="preserve">, </w:t>
      </w:r>
      <w:r w:rsidR="00AD2DB6">
        <w:rPr>
          <w:rFonts w:asciiTheme="minorHAnsi" w:hAnsiTheme="minorHAnsi" w:cstheme="minorHAnsi"/>
        </w:rPr>
        <w:t xml:space="preserve">Option 1 would see a wide range of costs incurred depending on the extent to which each </w:t>
      </w:r>
      <w:r w:rsidR="0089373A">
        <w:rPr>
          <w:rFonts w:asciiTheme="minorHAnsi" w:hAnsiTheme="minorHAnsi" w:cstheme="minorHAnsi"/>
        </w:rPr>
        <w:t>superannuation fund</w:t>
      </w:r>
      <w:r w:rsidR="00AD2DB6">
        <w:rPr>
          <w:rFonts w:asciiTheme="minorHAnsi" w:hAnsiTheme="minorHAnsi" w:cstheme="minorHAnsi"/>
        </w:rPr>
        <w:t xml:space="preserve"> sought</w:t>
      </w:r>
      <w:r w:rsidR="000E0ECB">
        <w:rPr>
          <w:rFonts w:asciiTheme="minorHAnsi" w:hAnsiTheme="minorHAnsi" w:cstheme="minorHAnsi"/>
        </w:rPr>
        <w:t xml:space="preserve"> </w:t>
      </w:r>
      <w:r w:rsidR="00AD2DB6">
        <w:rPr>
          <w:rFonts w:asciiTheme="minorHAnsi" w:hAnsiTheme="minorHAnsi" w:cstheme="minorHAnsi"/>
        </w:rPr>
        <w:t xml:space="preserve">legal advice and consulting services to establish a bespoke reporting regime that aligns with the obligations established in the Corporations Act. </w:t>
      </w:r>
      <w:r w:rsidR="00BE78A2">
        <w:rPr>
          <w:rFonts w:asciiTheme="minorHAnsi" w:hAnsiTheme="minorHAnsi" w:cstheme="minorHAnsi"/>
        </w:rPr>
        <w:t xml:space="preserve">Setting clear expectations also provides for more efficient regulatory oversight and provides for comparability across funds. </w:t>
      </w:r>
    </w:p>
    <w:p w14:paraId="60CE39B8" w14:textId="1B4E5002" w:rsidR="00FB707D" w:rsidRPr="00DB7DAE" w:rsidRDefault="00FB707D" w:rsidP="002057C6">
      <w:pPr>
        <w:pStyle w:val="CABParaSub"/>
        <w:rPr>
          <w:rFonts w:asciiTheme="minorHAnsi" w:hAnsiTheme="minorHAnsi" w:cstheme="minorHAnsi"/>
        </w:rPr>
      </w:pPr>
      <w:r>
        <w:rPr>
          <w:rFonts w:asciiTheme="minorHAnsi" w:hAnsiTheme="minorHAnsi" w:cstheme="minorHAnsi"/>
        </w:rPr>
        <w:t>However, the overall costs associated with Option 2 are high</w:t>
      </w:r>
      <w:r w:rsidR="003C6526">
        <w:rPr>
          <w:rFonts w:asciiTheme="minorHAnsi" w:hAnsiTheme="minorHAnsi" w:cstheme="minorHAnsi"/>
        </w:rPr>
        <w:t>er</w:t>
      </w:r>
      <w:r>
        <w:rPr>
          <w:rFonts w:asciiTheme="minorHAnsi" w:hAnsiTheme="minorHAnsi" w:cstheme="minorHAnsi"/>
        </w:rPr>
        <w:t xml:space="preserve"> and likely to outweigh the benefits. This is because Option 2 would require the disclosure of potentially </w:t>
      </w:r>
      <w:r w:rsidR="00464A8E">
        <w:rPr>
          <w:rFonts w:asciiTheme="minorHAnsi" w:hAnsiTheme="minorHAnsi" w:cstheme="minorHAnsi"/>
        </w:rPr>
        <w:t>commercially sensitive information about the valuation of unlisted assets and the derivative positions of the fund. Disclosure of this information could reduce the investment returns of the fund</w:t>
      </w:r>
      <w:r w:rsidR="007D05EA">
        <w:rPr>
          <w:rFonts w:asciiTheme="minorHAnsi" w:hAnsiTheme="minorHAnsi" w:cstheme="minorHAnsi"/>
        </w:rPr>
        <w:t xml:space="preserve"> </w:t>
      </w:r>
      <w:r w:rsidR="00B42CE5">
        <w:rPr>
          <w:rFonts w:asciiTheme="minorHAnsi" w:hAnsiTheme="minorHAnsi" w:cstheme="minorHAnsi"/>
        </w:rPr>
        <w:t>by reducing the number of investment opportunities available to Australian superannuation funds</w:t>
      </w:r>
      <w:r w:rsidR="00464A8E">
        <w:rPr>
          <w:rFonts w:asciiTheme="minorHAnsi" w:hAnsiTheme="minorHAnsi" w:cstheme="minorHAnsi"/>
        </w:rPr>
        <w:t xml:space="preserve">. </w:t>
      </w:r>
    </w:p>
    <w:p w14:paraId="6F2ED0E1" w14:textId="303AA374" w:rsidR="00A22946" w:rsidRPr="003F1F3B" w:rsidRDefault="00A22946" w:rsidP="00176134">
      <w:pPr>
        <w:keepNext/>
        <w:tabs>
          <w:tab w:val="left" w:pos="567"/>
        </w:tabs>
        <w:spacing w:before="120" w:after="120"/>
        <w:rPr>
          <w:rFonts w:eastAsia="Calibri" w:cstheme="minorHAnsi"/>
          <w:i/>
          <w:iCs/>
          <w:color w:val="4F81BD" w:themeColor="accent1"/>
          <w:sz w:val="24"/>
          <w:szCs w:val="24"/>
        </w:rPr>
      </w:pPr>
      <w:r w:rsidRPr="003F1F3B">
        <w:rPr>
          <w:rFonts w:eastAsia="Calibri" w:cstheme="minorHAnsi"/>
          <w:i/>
          <w:iCs/>
          <w:color w:val="4F81BD" w:themeColor="accent1"/>
          <w:sz w:val="24"/>
          <w:szCs w:val="24"/>
        </w:rPr>
        <w:lastRenderedPageBreak/>
        <w:t xml:space="preserve">Option 3: </w:t>
      </w:r>
      <w:r w:rsidR="005B4386">
        <w:rPr>
          <w:rFonts w:eastAsia="Calibri" w:cstheme="minorHAnsi"/>
          <w:i/>
          <w:iCs/>
          <w:color w:val="4F81BD" w:themeColor="accent1"/>
          <w:sz w:val="24"/>
          <w:szCs w:val="24"/>
        </w:rPr>
        <w:t>Aggregated and t</w:t>
      </w:r>
      <w:r w:rsidR="005B4386" w:rsidRPr="003F1F3B">
        <w:rPr>
          <w:rFonts w:eastAsia="Calibri" w:cstheme="minorHAnsi"/>
          <w:i/>
          <w:iCs/>
          <w:color w:val="4F81BD" w:themeColor="accent1"/>
          <w:sz w:val="24"/>
          <w:szCs w:val="24"/>
        </w:rPr>
        <w:t xml:space="preserve">ailored </w:t>
      </w:r>
      <w:r w:rsidRPr="003F1F3B">
        <w:rPr>
          <w:rFonts w:eastAsia="Calibri" w:cstheme="minorHAnsi"/>
          <w:i/>
          <w:iCs/>
          <w:color w:val="4F81BD" w:themeColor="accent1"/>
          <w:sz w:val="24"/>
          <w:szCs w:val="24"/>
        </w:rPr>
        <w:t>information disclosed for particular asset classes</w:t>
      </w:r>
    </w:p>
    <w:p w14:paraId="1D65C4BA" w14:textId="1AEB6F32" w:rsidR="00CD795E" w:rsidRDefault="00CD795E" w:rsidP="00CD795E">
      <w:pPr>
        <w:pStyle w:val="CABParaSub"/>
        <w:rPr>
          <w:rFonts w:asciiTheme="minorHAnsi" w:hAnsiTheme="minorHAnsi" w:cstheme="minorHAnsi"/>
        </w:rPr>
      </w:pPr>
      <w:r w:rsidRPr="00DB7DAE">
        <w:rPr>
          <w:rFonts w:asciiTheme="minorHAnsi" w:hAnsiTheme="minorHAnsi" w:cstheme="minorHAnsi"/>
        </w:rPr>
        <w:t>The impact of this option will be primarily on businesses</w:t>
      </w:r>
      <w:r>
        <w:rPr>
          <w:rFonts w:asciiTheme="minorHAnsi" w:hAnsiTheme="minorHAnsi" w:cstheme="minorHAnsi"/>
        </w:rPr>
        <w:t xml:space="preserve"> and </w:t>
      </w:r>
      <w:r w:rsidR="00A43988">
        <w:rPr>
          <w:rFonts w:asciiTheme="minorHAnsi" w:hAnsiTheme="minorHAnsi" w:cstheme="minorHAnsi"/>
        </w:rPr>
        <w:t xml:space="preserve">the </w:t>
      </w:r>
      <w:r>
        <w:rPr>
          <w:rFonts w:asciiTheme="minorHAnsi" w:hAnsiTheme="minorHAnsi" w:cstheme="minorHAnsi"/>
        </w:rPr>
        <w:t>i</w:t>
      </w:r>
      <w:r w:rsidRPr="00DB7DAE">
        <w:rPr>
          <w:rFonts w:asciiTheme="minorHAnsi" w:hAnsiTheme="minorHAnsi" w:cstheme="minorHAnsi"/>
        </w:rPr>
        <w:t>nternal processes put in place by superannuation funds to comply with the requirements would be a matter for individual funds.</w:t>
      </w:r>
      <w:r w:rsidR="00A110B1">
        <w:rPr>
          <w:rFonts w:asciiTheme="minorHAnsi" w:hAnsiTheme="minorHAnsi" w:cstheme="minorHAnsi"/>
        </w:rPr>
        <w:t xml:space="preserve"> Relative to </w:t>
      </w:r>
      <w:r w:rsidR="008F0111">
        <w:rPr>
          <w:rFonts w:asciiTheme="minorHAnsi" w:hAnsiTheme="minorHAnsi" w:cstheme="minorHAnsi"/>
        </w:rPr>
        <w:t>O</w:t>
      </w:r>
      <w:r w:rsidR="00A110B1">
        <w:rPr>
          <w:rFonts w:asciiTheme="minorHAnsi" w:hAnsiTheme="minorHAnsi" w:cstheme="minorHAnsi"/>
        </w:rPr>
        <w:t xml:space="preserve">ption 2, the quantum of information required to be disclosed is significantly reduced as funds </w:t>
      </w:r>
      <w:proofErr w:type="gramStart"/>
      <w:r w:rsidR="00A110B1">
        <w:rPr>
          <w:rFonts w:asciiTheme="minorHAnsi" w:hAnsiTheme="minorHAnsi" w:cstheme="minorHAnsi"/>
        </w:rPr>
        <w:t>are able to</w:t>
      </w:r>
      <w:proofErr w:type="gramEnd"/>
      <w:r w:rsidR="00A110B1">
        <w:rPr>
          <w:rFonts w:asciiTheme="minorHAnsi" w:hAnsiTheme="minorHAnsi" w:cstheme="minorHAnsi"/>
        </w:rPr>
        <w:t xml:space="preserve"> report information on an aggregated basis for certain asset classes (particularly in relation to derivative positions). </w:t>
      </w:r>
    </w:p>
    <w:p w14:paraId="6438D8BA" w14:textId="4EDA809C" w:rsidR="00CD795E" w:rsidRDefault="00975CDC" w:rsidP="00CD795E">
      <w:pPr>
        <w:pStyle w:val="CABParaSub"/>
        <w:rPr>
          <w:rFonts w:asciiTheme="minorHAnsi" w:hAnsiTheme="minorHAnsi" w:cstheme="minorHAnsi"/>
        </w:rPr>
      </w:pPr>
      <w:r>
        <w:rPr>
          <w:rFonts w:asciiTheme="minorHAnsi" w:hAnsiTheme="minorHAnsi" w:cstheme="minorHAnsi"/>
        </w:rPr>
        <w:t>Given the scope for aggregation of assets under this option, t</w:t>
      </w:r>
      <w:r w:rsidR="00CD795E" w:rsidRPr="00DB7DAE">
        <w:rPr>
          <w:rFonts w:asciiTheme="minorHAnsi" w:hAnsiTheme="minorHAnsi" w:cstheme="minorHAnsi"/>
        </w:rPr>
        <w:t xml:space="preserve">he impact on individuals will be positive through </w:t>
      </w:r>
      <w:r w:rsidR="00775543">
        <w:rPr>
          <w:rFonts w:asciiTheme="minorHAnsi" w:hAnsiTheme="minorHAnsi" w:cstheme="minorHAnsi"/>
        </w:rPr>
        <w:t>easier information for users to digest</w:t>
      </w:r>
      <w:r w:rsidR="00CD795E" w:rsidRPr="00DB7DAE">
        <w:rPr>
          <w:rFonts w:asciiTheme="minorHAnsi" w:hAnsiTheme="minorHAnsi" w:cstheme="minorHAnsi"/>
        </w:rPr>
        <w:t xml:space="preserve">. </w:t>
      </w:r>
    </w:p>
    <w:p w14:paraId="73DF4A82" w14:textId="04D3A5E1" w:rsidR="00CD795E" w:rsidRPr="00DB7DAE" w:rsidRDefault="00CD795E" w:rsidP="00CD795E">
      <w:pPr>
        <w:pStyle w:val="CABParaSub"/>
        <w:rPr>
          <w:rFonts w:asciiTheme="minorHAnsi" w:hAnsiTheme="minorHAnsi" w:cstheme="minorHAnsi"/>
        </w:rPr>
      </w:pPr>
      <w:r>
        <w:rPr>
          <w:rFonts w:asciiTheme="minorHAnsi" w:hAnsiTheme="minorHAnsi" w:cstheme="minorHAnsi"/>
        </w:rPr>
        <w:t xml:space="preserve">As with </w:t>
      </w:r>
      <w:r w:rsidR="003E5692">
        <w:rPr>
          <w:rFonts w:asciiTheme="minorHAnsi" w:hAnsiTheme="minorHAnsi" w:cstheme="minorHAnsi"/>
        </w:rPr>
        <w:t xml:space="preserve">the other options presented </w:t>
      </w:r>
      <w:r>
        <w:rPr>
          <w:rFonts w:asciiTheme="minorHAnsi" w:hAnsiTheme="minorHAnsi" w:cstheme="minorHAnsi"/>
        </w:rPr>
        <w:t>there is no cost to individuals</w:t>
      </w:r>
      <w:r w:rsidR="0061660B">
        <w:rPr>
          <w:rFonts w:asciiTheme="minorHAnsi" w:hAnsiTheme="minorHAnsi" w:cstheme="minorHAnsi"/>
        </w:rPr>
        <w:t>’</w:t>
      </w:r>
      <w:r>
        <w:rPr>
          <w:rFonts w:asciiTheme="minorHAnsi" w:hAnsiTheme="minorHAnsi" w:cstheme="minorHAnsi"/>
        </w:rPr>
        <w:t xml:space="preserve"> leisure time and no </w:t>
      </w:r>
      <w:r w:rsidRPr="00DB7DAE">
        <w:rPr>
          <w:rFonts w:asciiTheme="minorHAnsi" w:hAnsiTheme="minorHAnsi" w:cstheme="minorHAnsi"/>
        </w:rPr>
        <w:t>specific community group will be impacted by this option.</w:t>
      </w:r>
    </w:p>
    <w:p w14:paraId="4C22D69E" w14:textId="6F7F11D2" w:rsidR="0046258C" w:rsidRPr="00F53D76" w:rsidRDefault="0046258C" w:rsidP="00F84681">
      <w:pPr>
        <w:pStyle w:val="Bullet"/>
        <w:numPr>
          <w:ilvl w:val="0"/>
          <w:numId w:val="0"/>
        </w:numPr>
        <w:tabs>
          <w:tab w:val="left" w:pos="720"/>
        </w:tabs>
        <w:rPr>
          <w:rFonts w:asciiTheme="minorHAnsi" w:eastAsiaTheme="minorHAnsi" w:hAnsiTheme="minorHAnsi" w:cstheme="minorHAnsi"/>
          <w:color w:val="auto"/>
          <w:sz w:val="24"/>
          <w:szCs w:val="24"/>
          <w:u w:val="single"/>
        </w:rPr>
      </w:pPr>
      <w:r w:rsidRPr="00F53D76">
        <w:rPr>
          <w:rFonts w:asciiTheme="minorHAnsi" w:eastAsiaTheme="minorHAnsi" w:hAnsiTheme="minorHAnsi" w:cstheme="minorHAnsi"/>
          <w:color w:val="auto"/>
          <w:sz w:val="24"/>
          <w:szCs w:val="24"/>
          <w:u w:val="single"/>
        </w:rPr>
        <w:t>Costs</w:t>
      </w:r>
    </w:p>
    <w:p w14:paraId="4A45EC05" w14:textId="7246189A" w:rsidR="00BD6403" w:rsidRDefault="00BD6403" w:rsidP="003C68A5">
      <w:pPr>
        <w:pStyle w:val="Bullet"/>
        <w:numPr>
          <w:ilvl w:val="0"/>
          <w:numId w:val="0"/>
        </w:numPr>
        <w:tabs>
          <w:tab w:val="left" w:pos="720"/>
        </w:tabs>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 xml:space="preserve">The annual compliance cost impact for </w:t>
      </w:r>
      <w:r w:rsidR="0046258C" w:rsidRPr="00727DE5">
        <w:rPr>
          <w:rFonts w:asciiTheme="minorHAnsi" w:eastAsiaTheme="minorHAnsi" w:hAnsiTheme="minorHAnsi" w:cstheme="minorHAnsi"/>
          <w:color w:val="auto"/>
          <w:sz w:val="24"/>
          <w:szCs w:val="24"/>
        </w:rPr>
        <w:t xml:space="preserve">Option </w:t>
      </w:r>
      <w:r w:rsidR="009108F2">
        <w:rPr>
          <w:rFonts w:asciiTheme="minorHAnsi" w:eastAsiaTheme="minorHAnsi" w:hAnsiTheme="minorHAnsi" w:cstheme="minorHAnsi"/>
          <w:color w:val="auto"/>
          <w:sz w:val="24"/>
          <w:szCs w:val="24"/>
        </w:rPr>
        <w:t>3</w:t>
      </w:r>
      <w:r w:rsidR="0046258C" w:rsidRPr="00727DE5">
        <w:rPr>
          <w:rFonts w:asciiTheme="minorHAnsi" w:eastAsiaTheme="minorHAnsi" w:hAnsiTheme="minorHAnsi" w:cstheme="minorHAnsi"/>
          <w:color w:val="auto"/>
          <w:sz w:val="24"/>
          <w:szCs w:val="24"/>
        </w:rPr>
        <w:t xml:space="preserve"> </w:t>
      </w:r>
      <w:r>
        <w:rPr>
          <w:rFonts w:asciiTheme="minorHAnsi" w:eastAsiaTheme="minorHAnsi" w:hAnsiTheme="minorHAnsi" w:cstheme="minorHAnsi"/>
          <w:color w:val="auto"/>
          <w:sz w:val="24"/>
          <w:szCs w:val="24"/>
        </w:rPr>
        <w:t>is estimated to be the same as for Option 2 because even though this option requires less detail to be reported (</w:t>
      </w:r>
      <w:proofErr w:type="gramStart"/>
      <w:r>
        <w:rPr>
          <w:rFonts w:asciiTheme="minorHAnsi" w:eastAsiaTheme="minorHAnsi" w:hAnsiTheme="minorHAnsi" w:cstheme="minorHAnsi"/>
          <w:color w:val="auto"/>
          <w:sz w:val="24"/>
          <w:szCs w:val="24"/>
        </w:rPr>
        <w:t>as a result of</w:t>
      </w:r>
      <w:proofErr w:type="gramEnd"/>
      <w:r>
        <w:rPr>
          <w:rFonts w:asciiTheme="minorHAnsi" w:eastAsiaTheme="minorHAnsi" w:hAnsiTheme="minorHAnsi" w:cstheme="minorHAnsi"/>
          <w:color w:val="auto"/>
          <w:sz w:val="24"/>
          <w:szCs w:val="24"/>
        </w:rPr>
        <w:t xml:space="preserve"> aggregation) the same underlying data will still need to be collated and checked by the </w:t>
      </w:r>
      <w:r w:rsidR="00DE08E6">
        <w:rPr>
          <w:rFonts w:asciiTheme="minorHAnsi" w:eastAsiaTheme="minorHAnsi" w:hAnsiTheme="minorHAnsi" w:cstheme="minorHAnsi"/>
          <w:color w:val="auto"/>
          <w:sz w:val="24"/>
          <w:szCs w:val="24"/>
        </w:rPr>
        <w:t>business</w:t>
      </w:r>
      <w:r>
        <w:rPr>
          <w:rFonts w:asciiTheme="minorHAnsi" w:eastAsiaTheme="minorHAnsi" w:hAnsiTheme="minorHAnsi" w:cstheme="minorHAnsi"/>
          <w:color w:val="auto"/>
          <w:sz w:val="24"/>
          <w:szCs w:val="24"/>
        </w:rPr>
        <w:t xml:space="preserve">. </w:t>
      </w:r>
    </w:p>
    <w:p w14:paraId="6ADD1F59" w14:textId="7F60F438" w:rsidR="00772A96" w:rsidRDefault="0046258C" w:rsidP="001C5C24">
      <w:pPr>
        <w:pStyle w:val="Bullet"/>
        <w:numPr>
          <w:ilvl w:val="0"/>
          <w:numId w:val="0"/>
        </w:numPr>
        <w:tabs>
          <w:tab w:val="left" w:pos="720"/>
        </w:tabs>
        <w:rPr>
          <w:rFonts w:asciiTheme="minorHAnsi" w:eastAsiaTheme="minorHAnsi" w:hAnsiTheme="minorHAnsi" w:cstheme="minorHAnsi"/>
          <w:color w:val="auto"/>
          <w:sz w:val="24"/>
          <w:szCs w:val="24"/>
        </w:rPr>
      </w:pPr>
      <w:r w:rsidRPr="00727DE5">
        <w:rPr>
          <w:rFonts w:asciiTheme="minorHAnsi" w:eastAsiaTheme="minorHAnsi" w:hAnsiTheme="minorHAnsi" w:cstheme="minorHAnsi"/>
          <w:color w:val="auto"/>
          <w:sz w:val="24"/>
          <w:szCs w:val="24"/>
        </w:rPr>
        <w:t xml:space="preserve">The annual compliance cost impact, averaged over 10 years, is estimated </w:t>
      </w:r>
      <w:r w:rsidR="002E6F97">
        <w:rPr>
          <w:rFonts w:asciiTheme="minorHAnsi" w:eastAsiaTheme="minorHAnsi" w:hAnsiTheme="minorHAnsi" w:cstheme="minorHAnsi"/>
          <w:color w:val="auto"/>
          <w:sz w:val="24"/>
          <w:szCs w:val="24"/>
        </w:rPr>
        <w:t>to be</w:t>
      </w:r>
      <w:r w:rsidR="002E6F97" w:rsidRPr="00727DE5">
        <w:rPr>
          <w:rFonts w:asciiTheme="minorHAnsi" w:eastAsiaTheme="minorHAnsi" w:hAnsiTheme="minorHAnsi" w:cstheme="minorHAnsi"/>
          <w:color w:val="auto"/>
          <w:sz w:val="24"/>
          <w:szCs w:val="24"/>
        </w:rPr>
        <w:t xml:space="preserve"> </w:t>
      </w:r>
      <w:r w:rsidRPr="00DC49AB">
        <w:rPr>
          <w:rFonts w:asciiTheme="minorHAnsi" w:eastAsiaTheme="minorHAnsi" w:hAnsiTheme="minorHAnsi" w:cstheme="minorHAnsi"/>
          <w:color w:val="auto"/>
          <w:sz w:val="24"/>
          <w:szCs w:val="24"/>
        </w:rPr>
        <w:t>$</w:t>
      </w:r>
      <w:r w:rsidR="00DC49AB" w:rsidRPr="00DC49AB">
        <w:rPr>
          <w:rFonts w:asciiTheme="minorHAnsi" w:eastAsiaTheme="minorHAnsi" w:hAnsiTheme="minorHAnsi" w:cstheme="minorHAnsi"/>
          <w:color w:val="auto"/>
          <w:sz w:val="24"/>
          <w:szCs w:val="24"/>
        </w:rPr>
        <w:t>5.</w:t>
      </w:r>
      <w:r w:rsidR="00727DE5" w:rsidRPr="00DC49AB" w:rsidDel="00097B4E">
        <w:rPr>
          <w:rFonts w:asciiTheme="minorHAnsi" w:eastAsiaTheme="minorHAnsi" w:hAnsiTheme="minorHAnsi" w:cstheme="minorHAnsi"/>
          <w:color w:val="auto"/>
          <w:sz w:val="24"/>
          <w:szCs w:val="24"/>
        </w:rPr>
        <w:t>2</w:t>
      </w:r>
      <w:r w:rsidR="00DC49AB" w:rsidRPr="00DC49AB">
        <w:rPr>
          <w:rFonts w:asciiTheme="minorHAnsi" w:eastAsiaTheme="minorHAnsi" w:hAnsiTheme="minorHAnsi" w:cstheme="minorHAnsi"/>
          <w:color w:val="auto"/>
          <w:sz w:val="24"/>
          <w:szCs w:val="24"/>
        </w:rPr>
        <w:t xml:space="preserve"> million </w:t>
      </w:r>
      <w:r w:rsidR="00DC49AB">
        <w:rPr>
          <w:rFonts w:asciiTheme="minorHAnsi" w:eastAsiaTheme="minorHAnsi" w:hAnsiTheme="minorHAnsi" w:cstheme="minorHAnsi"/>
          <w:color w:val="auto"/>
          <w:sz w:val="24"/>
          <w:szCs w:val="24"/>
        </w:rPr>
        <w:t>to</w:t>
      </w:r>
      <w:r w:rsidR="00727DE5">
        <w:rPr>
          <w:rFonts w:asciiTheme="minorHAnsi" w:eastAsiaTheme="minorHAnsi" w:hAnsiTheme="minorHAnsi" w:cstheme="minorHAnsi"/>
          <w:color w:val="auto"/>
          <w:sz w:val="24"/>
          <w:szCs w:val="24"/>
        </w:rPr>
        <w:t xml:space="preserve"> business</w:t>
      </w:r>
      <w:r w:rsidRPr="00727DE5">
        <w:rPr>
          <w:rFonts w:asciiTheme="minorHAnsi" w:eastAsiaTheme="minorHAnsi" w:hAnsiTheme="minorHAnsi" w:cstheme="minorHAnsi"/>
          <w:color w:val="auto"/>
          <w:sz w:val="24"/>
          <w:szCs w:val="24"/>
        </w:rPr>
        <w:t>.</w:t>
      </w:r>
    </w:p>
    <w:p w14:paraId="40EEE3A3" w14:textId="3D6390D2" w:rsidR="00F84681" w:rsidRPr="00F53D76" w:rsidRDefault="00267528" w:rsidP="002057C6">
      <w:pPr>
        <w:pStyle w:val="CABParaSub"/>
        <w:rPr>
          <w:rFonts w:asciiTheme="minorHAnsi" w:hAnsiTheme="minorHAnsi" w:cstheme="minorHAnsi"/>
          <w:u w:val="single"/>
        </w:rPr>
      </w:pPr>
      <w:r w:rsidRPr="00F53D76">
        <w:rPr>
          <w:rFonts w:asciiTheme="minorHAnsi" w:hAnsiTheme="minorHAnsi" w:cstheme="minorHAnsi"/>
          <w:u w:val="single"/>
        </w:rPr>
        <w:t>Benefits</w:t>
      </w:r>
    </w:p>
    <w:p w14:paraId="2FB7AE0B" w14:textId="26A7CFE2" w:rsidR="00267528" w:rsidRDefault="003C68A5">
      <w:pPr>
        <w:pStyle w:val="CABParaSub"/>
        <w:rPr>
          <w:rFonts w:asciiTheme="minorHAnsi" w:hAnsiTheme="minorHAnsi" w:cstheme="minorHAnsi"/>
        </w:rPr>
      </w:pPr>
      <w:r>
        <w:rPr>
          <w:rFonts w:asciiTheme="minorHAnsi" w:hAnsiTheme="minorHAnsi" w:cstheme="minorHAnsi"/>
        </w:rPr>
        <w:t>O</w:t>
      </w:r>
      <w:r w:rsidR="002C02DA">
        <w:rPr>
          <w:rFonts w:asciiTheme="minorHAnsi" w:hAnsiTheme="minorHAnsi" w:cstheme="minorHAnsi"/>
        </w:rPr>
        <w:t xml:space="preserve">ption </w:t>
      </w:r>
      <w:r w:rsidR="009108F2">
        <w:rPr>
          <w:rFonts w:asciiTheme="minorHAnsi" w:hAnsiTheme="minorHAnsi" w:cstheme="minorHAnsi"/>
        </w:rPr>
        <w:t>3</w:t>
      </w:r>
      <w:r w:rsidR="002C02DA">
        <w:rPr>
          <w:rFonts w:asciiTheme="minorHAnsi" w:hAnsiTheme="minorHAnsi" w:cstheme="minorHAnsi"/>
        </w:rPr>
        <w:t xml:space="preserve"> deliver</w:t>
      </w:r>
      <w:r w:rsidR="005F6225">
        <w:rPr>
          <w:rFonts w:asciiTheme="minorHAnsi" w:hAnsiTheme="minorHAnsi" w:cstheme="minorHAnsi"/>
        </w:rPr>
        <w:t>s</w:t>
      </w:r>
      <w:r>
        <w:rPr>
          <w:rFonts w:asciiTheme="minorHAnsi" w:hAnsiTheme="minorHAnsi" w:cstheme="minorHAnsi"/>
        </w:rPr>
        <w:t xml:space="preserve"> </w:t>
      </w:r>
      <w:r w:rsidR="001A612C">
        <w:rPr>
          <w:rFonts w:asciiTheme="minorHAnsi" w:hAnsiTheme="minorHAnsi" w:cstheme="minorHAnsi"/>
        </w:rPr>
        <w:t xml:space="preserve">many of the benefits as outlined under option 2, however the information </w:t>
      </w:r>
      <w:proofErr w:type="gramStart"/>
      <w:r w:rsidR="001A612C">
        <w:rPr>
          <w:rFonts w:asciiTheme="minorHAnsi" w:hAnsiTheme="minorHAnsi" w:cstheme="minorHAnsi"/>
        </w:rPr>
        <w:t>is considered to be</w:t>
      </w:r>
      <w:proofErr w:type="gramEnd"/>
      <w:r w:rsidR="001A612C">
        <w:rPr>
          <w:rFonts w:asciiTheme="minorHAnsi" w:hAnsiTheme="minorHAnsi" w:cstheme="minorHAnsi"/>
        </w:rPr>
        <w:t xml:space="preserve"> more </w:t>
      </w:r>
      <w:r w:rsidR="00B264F2">
        <w:rPr>
          <w:rFonts w:asciiTheme="minorHAnsi" w:hAnsiTheme="minorHAnsi" w:cstheme="minorHAnsi"/>
        </w:rPr>
        <w:t>digestible for members and the public at large</w:t>
      </w:r>
      <w:r>
        <w:rPr>
          <w:rFonts w:asciiTheme="minorHAnsi" w:hAnsiTheme="minorHAnsi" w:cstheme="minorHAnsi"/>
        </w:rPr>
        <w:t>.</w:t>
      </w:r>
      <w:r w:rsidR="00802A06">
        <w:rPr>
          <w:rFonts w:asciiTheme="minorHAnsi" w:hAnsiTheme="minorHAnsi" w:cstheme="minorHAnsi"/>
        </w:rPr>
        <w:t xml:space="preserve"> Having </w:t>
      </w:r>
      <w:r w:rsidR="00B264F2">
        <w:rPr>
          <w:rFonts w:asciiTheme="minorHAnsi" w:hAnsiTheme="minorHAnsi" w:cstheme="minorHAnsi"/>
        </w:rPr>
        <w:t>relevant</w:t>
      </w:r>
      <w:r w:rsidR="00802A06">
        <w:rPr>
          <w:rFonts w:asciiTheme="minorHAnsi" w:hAnsiTheme="minorHAnsi" w:cstheme="minorHAnsi"/>
        </w:rPr>
        <w:t xml:space="preserve"> information freely available in the public domain would not only benefit engaged members but would also </w:t>
      </w:r>
      <w:r w:rsidR="00E01B5F">
        <w:rPr>
          <w:rFonts w:asciiTheme="minorHAnsi" w:hAnsiTheme="minorHAnsi" w:cstheme="minorHAnsi"/>
        </w:rPr>
        <w:t xml:space="preserve">be advantageous to </w:t>
      </w:r>
      <w:r w:rsidR="00B264F2">
        <w:rPr>
          <w:rFonts w:asciiTheme="minorHAnsi" w:hAnsiTheme="minorHAnsi" w:cstheme="minorHAnsi"/>
        </w:rPr>
        <w:t xml:space="preserve">those disengaged members looking to become more engaged, as well as </w:t>
      </w:r>
      <w:r w:rsidR="00802A06">
        <w:rPr>
          <w:rFonts w:asciiTheme="minorHAnsi" w:hAnsiTheme="minorHAnsi" w:cstheme="minorHAnsi"/>
        </w:rPr>
        <w:t>professionals such as market analysts and advisers</w:t>
      </w:r>
      <w:r w:rsidR="001A612C">
        <w:rPr>
          <w:rFonts w:asciiTheme="minorHAnsi" w:hAnsiTheme="minorHAnsi" w:cstheme="minorHAnsi"/>
        </w:rPr>
        <w:t>. Option 3 also reduces the incentive</w:t>
      </w:r>
      <w:r w:rsidR="00493DBF">
        <w:rPr>
          <w:rFonts w:asciiTheme="minorHAnsi" w:hAnsiTheme="minorHAnsi" w:cstheme="minorHAnsi"/>
        </w:rPr>
        <w:t xml:space="preserve"> </w:t>
      </w:r>
      <w:r w:rsidR="00583BE3" w:rsidRPr="0083163E">
        <w:rPr>
          <w:rFonts w:asciiTheme="minorHAnsi" w:hAnsiTheme="minorHAnsi" w:cstheme="minorHAnsi"/>
        </w:rPr>
        <w:t>for superfunds</w:t>
      </w:r>
      <w:r w:rsidR="00583BE3">
        <w:rPr>
          <w:rFonts w:asciiTheme="minorHAnsi" w:hAnsiTheme="minorHAnsi" w:cstheme="minorHAnsi"/>
        </w:rPr>
        <w:t xml:space="preserve"> </w:t>
      </w:r>
      <w:r w:rsidR="00493DBF">
        <w:rPr>
          <w:rFonts w:asciiTheme="minorHAnsi" w:hAnsiTheme="minorHAnsi" w:cstheme="minorHAnsi"/>
        </w:rPr>
        <w:t>to</w:t>
      </w:r>
      <w:r w:rsidR="005F6225" w:rsidRPr="005F6225">
        <w:rPr>
          <w:rFonts w:asciiTheme="minorHAnsi" w:hAnsiTheme="minorHAnsi" w:cstheme="minorHAnsi"/>
        </w:rPr>
        <w:t xml:space="preserve"> engage in more intermediated forms of investment which would lower returns for members</w:t>
      </w:r>
      <w:r w:rsidR="00493DBF">
        <w:rPr>
          <w:rFonts w:asciiTheme="minorHAnsi" w:hAnsiTheme="minorHAnsi" w:cstheme="minorHAnsi"/>
        </w:rPr>
        <w:t xml:space="preserve"> </w:t>
      </w:r>
      <w:r w:rsidR="00493DBF" w:rsidRPr="005F6225">
        <w:rPr>
          <w:rFonts w:asciiTheme="minorHAnsi" w:hAnsiTheme="minorHAnsi" w:cstheme="minorHAnsi"/>
        </w:rPr>
        <w:t>(rather than direct</w:t>
      </w:r>
      <w:r w:rsidR="00493DBF">
        <w:rPr>
          <w:rFonts w:asciiTheme="minorHAnsi" w:hAnsiTheme="minorHAnsi" w:cstheme="minorHAnsi"/>
        </w:rPr>
        <w:t xml:space="preserve"> </w:t>
      </w:r>
      <w:r w:rsidR="00493DBF" w:rsidRPr="005F6225">
        <w:rPr>
          <w:rFonts w:asciiTheme="minorHAnsi" w:hAnsiTheme="minorHAnsi" w:cstheme="minorHAnsi"/>
        </w:rPr>
        <w:t>investment)</w:t>
      </w:r>
      <w:r w:rsidR="005F6225" w:rsidRPr="005F6225">
        <w:rPr>
          <w:rFonts w:asciiTheme="minorHAnsi" w:hAnsiTheme="minorHAnsi" w:cstheme="minorHAnsi"/>
        </w:rPr>
        <w:t>.</w:t>
      </w:r>
    </w:p>
    <w:p w14:paraId="33089D45" w14:textId="171AD88A" w:rsidR="00493DBF" w:rsidRDefault="00493DBF" w:rsidP="005F6225">
      <w:pPr>
        <w:pStyle w:val="CABParaSub"/>
        <w:rPr>
          <w:rFonts w:asciiTheme="minorHAnsi" w:hAnsiTheme="minorHAnsi" w:cstheme="minorHAnsi"/>
        </w:rPr>
      </w:pPr>
      <w:r>
        <w:rPr>
          <w:rFonts w:asciiTheme="minorHAnsi" w:hAnsiTheme="minorHAnsi" w:cstheme="minorHAnsi"/>
        </w:rPr>
        <w:t>A significant benefit associated with Option 3 is the flexibility to allow aggregated values to be disclosed for certain category types. This</w:t>
      </w:r>
      <w:r w:rsidR="00E84FEB">
        <w:rPr>
          <w:rFonts w:asciiTheme="minorHAnsi" w:hAnsiTheme="minorHAnsi" w:cstheme="minorHAnsi"/>
        </w:rPr>
        <w:t xml:space="preserve"> introduces a significant protection mechanism for market-sensitive assets. </w:t>
      </w:r>
      <w:proofErr w:type="gramStart"/>
      <w:r w:rsidR="00C84A85">
        <w:rPr>
          <w:rFonts w:asciiTheme="minorHAnsi" w:hAnsiTheme="minorHAnsi" w:cstheme="minorHAnsi"/>
        </w:rPr>
        <w:t>In particular, members</w:t>
      </w:r>
      <w:proofErr w:type="gramEnd"/>
      <w:r w:rsidR="00C84A85">
        <w:rPr>
          <w:rFonts w:asciiTheme="minorHAnsi" w:hAnsiTheme="minorHAnsi" w:cstheme="minorHAnsi"/>
        </w:rPr>
        <w:t xml:space="preserve"> will have improved access to information regarding the exposure of their superannuation investment option to certain types of assets, while allowing superannuation funds to protect commercially sensitive information and continue to meet obligations under confidentiality agreements that may be in place with service providers. </w:t>
      </w:r>
      <w:r w:rsidR="007F7978">
        <w:rPr>
          <w:rFonts w:asciiTheme="minorHAnsi" w:hAnsiTheme="minorHAnsi" w:cstheme="minorHAnsi"/>
        </w:rPr>
        <w:t>Protecting this sensitive information will reduce the risk of these disclosures negatively impacting returns for members.</w:t>
      </w:r>
      <w:r w:rsidR="002456A6">
        <w:rPr>
          <w:rFonts w:asciiTheme="minorHAnsi" w:hAnsiTheme="minorHAnsi" w:cstheme="minorHAnsi"/>
        </w:rPr>
        <w:t xml:space="preserve"> This is outlined in further detail in the consultation section below. </w:t>
      </w:r>
      <w:r w:rsidR="007F7978">
        <w:rPr>
          <w:rFonts w:asciiTheme="minorHAnsi" w:hAnsiTheme="minorHAnsi" w:cstheme="minorHAnsi"/>
        </w:rPr>
        <w:t xml:space="preserve"> </w:t>
      </w:r>
      <w:r>
        <w:rPr>
          <w:rFonts w:asciiTheme="minorHAnsi" w:hAnsiTheme="minorHAnsi" w:cstheme="minorHAnsi"/>
        </w:rPr>
        <w:t xml:space="preserve"> </w:t>
      </w:r>
    </w:p>
    <w:p w14:paraId="2AEE2180" w14:textId="62596627" w:rsidR="00267528" w:rsidRPr="00F53D76" w:rsidRDefault="00267528" w:rsidP="002057C6">
      <w:pPr>
        <w:pStyle w:val="CABParaSub"/>
        <w:rPr>
          <w:rFonts w:asciiTheme="minorHAnsi" w:hAnsiTheme="minorHAnsi" w:cstheme="minorHAnsi"/>
          <w:u w:val="single"/>
        </w:rPr>
      </w:pPr>
      <w:r w:rsidRPr="00F53D76">
        <w:rPr>
          <w:rFonts w:asciiTheme="minorHAnsi" w:hAnsiTheme="minorHAnsi" w:cstheme="minorHAnsi"/>
          <w:u w:val="single"/>
        </w:rPr>
        <w:t>Net benefit</w:t>
      </w:r>
    </w:p>
    <w:p w14:paraId="7A08EF2A" w14:textId="4B8F110E" w:rsidR="00587599" w:rsidRPr="00DB7DAE" w:rsidRDefault="00097E6C" w:rsidP="00A77EE3">
      <w:pPr>
        <w:pStyle w:val="CABParaSub"/>
        <w:rPr>
          <w:rFonts w:asciiTheme="minorHAnsi" w:hAnsiTheme="minorHAnsi" w:cstheme="minorHAnsi"/>
        </w:rPr>
      </w:pPr>
      <w:r>
        <w:rPr>
          <w:rFonts w:asciiTheme="minorHAnsi" w:hAnsiTheme="minorHAnsi" w:cstheme="minorHAnsi"/>
        </w:rPr>
        <w:t xml:space="preserve">Compared with Option 2 </w:t>
      </w:r>
      <w:r w:rsidR="0095653A">
        <w:rPr>
          <w:rFonts w:asciiTheme="minorHAnsi" w:hAnsiTheme="minorHAnsi" w:cstheme="minorHAnsi"/>
        </w:rPr>
        <w:t>(</w:t>
      </w:r>
      <w:r>
        <w:rPr>
          <w:rFonts w:asciiTheme="minorHAnsi" w:hAnsiTheme="minorHAnsi" w:cstheme="minorHAnsi"/>
        </w:rPr>
        <w:t>above</w:t>
      </w:r>
      <w:r w:rsidR="0095653A">
        <w:rPr>
          <w:rFonts w:asciiTheme="minorHAnsi" w:hAnsiTheme="minorHAnsi" w:cstheme="minorHAnsi"/>
        </w:rPr>
        <w:t>)</w:t>
      </w:r>
      <w:r>
        <w:rPr>
          <w:rFonts w:asciiTheme="minorHAnsi" w:hAnsiTheme="minorHAnsi" w:cstheme="minorHAnsi"/>
        </w:rPr>
        <w:t xml:space="preserve">, members and superannuation funds will benefit from </w:t>
      </w:r>
      <w:r w:rsidR="00B37CB9">
        <w:rPr>
          <w:rFonts w:asciiTheme="minorHAnsi" w:hAnsiTheme="minorHAnsi" w:cstheme="minorHAnsi"/>
        </w:rPr>
        <w:t xml:space="preserve">more salient information in the marketplace </w:t>
      </w:r>
      <w:r w:rsidR="00DC49AB">
        <w:rPr>
          <w:rFonts w:asciiTheme="minorHAnsi" w:hAnsiTheme="minorHAnsi" w:cstheme="minorHAnsi"/>
        </w:rPr>
        <w:t>without disclosing</w:t>
      </w:r>
      <w:r w:rsidR="005B4386">
        <w:rPr>
          <w:rFonts w:asciiTheme="minorHAnsi" w:hAnsiTheme="minorHAnsi" w:cstheme="minorHAnsi"/>
        </w:rPr>
        <w:t xml:space="preserve"> commercially sensitive information. </w:t>
      </w:r>
      <w:r>
        <w:rPr>
          <w:rFonts w:asciiTheme="minorHAnsi" w:hAnsiTheme="minorHAnsi" w:cstheme="minorHAnsi"/>
        </w:rPr>
        <w:t xml:space="preserve">As such </w:t>
      </w:r>
      <w:r w:rsidR="004030A6">
        <w:rPr>
          <w:rFonts w:asciiTheme="minorHAnsi" w:hAnsiTheme="minorHAnsi" w:cstheme="minorHAnsi"/>
        </w:rPr>
        <w:t>O</w:t>
      </w:r>
      <w:r w:rsidR="004030A6" w:rsidRPr="00DB7DAE">
        <w:rPr>
          <w:rFonts w:asciiTheme="minorHAnsi" w:hAnsiTheme="minorHAnsi" w:cstheme="minorHAnsi"/>
        </w:rPr>
        <w:t xml:space="preserve">ption </w:t>
      </w:r>
      <w:r w:rsidR="004030A6">
        <w:rPr>
          <w:rFonts w:asciiTheme="minorHAnsi" w:hAnsiTheme="minorHAnsi" w:cstheme="minorHAnsi"/>
        </w:rPr>
        <w:t>3</w:t>
      </w:r>
      <w:r w:rsidR="004030A6" w:rsidRPr="00DB7DAE">
        <w:rPr>
          <w:rFonts w:asciiTheme="minorHAnsi" w:hAnsiTheme="minorHAnsi" w:cstheme="minorHAnsi"/>
        </w:rPr>
        <w:t xml:space="preserve"> is likely to yield a higher net benefit</w:t>
      </w:r>
      <w:r w:rsidR="00F301EC">
        <w:rPr>
          <w:rFonts w:asciiTheme="minorHAnsi" w:hAnsiTheme="minorHAnsi" w:cstheme="minorHAnsi"/>
        </w:rPr>
        <w:t xml:space="preserve"> compared to the other options canvassed in this RIS</w:t>
      </w:r>
      <w:r w:rsidR="00B37CB9">
        <w:rPr>
          <w:rFonts w:asciiTheme="minorHAnsi" w:hAnsiTheme="minorHAnsi" w:cstheme="minorHAnsi"/>
        </w:rPr>
        <w:t>.</w:t>
      </w:r>
      <w:r w:rsidR="00B37CB9" w:rsidRPr="00DB7DAE" w:rsidDel="00B37CB9">
        <w:rPr>
          <w:rFonts w:asciiTheme="minorHAnsi" w:hAnsiTheme="minorHAnsi" w:cstheme="minorHAnsi"/>
        </w:rPr>
        <w:t xml:space="preserve"> </w:t>
      </w:r>
      <w:r w:rsidR="004030A6" w:rsidRPr="00DB7DAE" w:rsidDel="00B37CB9">
        <w:rPr>
          <w:rFonts w:asciiTheme="minorHAnsi" w:hAnsiTheme="minorHAnsi" w:cstheme="minorHAnsi"/>
        </w:rPr>
        <w:t xml:space="preserve"> </w:t>
      </w:r>
    </w:p>
    <w:p w14:paraId="4A0054B2" w14:textId="2036D045" w:rsidR="00241C39" w:rsidRPr="00DB7DAE" w:rsidRDefault="002B2EE5" w:rsidP="002B2EE5">
      <w:pPr>
        <w:pStyle w:val="Heading1numbered"/>
        <w:rPr>
          <w:rFonts w:asciiTheme="minorHAnsi" w:hAnsiTheme="minorHAnsi" w:cstheme="minorHAnsi"/>
          <w:sz w:val="24"/>
          <w:szCs w:val="24"/>
        </w:rPr>
      </w:pPr>
      <w:bookmarkStart w:id="5" w:name="_Toc86998882"/>
      <w:r w:rsidRPr="00DB7DAE">
        <w:rPr>
          <w:rFonts w:asciiTheme="minorHAnsi" w:hAnsiTheme="minorHAnsi" w:cstheme="minorHAnsi"/>
          <w:sz w:val="24"/>
          <w:szCs w:val="24"/>
        </w:rPr>
        <w:lastRenderedPageBreak/>
        <w:t>Who did you consult and how did you incorporate their feedback?</w:t>
      </w:r>
      <w:bookmarkEnd w:id="5"/>
    </w:p>
    <w:p w14:paraId="4420F15E" w14:textId="168A472D" w:rsidR="00DB4BFC" w:rsidRPr="00DB7DAE" w:rsidRDefault="006E17D0" w:rsidP="005B2B2E">
      <w:pPr>
        <w:rPr>
          <w:rFonts w:cstheme="minorHAnsi"/>
          <w:sz w:val="24"/>
          <w:szCs w:val="24"/>
        </w:rPr>
      </w:pPr>
      <w:r>
        <w:rPr>
          <w:rFonts w:cstheme="minorHAnsi"/>
          <w:sz w:val="24"/>
          <w:szCs w:val="24"/>
        </w:rPr>
        <w:t xml:space="preserve">Exposure draft regulations </w:t>
      </w:r>
      <w:r w:rsidR="002621C9">
        <w:rPr>
          <w:rFonts w:cstheme="minorHAnsi"/>
          <w:sz w:val="24"/>
          <w:szCs w:val="24"/>
        </w:rPr>
        <w:t xml:space="preserve">for </w:t>
      </w:r>
      <w:r>
        <w:rPr>
          <w:rFonts w:cstheme="minorHAnsi"/>
          <w:sz w:val="24"/>
          <w:szCs w:val="24"/>
        </w:rPr>
        <w:t>implementing the PHD regime were released for p</w:t>
      </w:r>
      <w:r w:rsidR="00E31B11">
        <w:rPr>
          <w:rFonts w:cstheme="minorHAnsi"/>
          <w:sz w:val="24"/>
          <w:szCs w:val="24"/>
        </w:rPr>
        <w:t xml:space="preserve">ublic consultation </w:t>
      </w:r>
      <w:r>
        <w:rPr>
          <w:rFonts w:cstheme="minorHAnsi"/>
          <w:sz w:val="24"/>
          <w:szCs w:val="24"/>
        </w:rPr>
        <w:t>as part of the</w:t>
      </w:r>
      <w:r w:rsidR="00452CF1">
        <w:rPr>
          <w:rFonts w:cstheme="minorHAnsi"/>
          <w:sz w:val="24"/>
          <w:szCs w:val="24"/>
        </w:rPr>
        <w:t xml:space="preserve"> Your Future, Your Super Regulations and Associated Measures consultation process. </w:t>
      </w:r>
      <w:r>
        <w:rPr>
          <w:rFonts w:cstheme="minorHAnsi"/>
          <w:sz w:val="24"/>
          <w:szCs w:val="24"/>
        </w:rPr>
        <w:t xml:space="preserve"> </w:t>
      </w:r>
      <w:r w:rsidR="00452CF1">
        <w:rPr>
          <w:rFonts w:cstheme="minorHAnsi"/>
          <w:sz w:val="24"/>
          <w:szCs w:val="24"/>
        </w:rPr>
        <w:t xml:space="preserve">Consultation </w:t>
      </w:r>
      <w:r w:rsidR="00E31B11">
        <w:rPr>
          <w:rFonts w:cstheme="minorHAnsi"/>
          <w:sz w:val="24"/>
          <w:szCs w:val="24"/>
        </w:rPr>
        <w:t xml:space="preserve">was conducted between </w:t>
      </w:r>
      <w:r w:rsidR="00E31B11" w:rsidRPr="00DB7DAE">
        <w:rPr>
          <w:rFonts w:cstheme="minorHAnsi"/>
          <w:sz w:val="24"/>
          <w:szCs w:val="24"/>
        </w:rPr>
        <w:t xml:space="preserve">28 April 2021 </w:t>
      </w:r>
      <w:r w:rsidR="00E31B11">
        <w:rPr>
          <w:rFonts w:cstheme="minorHAnsi"/>
          <w:sz w:val="24"/>
          <w:szCs w:val="24"/>
        </w:rPr>
        <w:t xml:space="preserve">and </w:t>
      </w:r>
      <w:r w:rsidR="00E31B11" w:rsidRPr="00DB7DAE">
        <w:rPr>
          <w:rFonts w:cstheme="minorHAnsi"/>
          <w:sz w:val="24"/>
          <w:szCs w:val="24"/>
        </w:rPr>
        <w:t>25 May 2021</w:t>
      </w:r>
      <w:r w:rsidR="005B2B2E" w:rsidRPr="00DB7DAE">
        <w:rPr>
          <w:rFonts w:cstheme="minorHAnsi"/>
          <w:sz w:val="24"/>
          <w:szCs w:val="24"/>
        </w:rPr>
        <w:t>.</w:t>
      </w:r>
      <w:r w:rsidR="00F50BCB" w:rsidRPr="00DB7DAE">
        <w:rPr>
          <w:rFonts w:cstheme="minorHAnsi"/>
          <w:sz w:val="24"/>
          <w:szCs w:val="24"/>
        </w:rPr>
        <w:t xml:space="preserve"> </w:t>
      </w:r>
      <w:r w:rsidR="000772AE">
        <w:rPr>
          <w:rFonts w:cstheme="minorHAnsi"/>
          <w:sz w:val="24"/>
          <w:szCs w:val="24"/>
        </w:rPr>
        <w:t xml:space="preserve"> </w:t>
      </w:r>
    </w:p>
    <w:p w14:paraId="51096DC8" w14:textId="23BCD316" w:rsidR="00752A43" w:rsidRPr="005D2ECE" w:rsidRDefault="00752A43" w:rsidP="00752A43">
      <w:pPr>
        <w:pStyle w:val="CABParaSub"/>
        <w:rPr>
          <w:rFonts w:asciiTheme="minorHAnsi" w:hAnsiTheme="minorHAnsi" w:cstheme="minorHAnsi"/>
        </w:rPr>
      </w:pPr>
      <w:r w:rsidRPr="00DB7DAE">
        <w:rPr>
          <w:rFonts w:asciiTheme="minorHAnsi" w:hAnsiTheme="minorHAnsi" w:cstheme="minorHAnsi"/>
        </w:rPr>
        <w:t>The Government sought feedback on the proposed methodology to quantify the costs of the reform</w:t>
      </w:r>
      <w:r w:rsidR="002621C9">
        <w:rPr>
          <w:rFonts w:asciiTheme="minorHAnsi" w:hAnsiTheme="minorHAnsi" w:cstheme="minorHAnsi"/>
        </w:rPr>
        <w:t xml:space="preserve">s </w:t>
      </w:r>
      <w:r w:rsidRPr="00DB7DAE">
        <w:rPr>
          <w:rFonts w:asciiTheme="minorHAnsi" w:hAnsiTheme="minorHAnsi" w:cstheme="minorHAnsi"/>
        </w:rPr>
        <w:t>including the estimated quantified costs for each</w:t>
      </w:r>
      <w:r w:rsidR="007A27B6">
        <w:rPr>
          <w:rFonts w:asciiTheme="minorHAnsi" w:hAnsiTheme="minorHAnsi" w:cstheme="minorHAnsi"/>
        </w:rPr>
        <w:t xml:space="preserve"> option</w:t>
      </w:r>
      <w:r w:rsidRPr="00DB7DAE">
        <w:rPr>
          <w:rFonts w:asciiTheme="minorHAnsi" w:hAnsiTheme="minorHAnsi" w:cstheme="minorHAnsi"/>
        </w:rPr>
        <w:t>, the extent to which the cost</w:t>
      </w:r>
      <w:r w:rsidR="002621C9">
        <w:rPr>
          <w:rFonts w:asciiTheme="minorHAnsi" w:hAnsiTheme="minorHAnsi" w:cstheme="minorHAnsi"/>
        </w:rPr>
        <w:t>s</w:t>
      </w:r>
      <w:r w:rsidRPr="00DB7DAE">
        <w:rPr>
          <w:rFonts w:asciiTheme="minorHAnsi" w:hAnsiTheme="minorHAnsi" w:cstheme="minorHAnsi"/>
        </w:rPr>
        <w:t xml:space="preserve"> might vary between </w:t>
      </w:r>
      <w:r w:rsidR="003462A4">
        <w:rPr>
          <w:rFonts w:asciiTheme="minorHAnsi" w:hAnsiTheme="minorHAnsi" w:cstheme="minorHAnsi"/>
        </w:rPr>
        <w:t>the options</w:t>
      </w:r>
      <w:r w:rsidRPr="00DB7DAE">
        <w:rPr>
          <w:rFonts w:asciiTheme="minorHAnsi" w:hAnsiTheme="minorHAnsi" w:cstheme="minorHAnsi"/>
        </w:rPr>
        <w:t xml:space="preserve"> and whether there are any other costs (ongoing or upfront) that may not have been considered.</w:t>
      </w:r>
      <w:r w:rsidR="00FB4CC5">
        <w:rPr>
          <w:rFonts w:asciiTheme="minorHAnsi" w:hAnsiTheme="minorHAnsi" w:cstheme="minorHAnsi"/>
        </w:rPr>
        <w:t xml:space="preserve"> A link to the draft Regulation Impact Statement provided for consultation is here: </w:t>
      </w:r>
      <w:hyperlink r:id="rId14" w:history="1">
        <w:r w:rsidR="005D2ECE" w:rsidRPr="005427FD">
          <w:rPr>
            <w:rStyle w:val="Hyperlink"/>
            <w:rFonts w:asciiTheme="minorHAnsi" w:hAnsiTheme="minorHAnsi" w:cstheme="minorHAnsi"/>
          </w:rPr>
          <w:t>https://treasury.gov.au/consultation/c2021-162375</w:t>
        </w:r>
      </w:hyperlink>
      <w:r w:rsidR="005D2ECE">
        <w:rPr>
          <w:rFonts w:asciiTheme="minorHAnsi" w:hAnsiTheme="minorHAnsi" w:cstheme="minorHAnsi"/>
        </w:rPr>
        <w:t xml:space="preserve"> in the </w:t>
      </w:r>
      <w:r w:rsidR="005D2ECE" w:rsidRPr="005D2ECE">
        <w:rPr>
          <w:rFonts w:asciiTheme="minorHAnsi" w:hAnsiTheme="minorHAnsi" w:cstheme="minorHAnsi"/>
          <w:i/>
          <w:iCs/>
        </w:rPr>
        <w:t>Improving Accountability and Member Outcomes Explanatory Statement</w:t>
      </w:r>
      <w:r w:rsidR="005D2ECE">
        <w:rPr>
          <w:rFonts w:asciiTheme="minorHAnsi" w:hAnsiTheme="minorHAnsi" w:cstheme="minorHAnsi"/>
        </w:rPr>
        <w:t>.</w:t>
      </w:r>
    </w:p>
    <w:p w14:paraId="02F7085C" w14:textId="5DA1D75E" w:rsidR="002C795E" w:rsidRDefault="00F50BCB" w:rsidP="00947928">
      <w:pPr>
        <w:rPr>
          <w:rFonts w:cstheme="minorHAnsi"/>
          <w:sz w:val="24"/>
          <w:szCs w:val="24"/>
        </w:rPr>
      </w:pPr>
      <w:r w:rsidRPr="00DB7DAE">
        <w:rPr>
          <w:rFonts w:cstheme="minorHAnsi"/>
          <w:sz w:val="24"/>
          <w:szCs w:val="24"/>
        </w:rPr>
        <w:t xml:space="preserve">Most comments received on the PHD measure were from superannuation funds and their representative bodies. </w:t>
      </w:r>
      <w:proofErr w:type="gramStart"/>
      <w:r w:rsidR="00C455B5">
        <w:rPr>
          <w:rFonts w:cstheme="minorHAnsi"/>
          <w:sz w:val="24"/>
          <w:szCs w:val="24"/>
        </w:rPr>
        <w:t>The vast majority of</w:t>
      </w:r>
      <w:proofErr w:type="gramEnd"/>
      <w:r w:rsidR="00C455B5">
        <w:rPr>
          <w:rFonts w:cstheme="minorHAnsi"/>
          <w:sz w:val="24"/>
          <w:szCs w:val="24"/>
        </w:rPr>
        <w:t xml:space="preserve"> stakeholders </w:t>
      </w:r>
      <w:r w:rsidR="008D5AB6">
        <w:rPr>
          <w:rFonts w:cstheme="minorHAnsi"/>
          <w:sz w:val="24"/>
          <w:szCs w:val="24"/>
        </w:rPr>
        <w:t xml:space="preserve">only </w:t>
      </w:r>
      <w:r w:rsidR="00C455B5">
        <w:rPr>
          <w:rFonts w:cstheme="minorHAnsi"/>
          <w:sz w:val="24"/>
          <w:szCs w:val="24"/>
        </w:rPr>
        <w:t xml:space="preserve">provided </w:t>
      </w:r>
      <w:r w:rsidR="008D5AB6">
        <w:rPr>
          <w:rFonts w:cstheme="minorHAnsi"/>
          <w:sz w:val="24"/>
          <w:szCs w:val="24"/>
        </w:rPr>
        <w:t xml:space="preserve">comments on the draft </w:t>
      </w:r>
      <w:r w:rsidR="002C795E">
        <w:rPr>
          <w:rFonts w:cstheme="minorHAnsi"/>
          <w:sz w:val="24"/>
          <w:szCs w:val="24"/>
        </w:rPr>
        <w:t>r</w:t>
      </w:r>
      <w:r w:rsidR="008D5AB6">
        <w:rPr>
          <w:rFonts w:cstheme="minorHAnsi"/>
          <w:sz w:val="24"/>
          <w:szCs w:val="24"/>
        </w:rPr>
        <w:t xml:space="preserve">egulations themselves rather than the </w:t>
      </w:r>
      <w:r w:rsidR="00FB4CC5">
        <w:rPr>
          <w:rFonts w:cstheme="minorHAnsi"/>
          <w:sz w:val="24"/>
          <w:szCs w:val="24"/>
        </w:rPr>
        <w:t>draft R</w:t>
      </w:r>
      <w:r w:rsidR="008D5AB6">
        <w:rPr>
          <w:rFonts w:cstheme="minorHAnsi"/>
          <w:sz w:val="24"/>
          <w:szCs w:val="24"/>
        </w:rPr>
        <w:t xml:space="preserve">egulation </w:t>
      </w:r>
      <w:r w:rsidR="00FB4CC5">
        <w:rPr>
          <w:rFonts w:cstheme="minorHAnsi"/>
          <w:sz w:val="24"/>
          <w:szCs w:val="24"/>
        </w:rPr>
        <w:t>I</w:t>
      </w:r>
      <w:r w:rsidR="008D5AB6">
        <w:rPr>
          <w:rFonts w:cstheme="minorHAnsi"/>
          <w:sz w:val="24"/>
          <w:szCs w:val="24"/>
        </w:rPr>
        <w:t xml:space="preserve">mpact </w:t>
      </w:r>
      <w:r w:rsidR="00FB4CC5">
        <w:rPr>
          <w:rFonts w:cstheme="minorHAnsi"/>
          <w:sz w:val="24"/>
          <w:szCs w:val="24"/>
        </w:rPr>
        <w:t>S</w:t>
      </w:r>
      <w:r w:rsidR="008D5AB6">
        <w:rPr>
          <w:rFonts w:cstheme="minorHAnsi"/>
          <w:sz w:val="24"/>
          <w:szCs w:val="24"/>
        </w:rPr>
        <w:t xml:space="preserve">tatement consultation paper. </w:t>
      </w:r>
      <w:r w:rsidR="000D0F6A">
        <w:rPr>
          <w:rFonts w:cstheme="minorHAnsi"/>
          <w:sz w:val="24"/>
          <w:szCs w:val="24"/>
        </w:rPr>
        <w:t xml:space="preserve"> </w:t>
      </w:r>
      <w:r w:rsidR="00FB4CC5">
        <w:rPr>
          <w:rFonts w:cstheme="minorHAnsi"/>
          <w:sz w:val="24"/>
          <w:szCs w:val="24"/>
        </w:rPr>
        <w:t xml:space="preserve"> </w:t>
      </w:r>
      <w:r w:rsidR="00EF4A95">
        <w:rPr>
          <w:rFonts w:cstheme="minorHAnsi"/>
          <w:sz w:val="24"/>
          <w:szCs w:val="24"/>
        </w:rPr>
        <w:t xml:space="preserve"> </w:t>
      </w:r>
      <w:r w:rsidR="008D5AB6">
        <w:rPr>
          <w:rFonts w:cstheme="minorHAnsi"/>
          <w:sz w:val="24"/>
          <w:szCs w:val="24"/>
        </w:rPr>
        <w:t xml:space="preserve"> </w:t>
      </w:r>
      <w:r w:rsidR="00947928">
        <w:rPr>
          <w:rFonts w:cstheme="minorHAnsi"/>
          <w:sz w:val="24"/>
          <w:szCs w:val="24"/>
        </w:rPr>
        <w:t xml:space="preserve"> </w:t>
      </w:r>
    </w:p>
    <w:p w14:paraId="47EE2D04" w14:textId="12CA67AF" w:rsidR="00374E22" w:rsidRDefault="00374E22" w:rsidP="00841E38">
      <w:pPr>
        <w:spacing w:after="120"/>
        <w:rPr>
          <w:rFonts w:cstheme="minorHAnsi"/>
          <w:sz w:val="24"/>
          <w:szCs w:val="24"/>
        </w:rPr>
      </w:pPr>
      <w:r>
        <w:rPr>
          <w:rFonts w:cstheme="minorHAnsi"/>
          <w:sz w:val="24"/>
          <w:szCs w:val="24"/>
        </w:rPr>
        <w:t xml:space="preserve">Key feedback provided by stakeholders </w:t>
      </w:r>
      <w:r w:rsidR="009B7F2B">
        <w:rPr>
          <w:rFonts w:cstheme="minorHAnsi"/>
          <w:sz w:val="24"/>
          <w:szCs w:val="24"/>
        </w:rPr>
        <w:t xml:space="preserve">on the draft </w:t>
      </w:r>
      <w:r w:rsidR="001F308A">
        <w:rPr>
          <w:rFonts w:cstheme="minorHAnsi"/>
          <w:sz w:val="24"/>
          <w:szCs w:val="24"/>
        </w:rPr>
        <w:t>r</w:t>
      </w:r>
      <w:r w:rsidR="009B7F2B">
        <w:rPr>
          <w:rFonts w:cstheme="minorHAnsi"/>
          <w:sz w:val="24"/>
          <w:szCs w:val="24"/>
        </w:rPr>
        <w:t xml:space="preserve">egulations </w:t>
      </w:r>
      <w:r>
        <w:rPr>
          <w:rFonts w:cstheme="minorHAnsi"/>
          <w:sz w:val="24"/>
          <w:szCs w:val="24"/>
        </w:rPr>
        <w:t>from this consultation included concerns around</w:t>
      </w:r>
      <w:r w:rsidR="00E511EB">
        <w:rPr>
          <w:rFonts w:cstheme="minorHAnsi"/>
          <w:sz w:val="24"/>
          <w:szCs w:val="24"/>
        </w:rPr>
        <w:t xml:space="preserve"> the</w:t>
      </w:r>
      <w:r>
        <w:rPr>
          <w:rFonts w:cstheme="minorHAnsi"/>
          <w:sz w:val="24"/>
          <w:szCs w:val="24"/>
        </w:rPr>
        <w:t>:</w:t>
      </w:r>
    </w:p>
    <w:p w14:paraId="6A8D43A8" w14:textId="0D5802D1" w:rsidR="00374E22" w:rsidRPr="0033128F" w:rsidRDefault="00374E22" w:rsidP="00374E22">
      <w:pPr>
        <w:pStyle w:val="Bullet"/>
        <w:rPr>
          <w:rFonts w:eastAsiaTheme="minorHAnsi"/>
          <w:sz w:val="24"/>
          <w:szCs w:val="24"/>
        </w:rPr>
      </w:pPr>
      <w:r w:rsidRPr="0033128F">
        <w:rPr>
          <w:rFonts w:eastAsiaTheme="minorHAnsi"/>
          <w:sz w:val="24"/>
          <w:szCs w:val="24"/>
        </w:rPr>
        <w:t xml:space="preserve">volume of data and its usability for members, financial advisers, market analysts and </w:t>
      </w:r>
      <w:proofErr w:type="gramStart"/>
      <w:r w:rsidRPr="0033128F">
        <w:rPr>
          <w:rFonts w:eastAsiaTheme="minorHAnsi"/>
          <w:sz w:val="24"/>
          <w:szCs w:val="24"/>
        </w:rPr>
        <w:t>commentators;</w:t>
      </w:r>
      <w:proofErr w:type="gramEnd"/>
      <w:r w:rsidRPr="0033128F">
        <w:rPr>
          <w:rFonts w:eastAsiaTheme="minorHAnsi"/>
          <w:sz w:val="24"/>
          <w:szCs w:val="24"/>
        </w:rPr>
        <w:t xml:space="preserve"> </w:t>
      </w:r>
    </w:p>
    <w:p w14:paraId="69D33122" w14:textId="499FB3FC" w:rsidR="00374E22" w:rsidRPr="0033128F" w:rsidRDefault="00374E22" w:rsidP="00374E22">
      <w:pPr>
        <w:pStyle w:val="Bullet"/>
        <w:rPr>
          <w:rFonts w:eastAsiaTheme="minorHAnsi"/>
          <w:sz w:val="24"/>
          <w:szCs w:val="24"/>
        </w:rPr>
      </w:pPr>
      <w:r w:rsidRPr="0033128F">
        <w:rPr>
          <w:rFonts w:eastAsiaTheme="minorHAnsi"/>
          <w:sz w:val="24"/>
          <w:szCs w:val="24"/>
        </w:rPr>
        <w:t xml:space="preserve">potential impact on future </w:t>
      </w:r>
      <w:r w:rsidR="00E511EB" w:rsidRPr="0033128F">
        <w:rPr>
          <w:rFonts w:eastAsiaTheme="minorHAnsi"/>
          <w:sz w:val="24"/>
          <w:szCs w:val="24"/>
        </w:rPr>
        <w:t>investment returns and investment opportunities by disclosing commercially sensitive information; and</w:t>
      </w:r>
    </w:p>
    <w:p w14:paraId="3CE04C95" w14:textId="5DBF41D3" w:rsidR="00374E22" w:rsidRPr="0033128F" w:rsidRDefault="00374E22" w:rsidP="00841E38">
      <w:pPr>
        <w:pStyle w:val="Bullet"/>
        <w:spacing w:after="240"/>
        <w:ind w:left="522" w:hanging="522"/>
        <w:rPr>
          <w:rFonts w:eastAsiaTheme="minorHAnsi"/>
          <w:sz w:val="24"/>
          <w:szCs w:val="24"/>
        </w:rPr>
      </w:pPr>
      <w:r w:rsidRPr="0033128F">
        <w:rPr>
          <w:rFonts w:eastAsiaTheme="minorHAnsi"/>
          <w:sz w:val="24"/>
          <w:szCs w:val="24"/>
        </w:rPr>
        <w:t xml:space="preserve">detailed disclosure required on derivatives creating opportunities for other market participants to trade against super funds. </w:t>
      </w:r>
    </w:p>
    <w:p w14:paraId="294CFBB7" w14:textId="65B98846" w:rsidR="00947928" w:rsidRPr="00947928" w:rsidRDefault="00E511EB" w:rsidP="00947928">
      <w:pPr>
        <w:rPr>
          <w:rFonts w:cstheme="minorHAnsi"/>
          <w:sz w:val="24"/>
          <w:szCs w:val="24"/>
        </w:rPr>
      </w:pPr>
      <w:r>
        <w:rPr>
          <w:rFonts w:cstheme="minorHAnsi"/>
          <w:sz w:val="24"/>
          <w:szCs w:val="24"/>
        </w:rPr>
        <w:t>Noting this feedback</w:t>
      </w:r>
      <w:r w:rsidR="00562F25">
        <w:rPr>
          <w:rFonts w:cstheme="minorHAnsi"/>
          <w:sz w:val="24"/>
          <w:szCs w:val="24"/>
        </w:rPr>
        <w:t xml:space="preserve">, </w:t>
      </w:r>
      <w:r w:rsidR="00C37F94">
        <w:rPr>
          <w:rFonts w:cstheme="minorHAnsi"/>
          <w:sz w:val="24"/>
          <w:szCs w:val="24"/>
        </w:rPr>
        <w:t>t</w:t>
      </w:r>
      <w:r w:rsidR="00947928" w:rsidRPr="00947928">
        <w:rPr>
          <w:rFonts w:cstheme="minorHAnsi"/>
          <w:sz w:val="24"/>
          <w:szCs w:val="24"/>
        </w:rPr>
        <w:t>he Government undert</w:t>
      </w:r>
      <w:r w:rsidR="00947928">
        <w:rPr>
          <w:rFonts w:cstheme="minorHAnsi"/>
          <w:sz w:val="24"/>
          <w:szCs w:val="24"/>
        </w:rPr>
        <w:t>ook</w:t>
      </w:r>
      <w:r w:rsidR="00947928" w:rsidRPr="00947928">
        <w:rPr>
          <w:rFonts w:cstheme="minorHAnsi"/>
          <w:sz w:val="24"/>
          <w:szCs w:val="24"/>
        </w:rPr>
        <w:t xml:space="preserve"> </w:t>
      </w:r>
      <w:r w:rsidR="00B300C5">
        <w:rPr>
          <w:rFonts w:cstheme="minorHAnsi"/>
          <w:sz w:val="24"/>
          <w:szCs w:val="24"/>
        </w:rPr>
        <w:t>a second round of consultation</w:t>
      </w:r>
      <w:r w:rsidR="00947928" w:rsidRPr="00947928">
        <w:rPr>
          <w:rFonts w:cstheme="minorHAnsi"/>
          <w:sz w:val="24"/>
          <w:szCs w:val="24"/>
        </w:rPr>
        <w:t xml:space="preserve">. </w:t>
      </w:r>
      <w:r w:rsidR="00C37F94">
        <w:rPr>
          <w:rFonts w:cstheme="minorHAnsi"/>
          <w:sz w:val="24"/>
          <w:szCs w:val="24"/>
        </w:rPr>
        <w:t>In particular, t</w:t>
      </w:r>
      <w:r w:rsidR="00947928" w:rsidRPr="00947928">
        <w:rPr>
          <w:rFonts w:cstheme="minorHAnsi"/>
          <w:sz w:val="24"/>
          <w:szCs w:val="24"/>
        </w:rPr>
        <w:t xml:space="preserve">he draft regulations and explanatory statement </w:t>
      </w:r>
      <w:r w:rsidR="00947928">
        <w:rPr>
          <w:rFonts w:cstheme="minorHAnsi"/>
          <w:sz w:val="24"/>
          <w:szCs w:val="24"/>
        </w:rPr>
        <w:t>were</w:t>
      </w:r>
      <w:r w:rsidR="00947928" w:rsidRPr="00947928">
        <w:rPr>
          <w:rFonts w:cstheme="minorHAnsi"/>
          <w:sz w:val="24"/>
          <w:szCs w:val="24"/>
        </w:rPr>
        <w:t xml:space="preserve"> amended to:</w:t>
      </w:r>
    </w:p>
    <w:p w14:paraId="096164C4" w14:textId="5A13D0AC" w:rsidR="00947928" w:rsidRPr="005F7B77" w:rsidRDefault="00947928" w:rsidP="005F7B77">
      <w:pPr>
        <w:pStyle w:val="Bullet"/>
        <w:rPr>
          <w:rFonts w:asciiTheme="minorHAnsi" w:hAnsiTheme="minorHAnsi" w:cstheme="minorHAnsi"/>
          <w:sz w:val="24"/>
          <w:szCs w:val="24"/>
        </w:rPr>
      </w:pPr>
      <w:r w:rsidRPr="005F7B77">
        <w:rPr>
          <w:rFonts w:asciiTheme="minorHAnsi" w:hAnsiTheme="minorHAnsi" w:cstheme="minorHAnsi"/>
          <w:sz w:val="24"/>
          <w:szCs w:val="24"/>
        </w:rPr>
        <w:t xml:space="preserve">introduce a requirement that the information should be easily downloadable from the website of the fund in a delimited file </w:t>
      </w:r>
      <w:proofErr w:type="gramStart"/>
      <w:r w:rsidRPr="005F7B77">
        <w:rPr>
          <w:rFonts w:asciiTheme="minorHAnsi" w:hAnsiTheme="minorHAnsi" w:cstheme="minorHAnsi"/>
          <w:sz w:val="24"/>
          <w:szCs w:val="24"/>
        </w:rPr>
        <w:t>format;</w:t>
      </w:r>
      <w:proofErr w:type="gramEnd"/>
    </w:p>
    <w:p w14:paraId="7863590A" w14:textId="41FC23EA" w:rsidR="00947928" w:rsidRPr="005F7B77" w:rsidRDefault="00947928" w:rsidP="005F7B77">
      <w:pPr>
        <w:pStyle w:val="Bullet"/>
        <w:rPr>
          <w:rFonts w:asciiTheme="minorHAnsi" w:hAnsiTheme="minorHAnsi" w:cstheme="minorHAnsi"/>
          <w:sz w:val="24"/>
          <w:szCs w:val="24"/>
        </w:rPr>
      </w:pPr>
      <w:r w:rsidRPr="005F7B77">
        <w:rPr>
          <w:rFonts w:asciiTheme="minorHAnsi" w:hAnsiTheme="minorHAnsi" w:cstheme="minorHAnsi"/>
          <w:sz w:val="24"/>
          <w:szCs w:val="24"/>
        </w:rPr>
        <w:t xml:space="preserve">allow cash and bank bill investments to be aggregated by the relevant </w:t>
      </w:r>
      <w:proofErr w:type="gramStart"/>
      <w:r w:rsidRPr="005F7B77">
        <w:rPr>
          <w:rFonts w:asciiTheme="minorHAnsi" w:hAnsiTheme="minorHAnsi" w:cstheme="minorHAnsi"/>
          <w:sz w:val="24"/>
          <w:szCs w:val="24"/>
        </w:rPr>
        <w:t>institution;</w:t>
      </w:r>
      <w:proofErr w:type="gramEnd"/>
    </w:p>
    <w:p w14:paraId="165BCA6C" w14:textId="29483D34" w:rsidR="00947928" w:rsidRPr="005F7B77" w:rsidRDefault="00947928" w:rsidP="005F7B77">
      <w:pPr>
        <w:pStyle w:val="Bullet"/>
        <w:rPr>
          <w:rFonts w:asciiTheme="minorHAnsi" w:hAnsiTheme="minorHAnsi" w:cstheme="minorHAnsi"/>
          <w:sz w:val="24"/>
          <w:szCs w:val="24"/>
        </w:rPr>
      </w:pPr>
      <w:r w:rsidRPr="005F7B77">
        <w:rPr>
          <w:rFonts w:asciiTheme="minorHAnsi" w:hAnsiTheme="minorHAnsi" w:cstheme="minorHAnsi"/>
          <w:sz w:val="24"/>
          <w:szCs w:val="24"/>
        </w:rPr>
        <w:t xml:space="preserve">sub-divide infrastructure and property into directly held and unitised and require percentage ownership for directly </w:t>
      </w:r>
      <w:proofErr w:type="gramStart"/>
      <w:r w:rsidRPr="005F7B77">
        <w:rPr>
          <w:rFonts w:asciiTheme="minorHAnsi" w:hAnsiTheme="minorHAnsi" w:cstheme="minorHAnsi"/>
          <w:sz w:val="24"/>
          <w:szCs w:val="24"/>
        </w:rPr>
        <w:t>held;</w:t>
      </w:r>
      <w:proofErr w:type="gramEnd"/>
    </w:p>
    <w:p w14:paraId="5A715964" w14:textId="44037922" w:rsidR="00947928" w:rsidRPr="005F7B77" w:rsidRDefault="00947928" w:rsidP="005F7B77">
      <w:pPr>
        <w:pStyle w:val="Bullet"/>
        <w:rPr>
          <w:rFonts w:asciiTheme="minorHAnsi" w:hAnsiTheme="minorHAnsi" w:cstheme="minorHAnsi"/>
          <w:sz w:val="24"/>
          <w:szCs w:val="24"/>
        </w:rPr>
      </w:pPr>
      <w:r w:rsidRPr="005F7B77">
        <w:rPr>
          <w:rFonts w:asciiTheme="minorHAnsi" w:hAnsiTheme="minorHAnsi" w:cstheme="minorHAnsi"/>
          <w:sz w:val="24"/>
          <w:szCs w:val="24"/>
        </w:rPr>
        <w:t>remove the requirement to disclose maturity dates and counterparty name for derivatives; and</w:t>
      </w:r>
    </w:p>
    <w:p w14:paraId="497F2818" w14:textId="669149A2" w:rsidR="00947928" w:rsidRPr="005F7B77" w:rsidRDefault="00947928" w:rsidP="005F7B77">
      <w:pPr>
        <w:pStyle w:val="Bullet"/>
        <w:rPr>
          <w:rFonts w:asciiTheme="minorHAnsi" w:hAnsiTheme="minorHAnsi" w:cstheme="minorHAnsi"/>
          <w:sz w:val="24"/>
          <w:szCs w:val="24"/>
        </w:rPr>
      </w:pPr>
      <w:r w:rsidRPr="005F7B77">
        <w:rPr>
          <w:rFonts w:asciiTheme="minorHAnsi" w:hAnsiTheme="minorHAnsi" w:cstheme="minorHAnsi"/>
          <w:sz w:val="24"/>
          <w:szCs w:val="24"/>
        </w:rPr>
        <w:t>make it clear in the explanatory statement that, in addition to the mandatory disclosures, registrable superannuation entities</w:t>
      </w:r>
      <w:r w:rsidR="002164D5">
        <w:rPr>
          <w:rFonts w:asciiTheme="minorHAnsi" w:hAnsiTheme="minorHAnsi" w:cstheme="minorHAnsi"/>
          <w:sz w:val="24"/>
          <w:szCs w:val="24"/>
        </w:rPr>
        <w:t xml:space="preserve"> (RSEs)</w:t>
      </w:r>
      <w:r w:rsidRPr="005F7B77">
        <w:rPr>
          <w:rFonts w:asciiTheme="minorHAnsi" w:hAnsiTheme="minorHAnsi" w:cstheme="minorHAnsi"/>
          <w:sz w:val="24"/>
          <w:szCs w:val="24"/>
        </w:rPr>
        <w:t xml:space="preserve"> are free to provide supplementary information regarding the portfolio holdings of the RSE’s products in a separate public disclosure.</w:t>
      </w:r>
    </w:p>
    <w:p w14:paraId="23E57905" w14:textId="44BAE1FD" w:rsidR="00DC1BAD" w:rsidRPr="00DC1BAD" w:rsidRDefault="00947928" w:rsidP="00DC1BAD">
      <w:pPr>
        <w:rPr>
          <w:rFonts w:cstheme="minorHAnsi"/>
          <w:sz w:val="24"/>
          <w:szCs w:val="24"/>
        </w:rPr>
      </w:pPr>
      <w:r w:rsidRPr="00947928">
        <w:rPr>
          <w:rFonts w:cstheme="minorHAnsi"/>
          <w:sz w:val="24"/>
          <w:szCs w:val="24"/>
        </w:rPr>
        <w:t xml:space="preserve">Consultation on the revised exposure draft regulations and explanatory statement </w:t>
      </w:r>
      <w:r>
        <w:rPr>
          <w:rFonts w:cstheme="minorHAnsi"/>
          <w:sz w:val="24"/>
          <w:szCs w:val="24"/>
        </w:rPr>
        <w:t>was</w:t>
      </w:r>
      <w:r w:rsidRPr="00947928">
        <w:rPr>
          <w:rFonts w:cstheme="minorHAnsi"/>
          <w:sz w:val="24"/>
          <w:szCs w:val="24"/>
        </w:rPr>
        <w:t xml:space="preserve"> open </w:t>
      </w:r>
      <w:r w:rsidR="00C24270">
        <w:rPr>
          <w:rFonts w:cstheme="minorHAnsi"/>
          <w:sz w:val="24"/>
          <w:szCs w:val="24"/>
        </w:rPr>
        <w:t xml:space="preserve">from 17 August 2021 </w:t>
      </w:r>
      <w:r w:rsidRPr="00947928">
        <w:rPr>
          <w:rFonts w:cstheme="minorHAnsi"/>
          <w:sz w:val="24"/>
          <w:szCs w:val="24"/>
        </w:rPr>
        <w:t xml:space="preserve">until 31 August 2021. </w:t>
      </w:r>
      <w:r w:rsidR="00B17F23">
        <w:rPr>
          <w:rFonts w:cstheme="minorHAnsi"/>
          <w:sz w:val="24"/>
          <w:szCs w:val="24"/>
        </w:rPr>
        <w:t xml:space="preserve">Once the regulations are made, the Government will </w:t>
      </w:r>
      <w:r w:rsidR="00C25909">
        <w:rPr>
          <w:rFonts w:cstheme="minorHAnsi"/>
          <w:sz w:val="24"/>
          <w:szCs w:val="24"/>
        </w:rPr>
        <w:t>publish</w:t>
      </w:r>
      <w:r w:rsidR="007C517D">
        <w:rPr>
          <w:rFonts w:cstheme="minorHAnsi"/>
          <w:sz w:val="24"/>
          <w:szCs w:val="24"/>
        </w:rPr>
        <w:t xml:space="preserve"> the non-confidential submissions. </w:t>
      </w:r>
      <w:r w:rsidR="00DC1BAD" w:rsidRPr="00DC1BAD">
        <w:rPr>
          <w:rFonts w:cstheme="minorHAnsi"/>
          <w:sz w:val="24"/>
          <w:szCs w:val="24"/>
        </w:rPr>
        <w:t>Consistent with earlier rounds of consultation, the two main concerns identified by stakeholders related to:</w:t>
      </w:r>
    </w:p>
    <w:p w14:paraId="356076D4" w14:textId="53B1BD3A" w:rsidR="00DC1BAD" w:rsidRPr="001854FD" w:rsidRDefault="00DC1BAD" w:rsidP="001854FD">
      <w:pPr>
        <w:pStyle w:val="Bullet"/>
        <w:rPr>
          <w:rFonts w:cstheme="minorHAnsi"/>
          <w:sz w:val="24"/>
          <w:szCs w:val="24"/>
        </w:rPr>
      </w:pPr>
      <w:r w:rsidRPr="001854FD">
        <w:rPr>
          <w:rFonts w:asciiTheme="minorHAnsi" w:hAnsiTheme="minorHAnsi" w:cstheme="minorHAnsi"/>
          <w:sz w:val="24"/>
          <w:szCs w:val="24"/>
        </w:rPr>
        <w:lastRenderedPageBreak/>
        <w:t>the regime requiring disclosure about investments in unlisted assets; and</w:t>
      </w:r>
    </w:p>
    <w:p w14:paraId="4C802F87" w14:textId="73A2D288" w:rsidR="00947928" w:rsidRPr="001854FD" w:rsidRDefault="00DC1BAD" w:rsidP="001854FD">
      <w:pPr>
        <w:pStyle w:val="Bullet"/>
        <w:rPr>
          <w:rFonts w:cstheme="minorHAnsi"/>
          <w:sz w:val="24"/>
          <w:szCs w:val="24"/>
        </w:rPr>
      </w:pPr>
      <w:r w:rsidRPr="001854FD">
        <w:rPr>
          <w:rFonts w:asciiTheme="minorHAnsi" w:hAnsiTheme="minorHAnsi" w:cstheme="minorHAnsi"/>
          <w:sz w:val="24"/>
          <w:szCs w:val="24"/>
        </w:rPr>
        <w:t xml:space="preserve">the volume of information to be disclosed about derivative positions </w:t>
      </w:r>
      <w:proofErr w:type="gramStart"/>
      <w:r w:rsidRPr="001854FD">
        <w:rPr>
          <w:rFonts w:asciiTheme="minorHAnsi" w:hAnsiTheme="minorHAnsi" w:cstheme="minorHAnsi"/>
          <w:sz w:val="24"/>
          <w:szCs w:val="24"/>
        </w:rPr>
        <w:t>entered into</w:t>
      </w:r>
      <w:proofErr w:type="gramEnd"/>
      <w:r w:rsidRPr="001854FD">
        <w:rPr>
          <w:rFonts w:asciiTheme="minorHAnsi" w:hAnsiTheme="minorHAnsi" w:cstheme="minorHAnsi"/>
          <w:sz w:val="24"/>
          <w:szCs w:val="24"/>
        </w:rPr>
        <w:t xml:space="preserve"> by superannuation funds.</w:t>
      </w:r>
    </w:p>
    <w:p w14:paraId="74CE5723" w14:textId="00F045A5" w:rsidR="002621C9" w:rsidRPr="004F3216" w:rsidRDefault="002621C9" w:rsidP="002621C9">
      <w:pPr>
        <w:pStyle w:val="CABParaSub"/>
        <w:rPr>
          <w:rFonts w:asciiTheme="minorHAnsi" w:hAnsiTheme="minorHAnsi" w:cstheme="minorHAnsi"/>
        </w:rPr>
      </w:pPr>
      <w:r>
        <w:rPr>
          <w:rFonts w:asciiTheme="minorHAnsi" w:hAnsiTheme="minorHAnsi" w:cstheme="minorHAnsi"/>
        </w:rPr>
        <w:t>S</w:t>
      </w:r>
      <w:r w:rsidRPr="004F3216">
        <w:rPr>
          <w:rFonts w:asciiTheme="minorHAnsi" w:hAnsiTheme="minorHAnsi" w:cstheme="minorHAnsi"/>
        </w:rPr>
        <w:t xml:space="preserve">uperannuation funds </w:t>
      </w:r>
      <w:r>
        <w:rPr>
          <w:rFonts w:asciiTheme="minorHAnsi" w:hAnsiTheme="minorHAnsi" w:cstheme="minorHAnsi"/>
        </w:rPr>
        <w:t>were</w:t>
      </w:r>
      <w:r w:rsidRPr="004F3216">
        <w:rPr>
          <w:rFonts w:asciiTheme="minorHAnsi" w:hAnsiTheme="minorHAnsi" w:cstheme="minorHAnsi"/>
        </w:rPr>
        <w:t xml:space="preserve"> concerned that</w:t>
      </w:r>
      <w:r>
        <w:rPr>
          <w:rFonts w:asciiTheme="minorHAnsi" w:hAnsiTheme="minorHAnsi" w:cstheme="minorHAnsi"/>
        </w:rPr>
        <w:t xml:space="preserve"> being compelled to release</w:t>
      </w:r>
      <w:r w:rsidRPr="004F3216">
        <w:rPr>
          <w:rFonts w:asciiTheme="minorHAnsi" w:hAnsiTheme="minorHAnsi" w:cstheme="minorHAnsi"/>
        </w:rPr>
        <w:t xml:space="preserve"> </w:t>
      </w:r>
      <w:r>
        <w:rPr>
          <w:rFonts w:asciiTheme="minorHAnsi" w:hAnsiTheme="minorHAnsi" w:cstheme="minorHAnsi"/>
        </w:rPr>
        <w:t xml:space="preserve">detailed information on unlisted assets </w:t>
      </w:r>
      <w:r w:rsidRPr="004F3216">
        <w:rPr>
          <w:rFonts w:asciiTheme="minorHAnsi" w:hAnsiTheme="minorHAnsi" w:cstheme="minorHAnsi"/>
        </w:rPr>
        <w:t xml:space="preserve">would make </w:t>
      </w:r>
      <w:r>
        <w:rPr>
          <w:rFonts w:asciiTheme="minorHAnsi" w:hAnsiTheme="minorHAnsi" w:cstheme="minorHAnsi"/>
        </w:rPr>
        <w:t>them</w:t>
      </w:r>
      <w:r w:rsidRPr="004F3216">
        <w:rPr>
          <w:rFonts w:asciiTheme="minorHAnsi" w:hAnsiTheme="minorHAnsi" w:cstheme="minorHAnsi"/>
        </w:rPr>
        <w:t xml:space="preserve"> a less attractive investment partner for these assets, breach confidentiality clauses (</w:t>
      </w:r>
      <w:r w:rsidR="00FF5DEE">
        <w:rPr>
          <w:rFonts w:asciiTheme="minorHAnsi" w:hAnsiTheme="minorHAnsi" w:cstheme="minorHAnsi"/>
        </w:rPr>
        <w:t xml:space="preserve">for example </w:t>
      </w:r>
      <w:r w:rsidRPr="004F3216">
        <w:rPr>
          <w:rFonts w:asciiTheme="minorHAnsi" w:hAnsiTheme="minorHAnsi" w:cstheme="minorHAnsi"/>
        </w:rPr>
        <w:t>in relation to</w:t>
      </w:r>
      <w:r>
        <w:rPr>
          <w:rFonts w:asciiTheme="minorHAnsi" w:hAnsiTheme="minorHAnsi" w:cstheme="minorHAnsi"/>
        </w:rPr>
        <w:t xml:space="preserve"> </w:t>
      </w:r>
      <w:r w:rsidRPr="004F3216">
        <w:rPr>
          <w:rFonts w:asciiTheme="minorHAnsi" w:hAnsiTheme="minorHAnsi" w:cstheme="minorHAnsi"/>
        </w:rPr>
        <w:t xml:space="preserve">private equity investments) and be out of step with obligations imposed by international pension funds and the Future Fund. </w:t>
      </w:r>
      <w:proofErr w:type="gramStart"/>
      <w:r w:rsidRPr="004F3216">
        <w:rPr>
          <w:rFonts w:asciiTheme="minorHAnsi" w:hAnsiTheme="minorHAnsi" w:cstheme="minorHAnsi"/>
        </w:rPr>
        <w:t>A number of</w:t>
      </w:r>
      <w:proofErr w:type="gramEnd"/>
      <w:r w:rsidRPr="004F3216">
        <w:rPr>
          <w:rFonts w:asciiTheme="minorHAnsi" w:hAnsiTheme="minorHAnsi" w:cstheme="minorHAnsi"/>
        </w:rPr>
        <w:t xml:space="preserve"> funds also noted that the disclosures </w:t>
      </w:r>
      <w:r w:rsidR="00F569F8" w:rsidRPr="004F3216">
        <w:rPr>
          <w:rFonts w:asciiTheme="minorHAnsi" w:hAnsiTheme="minorHAnsi" w:cstheme="minorHAnsi"/>
        </w:rPr>
        <w:t>w</w:t>
      </w:r>
      <w:r w:rsidR="00F569F8">
        <w:rPr>
          <w:rFonts w:asciiTheme="minorHAnsi" w:hAnsiTheme="minorHAnsi" w:cstheme="minorHAnsi"/>
        </w:rPr>
        <w:t xml:space="preserve">ould </w:t>
      </w:r>
      <w:r w:rsidRPr="004F3216">
        <w:rPr>
          <w:rFonts w:asciiTheme="minorHAnsi" w:hAnsiTheme="minorHAnsi" w:cstheme="minorHAnsi"/>
        </w:rPr>
        <w:t>encourage funds to engage in more intermediated forms of investment (rather than direct investment) which would lower returns for members.</w:t>
      </w:r>
      <w:r w:rsidR="00887B02">
        <w:rPr>
          <w:rFonts w:asciiTheme="minorHAnsi" w:hAnsiTheme="minorHAnsi" w:cstheme="minorHAnsi"/>
        </w:rPr>
        <w:t xml:space="preserve"> The move to more intermediated forms of investment, would reduce the likelihood of these investments being captured under the disclosure obligations. </w:t>
      </w:r>
    </w:p>
    <w:p w14:paraId="2AF1BCD9" w14:textId="2299742C" w:rsidR="002621C9" w:rsidRPr="004F3216" w:rsidRDefault="002621C9" w:rsidP="002621C9">
      <w:pPr>
        <w:pStyle w:val="CABParaSub"/>
        <w:rPr>
          <w:rFonts w:asciiTheme="minorHAnsi" w:hAnsiTheme="minorHAnsi" w:cstheme="minorHAnsi"/>
        </w:rPr>
      </w:pPr>
      <w:r w:rsidRPr="004F3216">
        <w:rPr>
          <w:rFonts w:asciiTheme="minorHAnsi" w:hAnsiTheme="minorHAnsi" w:cstheme="minorHAnsi"/>
        </w:rPr>
        <w:t xml:space="preserve">In relation to derivatives, the main view from funds </w:t>
      </w:r>
      <w:r>
        <w:rPr>
          <w:rFonts w:asciiTheme="minorHAnsi" w:hAnsiTheme="minorHAnsi" w:cstheme="minorHAnsi"/>
        </w:rPr>
        <w:t>wa</w:t>
      </w:r>
      <w:r w:rsidRPr="004F3216">
        <w:rPr>
          <w:rFonts w:asciiTheme="minorHAnsi" w:hAnsiTheme="minorHAnsi" w:cstheme="minorHAnsi"/>
        </w:rPr>
        <w:t xml:space="preserve">s that the level of detail would be too complex and overwhelming for members and could potentially be used by other market participants to trade against the fund. Funds considered this potential remained despite the removal of certain disclosures </w:t>
      </w:r>
      <w:r w:rsidR="00887B02">
        <w:rPr>
          <w:rFonts w:asciiTheme="minorHAnsi" w:hAnsiTheme="minorHAnsi" w:cstheme="minorHAnsi"/>
        </w:rPr>
        <w:t>in</w:t>
      </w:r>
      <w:r w:rsidRPr="004F3216">
        <w:rPr>
          <w:rFonts w:asciiTheme="minorHAnsi" w:hAnsiTheme="minorHAnsi" w:cstheme="minorHAnsi"/>
        </w:rPr>
        <w:t xml:space="preserve"> the </w:t>
      </w:r>
      <w:r w:rsidR="00887B02">
        <w:rPr>
          <w:rFonts w:asciiTheme="minorHAnsi" w:hAnsiTheme="minorHAnsi" w:cstheme="minorHAnsi"/>
        </w:rPr>
        <w:t>second</w:t>
      </w:r>
      <w:r w:rsidRPr="004F3216">
        <w:rPr>
          <w:rFonts w:asciiTheme="minorHAnsi" w:hAnsiTheme="minorHAnsi" w:cstheme="minorHAnsi"/>
        </w:rPr>
        <w:t xml:space="preserve"> round of consultation.</w:t>
      </w:r>
      <w:r w:rsidR="00887B02">
        <w:rPr>
          <w:rFonts w:asciiTheme="minorHAnsi" w:hAnsiTheme="minorHAnsi" w:cstheme="minorHAnsi"/>
        </w:rPr>
        <w:t xml:space="preserve"> </w:t>
      </w:r>
    </w:p>
    <w:p w14:paraId="418998AF" w14:textId="3C5815B2" w:rsidR="003D4248" w:rsidRPr="004F3216" w:rsidRDefault="002456A6" w:rsidP="002621C9">
      <w:pPr>
        <w:pStyle w:val="CABParaSub"/>
        <w:rPr>
          <w:rFonts w:asciiTheme="minorHAnsi" w:hAnsiTheme="minorHAnsi" w:cstheme="minorHAnsi"/>
        </w:rPr>
      </w:pPr>
      <w:r>
        <w:rPr>
          <w:rFonts w:asciiTheme="minorHAnsi" w:hAnsiTheme="minorHAnsi" w:cstheme="minorHAnsi"/>
        </w:rPr>
        <w:t xml:space="preserve">Noting the consistent feedback provided across the two rounds of consultation regarding the disclosure of values for unlisted assets and the derivatives disclosure, Option 3 has been further revised to introduce new categorisations of assets to provide for more tailored aggregation in line with stakeholder feedback. </w:t>
      </w:r>
    </w:p>
    <w:p w14:paraId="24345FEC" w14:textId="0884ADD3" w:rsidR="006B0D56" w:rsidRPr="00DB7DAE" w:rsidRDefault="002B2EE5" w:rsidP="002B2EE5">
      <w:pPr>
        <w:pStyle w:val="Heading1numbered"/>
        <w:rPr>
          <w:rFonts w:asciiTheme="minorHAnsi" w:hAnsiTheme="minorHAnsi" w:cstheme="minorHAnsi"/>
          <w:sz w:val="24"/>
          <w:szCs w:val="24"/>
        </w:rPr>
      </w:pPr>
      <w:bookmarkStart w:id="6" w:name="_Toc86998883"/>
      <w:r w:rsidRPr="00DB7DAE">
        <w:rPr>
          <w:rFonts w:asciiTheme="minorHAnsi" w:hAnsiTheme="minorHAnsi" w:cstheme="minorHAnsi"/>
          <w:sz w:val="24"/>
          <w:szCs w:val="24"/>
        </w:rPr>
        <w:t>What is the best option from those you have considered?</w:t>
      </w:r>
      <w:bookmarkEnd w:id="6"/>
    </w:p>
    <w:p w14:paraId="6302ED85" w14:textId="34E99696" w:rsidR="0042483D" w:rsidRPr="00DB7DAE" w:rsidRDefault="0064780A" w:rsidP="000C0996">
      <w:pPr>
        <w:pStyle w:val="CABParaSub"/>
        <w:rPr>
          <w:rFonts w:asciiTheme="minorHAnsi" w:hAnsiTheme="minorHAnsi" w:cstheme="minorHAnsi"/>
        </w:rPr>
      </w:pPr>
      <w:r>
        <w:rPr>
          <w:rFonts w:asciiTheme="minorHAnsi" w:hAnsiTheme="minorHAnsi" w:cstheme="minorHAnsi"/>
        </w:rPr>
        <w:t xml:space="preserve">Taking into consideration stakeholder feedback (described above), </w:t>
      </w:r>
      <w:r w:rsidR="005B2B2E" w:rsidRPr="00AD2220">
        <w:rPr>
          <w:rFonts w:asciiTheme="minorHAnsi" w:hAnsiTheme="minorHAnsi" w:cstheme="minorHAnsi"/>
        </w:rPr>
        <w:t xml:space="preserve">Option </w:t>
      </w:r>
      <w:r w:rsidR="009D5C53" w:rsidRPr="00AD2220">
        <w:rPr>
          <w:rFonts w:asciiTheme="minorHAnsi" w:hAnsiTheme="minorHAnsi" w:cstheme="minorHAnsi"/>
        </w:rPr>
        <w:t>3</w:t>
      </w:r>
      <w:r w:rsidR="005B2B2E" w:rsidRPr="00AD2220">
        <w:rPr>
          <w:rFonts w:asciiTheme="minorHAnsi" w:hAnsiTheme="minorHAnsi" w:cstheme="minorHAnsi"/>
        </w:rPr>
        <w:t xml:space="preserve"> is the </w:t>
      </w:r>
      <w:r w:rsidR="00FF6577" w:rsidRPr="00AD2220">
        <w:rPr>
          <w:rFonts w:asciiTheme="minorHAnsi" w:hAnsiTheme="minorHAnsi" w:cstheme="minorHAnsi"/>
        </w:rPr>
        <w:t>preferred option for addressing the policy problem outlined in this regulation impact statement</w:t>
      </w:r>
      <w:r w:rsidR="00767DF8" w:rsidRPr="00AD2220">
        <w:rPr>
          <w:rFonts w:asciiTheme="minorHAnsi" w:hAnsiTheme="minorHAnsi" w:cstheme="minorHAnsi"/>
        </w:rPr>
        <w:t>. It strikes the best balance between transparency and compliance costs</w:t>
      </w:r>
      <w:r w:rsidR="00FF6577" w:rsidRPr="00AD2220">
        <w:rPr>
          <w:rFonts w:asciiTheme="minorHAnsi" w:hAnsiTheme="minorHAnsi" w:cstheme="minorHAnsi"/>
        </w:rPr>
        <w:t>.</w:t>
      </w:r>
      <w:r w:rsidR="003514D6" w:rsidRPr="00AD2220">
        <w:rPr>
          <w:rFonts w:asciiTheme="minorHAnsi" w:hAnsiTheme="minorHAnsi" w:cstheme="minorHAnsi"/>
        </w:rPr>
        <w:t xml:space="preserve"> </w:t>
      </w:r>
      <w:proofErr w:type="gramStart"/>
      <w:r w:rsidR="00CC6E10">
        <w:rPr>
          <w:rFonts w:asciiTheme="minorHAnsi" w:hAnsiTheme="minorHAnsi" w:cstheme="minorHAnsi"/>
        </w:rPr>
        <w:t>In particular, Option</w:t>
      </w:r>
      <w:proofErr w:type="gramEnd"/>
      <w:r w:rsidR="00CC6E10">
        <w:rPr>
          <w:rFonts w:asciiTheme="minorHAnsi" w:hAnsiTheme="minorHAnsi" w:cstheme="minorHAnsi"/>
        </w:rPr>
        <w:t xml:space="preserve"> 3 </w:t>
      </w:r>
      <w:r w:rsidR="00DB2AC4" w:rsidRPr="00DB2AC4">
        <w:rPr>
          <w:rFonts w:asciiTheme="minorHAnsi" w:hAnsiTheme="minorHAnsi" w:cstheme="minorHAnsi"/>
        </w:rPr>
        <w:t xml:space="preserve">will address concerns raised by stakeholders and provides a </w:t>
      </w:r>
      <w:r w:rsidR="00313983">
        <w:rPr>
          <w:rFonts w:asciiTheme="minorHAnsi" w:hAnsiTheme="minorHAnsi" w:cstheme="minorHAnsi"/>
        </w:rPr>
        <w:t>clearer</w:t>
      </w:r>
      <w:r w:rsidR="00DB2AC4">
        <w:rPr>
          <w:rFonts w:asciiTheme="minorHAnsi" w:hAnsiTheme="minorHAnsi" w:cstheme="minorHAnsi"/>
        </w:rPr>
        <w:t xml:space="preserve"> </w:t>
      </w:r>
      <w:r w:rsidR="00DB2AC4" w:rsidRPr="00DB2AC4">
        <w:rPr>
          <w:rFonts w:asciiTheme="minorHAnsi" w:hAnsiTheme="minorHAnsi" w:cstheme="minorHAnsi"/>
        </w:rPr>
        <w:t>level of transparency for super fund members than current</w:t>
      </w:r>
      <w:r w:rsidR="00DB2AC4">
        <w:rPr>
          <w:rFonts w:asciiTheme="minorHAnsi" w:hAnsiTheme="minorHAnsi" w:cstheme="minorHAnsi"/>
        </w:rPr>
        <w:t xml:space="preserve"> </w:t>
      </w:r>
      <w:r w:rsidR="00DB2AC4" w:rsidRPr="00DB2AC4">
        <w:rPr>
          <w:rFonts w:asciiTheme="minorHAnsi" w:hAnsiTheme="minorHAnsi" w:cstheme="minorHAnsi"/>
        </w:rPr>
        <w:t>arrangements, while providing protection for commercially</w:t>
      </w:r>
      <w:r w:rsidR="00DB2AC4">
        <w:rPr>
          <w:rFonts w:asciiTheme="minorHAnsi" w:hAnsiTheme="minorHAnsi" w:cstheme="minorHAnsi"/>
        </w:rPr>
        <w:t xml:space="preserve"> </w:t>
      </w:r>
      <w:r w:rsidR="00DB2AC4" w:rsidRPr="00DB2AC4">
        <w:rPr>
          <w:rFonts w:asciiTheme="minorHAnsi" w:hAnsiTheme="minorHAnsi" w:cstheme="minorHAnsi"/>
        </w:rPr>
        <w:t>sensitive information.</w:t>
      </w:r>
      <w:r w:rsidR="00DB2AC4">
        <w:rPr>
          <w:rFonts w:asciiTheme="minorHAnsi" w:hAnsiTheme="minorHAnsi" w:cstheme="minorHAnsi"/>
        </w:rPr>
        <w:t xml:space="preserve"> </w:t>
      </w:r>
      <w:r w:rsidR="00EF77D5">
        <w:rPr>
          <w:rFonts w:asciiTheme="minorHAnsi" w:hAnsiTheme="minorHAnsi" w:cstheme="minorHAnsi"/>
        </w:rPr>
        <w:t xml:space="preserve">Under Option 3, </w:t>
      </w:r>
      <w:r w:rsidR="00CC6E10" w:rsidRPr="00CC6E10">
        <w:rPr>
          <w:rFonts w:asciiTheme="minorHAnsi" w:hAnsiTheme="minorHAnsi" w:cstheme="minorHAnsi"/>
        </w:rPr>
        <w:t>the aggregated disclosures now allowed for derivatives should also greatly reduce the length of the disclosures</w:t>
      </w:r>
      <w:r w:rsidR="00294545">
        <w:rPr>
          <w:rFonts w:asciiTheme="minorHAnsi" w:hAnsiTheme="minorHAnsi" w:cstheme="minorHAnsi"/>
        </w:rPr>
        <w:t xml:space="preserve"> and </w:t>
      </w:r>
      <w:r w:rsidR="002456A6">
        <w:rPr>
          <w:rFonts w:asciiTheme="minorHAnsi" w:hAnsiTheme="minorHAnsi" w:cstheme="minorHAnsi"/>
        </w:rPr>
        <w:t xml:space="preserve">is expected to </w:t>
      </w:r>
      <w:r w:rsidR="00294545" w:rsidRPr="00294545">
        <w:rPr>
          <w:rFonts w:asciiTheme="minorHAnsi" w:hAnsiTheme="minorHAnsi" w:cstheme="minorHAnsi"/>
        </w:rPr>
        <w:t xml:space="preserve">enable </w:t>
      </w:r>
      <w:r w:rsidR="002456A6">
        <w:rPr>
          <w:rFonts w:asciiTheme="minorHAnsi" w:hAnsiTheme="minorHAnsi" w:cstheme="minorHAnsi"/>
        </w:rPr>
        <w:t xml:space="preserve">an engaged </w:t>
      </w:r>
      <w:r w:rsidR="00294545" w:rsidRPr="00294545">
        <w:rPr>
          <w:rFonts w:asciiTheme="minorHAnsi" w:hAnsiTheme="minorHAnsi" w:cstheme="minorHAnsi"/>
        </w:rPr>
        <w:t>consumer to</w:t>
      </w:r>
      <w:r w:rsidR="002456A6">
        <w:rPr>
          <w:rFonts w:asciiTheme="minorHAnsi" w:hAnsiTheme="minorHAnsi" w:cstheme="minorHAnsi"/>
        </w:rPr>
        <w:t xml:space="preserve"> better</w:t>
      </w:r>
      <w:r w:rsidR="00294545" w:rsidRPr="00294545">
        <w:rPr>
          <w:rFonts w:asciiTheme="minorHAnsi" w:hAnsiTheme="minorHAnsi" w:cstheme="minorHAnsi"/>
        </w:rPr>
        <w:t xml:space="preserve"> comprehend the net effect of the relevant derivative positions.</w:t>
      </w:r>
      <w:r w:rsidR="00294545">
        <w:rPr>
          <w:rStyle w:val="FootnoteReference"/>
          <w:rFonts w:asciiTheme="minorHAnsi" w:hAnsiTheme="minorHAnsi" w:cstheme="minorHAnsi"/>
        </w:rPr>
        <w:footnoteReference w:id="18"/>
      </w:r>
      <w:r w:rsidR="00CC6E10" w:rsidRPr="00CC6E10" w:rsidDel="00F569F8">
        <w:rPr>
          <w:rFonts w:asciiTheme="minorHAnsi" w:hAnsiTheme="minorHAnsi" w:cstheme="minorHAnsi"/>
        </w:rPr>
        <w:t xml:space="preserve"> </w:t>
      </w:r>
      <w:r w:rsidR="00EF77D5">
        <w:rPr>
          <w:rFonts w:asciiTheme="minorHAnsi" w:hAnsiTheme="minorHAnsi" w:cstheme="minorHAnsi"/>
        </w:rPr>
        <w:t xml:space="preserve">In addition, </w:t>
      </w:r>
      <w:r w:rsidR="0042483D">
        <w:rPr>
          <w:rFonts w:asciiTheme="minorHAnsi" w:hAnsiTheme="minorHAnsi" w:cstheme="minorHAnsi"/>
        </w:rPr>
        <w:t xml:space="preserve">Option 3 </w:t>
      </w:r>
      <w:r w:rsidR="009A131C">
        <w:rPr>
          <w:rFonts w:asciiTheme="minorHAnsi" w:hAnsiTheme="minorHAnsi" w:cstheme="minorHAnsi"/>
        </w:rPr>
        <w:t xml:space="preserve">provides </w:t>
      </w:r>
      <w:r w:rsidR="00284536">
        <w:rPr>
          <w:rFonts w:asciiTheme="minorHAnsi" w:hAnsiTheme="minorHAnsi" w:cstheme="minorHAnsi"/>
        </w:rPr>
        <w:t xml:space="preserve">transparency of </w:t>
      </w:r>
      <w:r w:rsidR="009A131C">
        <w:rPr>
          <w:rFonts w:asciiTheme="minorHAnsi" w:hAnsiTheme="minorHAnsi" w:cstheme="minorHAnsi"/>
        </w:rPr>
        <w:t>the most</w:t>
      </w:r>
      <w:r w:rsidR="0042483D" w:rsidRPr="00DB7DAE">
        <w:rPr>
          <w:rFonts w:asciiTheme="minorHAnsi" w:hAnsiTheme="minorHAnsi" w:cstheme="minorHAnsi"/>
        </w:rPr>
        <w:t xml:space="preserve"> </w:t>
      </w:r>
      <w:r w:rsidR="00E90B2C">
        <w:rPr>
          <w:rFonts w:asciiTheme="minorHAnsi" w:hAnsiTheme="minorHAnsi" w:cstheme="minorHAnsi"/>
        </w:rPr>
        <w:t>relevant</w:t>
      </w:r>
      <w:r w:rsidR="00EF77D5">
        <w:rPr>
          <w:rFonts w:asciiTheme="minorHAnsi" w:hAnsiTheme="minorHAnsi" w:cstheme="minorHAnsi"/>
        </w:rPr>
        <w:t xml:space="preserve"> information </w:t>
      </w:r>
      <w:r w:rsidR="0042483D" w:rsidRPr="00DB7DAE">
        <w:rPr>
          <w:rFonts w:asciiTheme="minorHAnsi" w:hAnsiTheme="minorHAnsi" w:cstheme="minorHAnsi"/>
        </w:rPr>
        <w:t>in the marketplace</w:t>
      </w:r>
      <w:r w:rsidR="0042483D">
        <w:rPr>
          <w:rFonts w:asciiTheme="minorHAnsi" w:hAnsiTheme="minorHAnsi" w:cstheme="minorHAnsi"/>
        </w:rPr>
        <w:t>,</w:t>
      </w:r>
      <w:r w:rsidR="003C4C2E">
        <w:rPr>
          <w:rFonts w:asciiTheme="minorHAnsi" w:hAnsiTheme="minorHAnsi" w:cstheme="minorHAnsi"/>
        </w:rPr>
        <w:t xml:space="preserve"> supporting “the need for a low cost, high performing superannuation and retirement system.”</w:t>
      </w:r>
      <w:r w:rsidR="0042483D">
        <w:rPr>
          <w:rStyle w:val="FootnoteReference"/>
          <w:rFonts w:asciiTheme="minorHAnsi" w:hAnsiTheme="minorHAnsi" w:cstheme="minorHAnsi"/>
        </w:rPr>
        <w:footnoteReference w:id="19"/>
      </w:r>
      <w:r w:rsidR="0042483D">
        <w:rPr>
          <w:rFonts w:asciiTheme="minorHAnsi" w:hAnsiTheme="minorHAnsi" w:cstheme="minorHAnsi"/>
        </w:rPr>
        <w:t xml:space="preserve"> </w:t>
      </w:r>
      <w:r w:rsidR="00B90DCC" w:rsidRPr="00AD2220">
        <w:rPr>
          <w:rFonts w:asciiTheme="minorHAnsi" w:hAnsiTheme="minorHAnsi" w:cstheme="minorHAnsi"/>
        </w:rPr>
        <w:t xml:space="preserve"> </w:t>
      </w:r>
      <w:r w:rsidR="00503FC8" w:rsidRPr="00CA013B">
        <w:rPr>
          <w:rFonts w:asciiTheme="minorHAnsi" w:hAnsiTheme="minorHAnsi" w:cstheme="minorHAnsi"/>
        </w:rPr>
        <w:t xml:space="preserve">Accordingly the proposed regulated form of PHD under Option 3 will lift Australia from an international transparency viewpoint.  However, care should be taken in comparing Australia’s proposed regulatory PHD regime with those of other jurisdictions given that disclosure requirements for pension </w:t>
      </w:r>
      <w:r w:rsidR="00503FC8" w:rsidRPr="00913545">
        <w:rPr>
          <w:rFonts w:asciiTheme="minorHAnsi" w:hAnsiTheme="minorHAnsi" w:cstheme="minorHAnsi"/>
        </w:rPr>
        <w:t>fund</w:t>
      </w:r>
      <w:r w:rsidR="00447CCE" w:rsidRPr="00913545">
        <w:rPr>
          <w:rFonts w:asciiTheme="minorHAnsi" w:hAnsiTheme="minorHAnsi" w:cstheme="minorHAnsi"/>
        </w:rPr>
        <w:t>s</w:t>
      </w:r>
      <w:r w:rsidR="00503FC8" w:rsidRPr="00CA013B">
        <w:rPr>
          <w:rFonts w:asciiTheme="minorHAnsi" w:hAnsiTheme="minorHAnsi" w:cstheme="minorHAnsi"/>
        </w:rPr>
        <w:t xml:space="preserve"> internationally vary significantly and are generally less rigorous than equivalent regimes for mutual funds.</w:t>
      </w:r>
      <w:r w:rsidR="00503FC8" w:rsidRPr="00503FC8">
        <w:rPr>
          <w:rFonts w:asciiTheme="minorHAnsi" w:hAnsiTheme="minorHAnsi" w:cstheme="minorHAnsi"/>
        </w:rPr>
        <w:t xml:space="preserve">  </w:t>
      </w:r>
    </w:p>
    <w:p w14:paraId="0189E135" w14:textId="794E3796" w:rsidR="00241C39" w:rsidRPr="00DB7DAE" w:rsidRDefault="002B2EE5" w:rsidP="002B2EE5">
      <w:pPr>
        <w:pStyle w:val="Heading1numbered"/>
        <w:rPr>
          <w:rFonts w:asciiTheme="minorHAnsi" w:hAnsiTheme="minorHAnsi" w:cstheme="minorHAnsi"/>
          <w:sz w:val="24"/>
          <w:szCs w:val="24"/>
        </w:rPr>
      </w:pPr>
      <w:bookmarkStart w:id="7" w:name="_Toc85444568"/>
      <w:bookmarkStart w:id="8" w:name="_Toc86998884"/>
      <w:bookmarkEnd w:id="7"/>
      <w:r w:rsidRPr="00DB7DAE">
        <w:rPr>
          <w:rFonts w:asciiTheme="minorHAnsi" w:hAnsiTheme="minorHAnsi" w:cstheme="minorHAnsi"/>
          <w:sz w:val="24"/>
          <w:szCs w:val="24"/>
        </w:rPr>
        <w:lastRenderedPageBreak/>
        <w:t>How will you implement and evaluate your chosen option?</w:t>
      </w:r>
      <w:bookmarkEnd w:id="8"/>
    </w:p>
    <w:p w14:paraId="0E24C354" w14:textId="77777777" w:rsidR="000A23A7" w:rsidRPr="000A23A7" w:rsidRDefault="000A23A7" w:rsidP="000A23A7">
      <w:pPr>
        <w:rPr>
          <w:rFonts w:eastAsia="Calibri" w:cstheme="minorHAnsi"/>
          <w:sz w:val="24"/>
          <w:szCs w:val="24"/>
        </w:rPr>
      </w:pPr>
      <w:r w:rsidRPr="000A23A7">
        <w:rPr>
          <w:rFonts w:eastAsia="Calibri" w:cstheme="minorHAnsi"/>
          <w:sz w:val="24"/>
          <w:szCs w:val="24"/>
        </w:rPr>
        <w:t xml:space="preserve">The proposal will be implemented by making use of the regulation making power in the </w:t>
      </w:r>
      <w:r w:rsidRPr="00AD2220">
        <w:rPr>
          <w:rFonts w:eastAsia="Calibri" w:cstheme="minorHAnsi"/>
          <w:i/>
          <w:iCs/>
          <w:sz w:val="24"/>
          <w:szCs w:val="24"/>
        </w:rPr>
        <w:t>Corporations Act 2001</w:t>
      </w:r>
      <w:r w:rsidRPr="000A23A7">
        <w:rPr>
          <w:rFonts w:eastAsia="Calibri" w:cstheme="minorHAnsi"/>
          <w:sz w:val="24"/>
          <w:szCs w:val="24"/>
        </w:rPr>
        <w:t xml:space="preserve">. The regulations will prescribe the way in which the information is required to be organised in line with the chosen option. </w:t>
      </w:r>
    </w:p>
    <w:p w14:paraId="72D561DF" w14:textId="77777777" w:rsidR="000A23A7" w:rsidRPr="000A23A7" w:rsidRDefault="000A23A7" w:rsidP="000A23A7">
      <w:pPr>
        <w:rPr>
          <w:rFonts w:eastAsia="Calibri" w:cstheme="minorHAnsi"/>
          <w:sz w:val="24"/>
          <w:szCs w:val="24"/>
        </w:rPr>
      </w:pPr>
      <w:r w:rsidRPr="000A23A7">
        <w:rPr>
          <w:rFonts w:eastAsia="Calibri" w:cstheme="minorHAnsi"/>
          <w:sz w:val="24"/>
          <w:szCs w:val="24"/>
        </w:rPr>
        <w:t xml:space="preserve">The first reporting date is 31 December 2021, and super funds have 90 days following this date to make the information publicly available, as outlined in the existing law. The regulations will be made by the Governor-General at an appropriate Federal Executive Council meeting. </w:t>
      </w:r>
    </w:p>
    <w:p w14:paraId="6C3A02EB" w14:textId="40ACF547" w:rsidR="000A23A7" w:rsidRPr="000A23A7" w:rsidRDefault="000A23A7" w:rsidP="000A23A7">
      <w:pPr>
        <w:rPr>
          <w:rFonts w:eastAsia="Calibri" w:cstheme="minorHAnsi"/>
          <w:sz w:val="24"/>
          <w:szCs w:val="24"/>
        </w:rPr>
      </w:pPr>
      <w:r w:rsidRPr="000A23A7">
        <w:rPr>
          <w:rFonts w:eastAsia="Calibri" w:cstheme="minorHAnsi"/>
          <w:sz w:val="24"/>
          <w:szCs w:val="24"/>
        </w:rPr>
        <w:t xml:space="preserve">Compliance with the requirements of these regulations will be </w:t>
      </w:r>
      <w:r w:rsidR="002238F2">
        <w:rPr>
          <w:rFonts w:eastAsia="Calibri" w:cstheme="minorHAnsi"/>
          <w:sz w:val="24"/>
          <w:szCs w:val="24"/>
        </w:rPr>
        <w:t>overseen</w:t>
      </w:r>
      <w:r w:rsidR="002238F2" w:rsidRPr="000A23A7">
        <w:rPr>
          <w:rFonts w:eastAsia="Calibri" w:cstheme="minorHAnsi"/>
          <w:sz w:val="24"/>
          <w:szCs w:val="24"/>
        </w:rPr>
        <w:t xml:space="preserve"> </w:t>
      </w:r>
      <w:r w:rsidRPr="000A23A7">
        <w:rPr>
          <w:rFonts w:eastAsia="Calibri" w:cstheme="minorHAnsi"/>
          <w:sz w:val="24"/>
          <w:szCs w:val="24"/>
        </w:rPr>
        <w:t xml:space="preserve">by ASIC, </w:t>
      </w:r>
      <w:r w:rsidR="00F569F8" w:rsidRPr="000A23A7">
        <w:rPr>
          <w:rFonts w:eastAsia="Calibri" w:cstheme="minorHAnsi"/>
          <w:sz w:val="24"/>
          <w:szCs w:val="24"/>
        </w:rPr>
        <w:t>wh</w:t>
      </w:r>
      <w:r w:rsidR="00F569F8">
        <w:rPr>
          <w:rFonts w:eastAsia="Calibri" w:cstheme="minorHAnsi"/>
          <w:sz w:val="24"/>
          <w:szCs w:val="24"/>
        </w:rPr>
        <w:t>ich</w:t>
      </w:r>
      <w:r w:rsidR="00F569F8" w:rsidRPr="000A23A7">
        <w:rPr>
          <w:rFonts w:eastAsia="Calibri" w:cstheme="minorHAnsi"/>
          <w:sz w:val="24"/>
          <w:szCs w:val="24"/>
        </w:rPr>
        <w:t xml:space="preserve"> </w:t>
      </w:r>
      <w:r w:rsidRPr="000A23A7">
        <w:rPr>
          <w:rFonts w:eastAsia="Calibri" w:cstheme="minorHAnsi"/>
          <w:sz w:val="24"/>
          <w:szCs w:val="24"/>
        </w:rPr>
        <w:t xml:space="preserve">will communicate with trustees about the requirements as needed. </w:t>
      </w:r>
    </w:p>
    <w:p w14:paraId="1972DFD9" w14:textId="507C8EFC" w:rsidR="009A1EE3" w:rsidRDefault="000A23A7" w:rsidP="00AD2220">
      <w:pPr>
        <w:rPr>
          <w:rFonts w:eastAsia="Calibri" w:cstheme="minorHAnsi"/>
          <w:sz w:val="24"/>
          <w:szCs w:val="24"/>
        </w:rPr>
      </w:pPr>
      <w:r w:rsidRPr="000A23A7">
        <w:rPr>
          <w:rFonts w:eastAsia="Calibri" w:cstheme="minorHAnsi"/>
          <w:sz w:val="24"/>
          <w:szCs w:val="24"/>
        </w:rPr>
        <w:t xml:space="preserve">Once implemented, interested stakeholders are welcome to provide feedback to Government on the effectiveness of the disclosure obligations. The Department of Treasury will </w:t>
      </w:r>
      <w:proofErr w:type="gramStart"/>
      <w:r w:rsidRPr="000A23A7">
        <w:rPr>
          <w:rFonts w:eastAsia="Calibri" w:cstheme="minorHAnsi"/>
          <w:sz w:val="24"/>
          <w:szCs w:val="24"/>
        </w:rPr>
        <w:t>give careful consideration to</w:t>
      </w:r>
      <w:proofErr w:type="gramEnd"/>
      <w:r w:rsidRPr="000A23A7">
        <w:rPr>
          <w:rFonts w:eastAsia="Calibri" w:cstheme="minorHAnsi"/>
          <w:sz w:val="24"/>
          <w:szCs w:val="24"/>
        </w:rPr>
        <w:t xml:space="preserve"> these views, liaise with ASIC and other regulators as necessary regarding any potential implementation issues and advise Government (as required).</w:t>
      </w:r>
    </w:p>
    <w:p w14:paraId="0AE65534" w14:textId="77777777" w:rsidR="009A1EE3" w:rsidRDefault="009A1EE3">
      <w:pPr>
        <w:spacing w:after="200" w:line="276" w:lineRule="auto"/>
        <w:rPr>
          <w:rFonts w:eastAsia="Calibri" w:cstheme="minorHAnsi"/>
          <w:sz w:val="24"/>
          <w:szCs w:val="24"/>
        </w:rPr>
      </w:pPr>
      <w:r>
        <w:rPr>
          <w:rFonts w:eastAsia="Calibri" w:cstheme="minorHAnsi"/>
          <w:sz w:val="24"/>
          <w:szCs w:val="24"/>
        </w:rPr>
        <w:br w:type="page"/>
      </w:r>
    </w:p>
    <w:p w14:paraId="5716869C" w14:textId="25EF174E" w:rsidR="00C572DA" w:rsidRPr="00892F91" w:rsidRDefault="009A1EE3" w:rsidP="00892F91">
      <w:pPr>
        <w:pStyle w:val="Heading1"/>
      </w:pPr>
      <w:bookmarkStart w:id="9" w:name="_Toc86998885"/>
      <w:r w:rsidRPr="00FB76BE">
        <w:lastRenderedPageBreak/>
        <w:t>Appendix</w:t>
      </w:r>
      <w:r w:rsidR="00C572DA" w:rsidRPr="00FB76BE">
        <w:t xml:space="preserve"> A </w:t>
      </w:r>
      <w:r w:rsidR="007F62B9">
        <w:t>–</w:t>
      </w:r>
      <w:r w:rsidR="00FB76BE" w:rsidRPr="00FB76BE">
        <w:t xml:space="preserve"> </w:t>
      </w:r>
      <w:r w:rsidR="00C572DA" w:rsidRPr="00892F91">
        <w:t>Methodology and assumption</w:t>
      </w:r>
      <w:r w:rsidR="00961D6D" w:rsidRPr="00892F91">
        <w:t>s</w:t>
      </w:r>
      <w:r w:rsidRPr="00892F91">
        <w:t xml:space="preserve"> </w:t>
      </w:r>
      <w:r w:rsidR="00FB76BE" w:rsidRPr="00892F91">
        <w:t>of the regulatory cost</w:t>
      </w:r>
      <w:bookmarkEnd w:id="9"/>
    </w:p>
    <w:p w14:paraId="20CAC78E" w14:textId="73960E42" w:rsidR="00E54A2B" w:rsidRPr="00E54A2B" w:rsidRDefault="00E54A2B" w:rsidP="00C572DA">
      <w:pPr>
        <w:spacing w:after="120"/>
        <w:rPr>
          <w:rFonts w:cstheme="minorHAnsi"/>
          <w:sz w:val="24"/>
          <w:szCs w:val="24"/>
        </w:rPr>
      </w:pPr>
      <w:r w:rsidRPr="00E54A2B">
        <w:rPr>
          <w:rFonts w:eastAsia="Calibri" w:cstheme="minorHAnsi"/>
          <w:sz w:val="24"/>
          <w:szCs w:val="24"/>
        </w:rPr>
        <w:t xml:space="preserve">It is anticipated that Option </w:t>
      </w:r>
      <w:r w:rsidRPr="00E54A2B">
        <w:rPr>
          <w:rFonts w:cstheme="minorHAnsi"/>
          <w:sz w:val="24"/>
          <w:szCs w:val="24"/>
        </w:rPr>
        <w:t>2 will have a total annual compliance cost impact, averaged over 10 years, of $</w:t>
      </w:r>
      <w:r w:rsidRPr="00E54A2B" w:rsidDel="003E24A9">
        <w:rPr>
          <w:rFonts w:cstheme="minorHAnsi"/>
          <w:sz w:val="24"/>
          <w:szCs w:val="24"/>
        </w:rPr>
        <w:t>5</w:t>
      </w:r>
      <w:r w:rsidRPr="00E54A2B">
        <w:rPr>
          <w:rFonts w:cstheme="minorHAnsi"/>
          <w:sz w:val="24"/>
          <w:szCs w:val="24"/>
        </w:rPr>
        <w:t>.2</w:t>
      </w:r>
      <w:r w:rsidRPr="00E54A2B" w:rsidDel="003E24A9">
        <w:rPr>
          <w:rFonts w:cstheme="minorHAnsi"/>
          <w:sz w:val="24"/>
          <w:szCs w:val="24"/>
        </w:rPr>
        <w:t xml:space="preserve"> </w:t>
      </w:r>
      <w:r w:rsidRPr="00E54A2B">
        <w:rPr>
          <w:rFonts w:cstheme="minorHAnsi"/>
          <w:sz w:val="24"/>
          <w:szCs w:val="24"/>
        </w:rPr>
        <w:t xml:space="preserve">million to business. These primarily relate to a combination of start-up costs and ongoing costs associated with understanding and then meeting the PHD requirements.  </w:t>
      </w:r>
    </w:p>
    <w:p w14:paraId="59C5DEB1" w14:textId="03C1118C" w:rsidR="00C572DA" w:rsidRPr="003269C0" w:rsidRDefault="00C572DA" w:rsidP="00C572DA">
      <w:pPr>
        <w:spacing w:after="120"/>
        <w:rPr>
          <w:rFonts w:cstheme="minorHAnsi"/>
          <w:sz w:val="24"/>
          <w:szCs w:val="24"/>
        </w:rPr>
      </w:pPr>
      <w:r w:rsidRPr="003269C0">
        <w:rPr>
          <w:rFonts w:cstheme="minorHAnsi"/>
          <w:sz w:val="24"/>
          <w:szCs w:val="24"/>
        </w:rPr>
        <w:t>In the first year, the costs are estimated to be $</w:t>
      </w:r>
      <w:r w:rsidR="00091652">
        <w:rPr>
          <w:rFonts w:cstheme="minorHAnsi"/>
          <w:sz w:val="24"/>
          <w:szCs w:val="24"/>
        </w:rPr>
        <w:t>12.3</w:t>
      </w:r>
      <w:r w:rsidRPr="003269C0">
        <w:rPr>
          <w:rFonts w:cstheme="minorHAnsi"/>
          <w:sz w:val="24"/>
          <w:szCs w:val="24"/>
        </w:rPr>
        <w:t xml:space="preserve"> million and include costs associated with:</w:t>
      </w:r>
    </w:p>
    <w:p w14:paraId="16FD0971" w14:textId="77777777" w:rsidR="00C572DA" w:rsidRPr="003269C0" w:rsidRDefault="00C572DA" w:rsidP="00C572DA">
      <w:pPr>
        <w:pStyle w:val="Bullet"/>
        <w:rPr>
          <w:sz w:val="24"/>
          <w:szCs w:val="24"/>
        </w:rPr>
      </w:pPr>
      <w:r w:rsidRPr="003269C0">
        <w:rPr>
          <w:sz w:val="24"/>
          <w:szCs w:val="24"/>
        </w:rPr>
        <w:t>Legal advice</w:t>
      </w:r>
      <w:r>
        <w:rPr>
          <w:sz w:val="24"/>
          <w:szCs w:val="24"/>
        </w:rPr>
        <w:t xml:space="preserve"> on how to implement the new regulations</w:t>
      </w:r>
      <w:r w:rsidRPr="003269C0">
        <w:rPr>
          <w:sz w:val="24"/>
          <w:szCs w:val="24"/>
        </w:rPr>
        <w:t xml:space="preserve"> ($</w:t>
      </w:r>
      <w:r>
        <w:rPr>
          <w:sz w:val="24"/>
          <w:szCs w:val="24"/>
        </w:rPr>
        <w:t>0.8 million</w:t>
      </w:r>
      <w:proofErr w:type="gramStart"/>
      <w:r w:rsidRPr="003269C0">
        <w:rPr>
          <w:sz w:val="24"/>
          <w:szCs w:val="24"/>
        </w:rPr>
        <w:t>);</w:t>
      </w:r>
      <w:proofErr w:type="gramEnd"/>
    </w:p>
    <w:p w14:paraId="045FDF10" w14:textId="5CC2B47E" w:rsidR="00C572DA" w:rsidRPr="003269C0" w:rsidRDefault="00C572DA" w:rsidP="00C572DA">
      <w:pPr>
        <w:pStyle w:val="Bullet"/>
        <w:rPr>
          <w:sz w:val="24"/>
          <w:szCs w:val="24"/>
        </w:rPr>
      </w:pPr>
      <w:r>
        <w:rPr>
          <w:sz w:val="24"/>
          <w:szCs w:val="24"/>
        </w:rPr>
        <w:t xml:space="preserve">Investment in internal practices to collect and process data and capital investment in </w:t>
      </w:r>
      <w:r w:rsidRPr="003269C0">
        <w:rPr>
          <w:sz w:val="24"/>
          <w:szCs w:val="24"/>
        </w:rPr>
        <w:t>IT</w:t>
      </w:r>
      <w:r>
        <w:rPr>
          <w:sz w:val="24"/>
          <w:szCs w:val="24"/>
        </w:rPr>
        <w:t> systems</w:t>
      </w:r>
      <w:r w:rsidR="00091652">
        <w:rPr>
          <w:sz w:val="24"/>
          <w:szCs w:val="24"/>
        </w:rPr>
        <w:t>, along with costs to ensure compatibility with sourcing data from third party service providers</w:t>
      </w:r>
      <w:r>
        <w:rPr>
          <w:sz w:val="24"/>
          <w:szCs w:val="24"/>
        </w:rPr>
        <w:t xml:space="preserve"> </w:t>
      </w:r>
      <w:r w:rsidRPr="003269C0">
        <w:rPr>
          <w:sz w:val="24"/>
          <w:szCs w:val="24"/>
        </w:rPr>
        <w:t>($</w:t>
      </w:r>
      <w:r w:rsidR="00091652">
        <w:rPr>
          <w:sz w:val="24"/>
          <w:szCs w:val="24"/>
        </w:rPr>
        <w:t>5.6</w:t>
      </w:r>
      <w:r>
        <w:rPr>
          <w:sz w:val="24"/>
          <w:szCs w:val="24"/>
        </w:rPr>
        <w:t xml:space="preserve"> million</w:t>
      </w:r>
      <w:proofErr w:type="gramStart"/>
      <w:r w:rsidRPr="003269C0">
        <w:rPr>
          <w:sz w:val="24"/>
          <w:szCs w:val="24"/>
        </w:rPr>
        <w:t>);</w:t>
      </w:r>
      <w:proofErr w:type="gramEnd"/>
    </w:p>
    <w:p w14:paraId="6CFD2654" w14:textId="5DC165AD" w:rsidR="00C572DA" w:rsidRPr="003269C0" w:rsidRDefault="00C572DA" w:rsidP="00176134">
      <w:pPr>
        <w:pStyle w:val="Bullet"/>
        <w:rPr>
          <w:sz w:val="24"/>
          <w:szCs w:val="24"/>
        </w:rPr>
      </w:pPr>
      <w:r>
        <w:rPr>
          <w:sz w:val="24"/>
          <w:szCs w:val="24"/>
        </w:rPr>
        <w:t>T</w:t>
      </w:r>
      <w:r w:rsidRPr="003269C0">
        <w:rPr>
          <w:sz w:val="24"/>
          <w:szCs w:val="24"/>
        </w:rPr>
        <w:t xml:space="preserve">raining </w:t>
      </w:r>
      <w:r>
        <w:rPr>
          <w:sz w:val="24"/>
          <w:szCs w:val="24"/>
        </w:rPr>
        <w:t xml:space="preserve">and time for </w:t>
      </w:r>
      <w:r w:rsidR="009E4580">
        <w:rPr>
          <w:sz w:val="24"/>
          <w:szCs w:val="24"/>
        </w:rPr>
        <w:t xml:space="preserve">the </w:t>
      </w:r>
      <w:r>
        <w:rPr>
          <w:sz w:val="24"/>
          <w:szCs w:val="24"/>
        </w:rPr>
        <w:t xml:space="preserve">executive team, trustee directors and staff to understand the new obligations </w:t>
      </w:r>
      <w:r w:rsidRPr="003269C0">
        <w:rPr>
          <w:sz w:val="24"/>
          <w:szCs w:val="24"/>
        </w:rPr>
        <w:t>($1</w:t>
      </w:r>
      <w:r>
        <w:rPr>
          <w:sz w:val="24"/>
          <w:szCs w:val="24"/>
        </w:rPr>
        <w:t>.</w:t>
      </w:r>
      <w:r w:rsidR="00091652">
        <w:rPr>
          <w:sz w:val="24"/>
          <w:szCs w:val="24"/>
        </w:rPr>
        <w:t>5</w:t>
      </w:r>
      <w:r>
        <w:rPr>
          <w:sz w:val="24"/>
          <w:szCs w:val="24"/>
        </w:rPr>
        <w:t xml:space="preserve"> million</w:t>
      </w:r>
      <w:r w:rsidRPr="003269C0">
        <w:rPr>
          <w:sz w:val="24"/>
          <w:szCs w:val="24"/>
        </w:rPr>
        <w:t xml:space="preserve">); </w:t>
      </w:r>
      <w:r w:rsidR="008250C6">
        <w:rPr>
          <w:sz w:val="24"/>
          <w:szCs w:val="24"/>
        </w:rPr>
        <w:t xml:space="preserve">and </w:t>
      </w:r>
    </w:p>
    <w:p w14:paraId="0C83D254" w14:textId="1677AA80" w:rsidR="00C572DA" w:rsidRPr="003269C0" w:rsidRDefault="00C572DA" w:rsidP="00176134">
      <w:pPr>
        <w:pStyle w:val="Bullet"/>
        <w:spacing w:after="240"/>
        <w:ind w:left="522" w:hanging="522"/>
        <w:rPr>
          <w:sz w:val="24"/>
          <w:szCs w:val="24"/>
        </w:rPr>
      </w:pPr>
      <w:r w:rsidRPr="003269C0">
        <w:rPr>
          <w:sz w:val="24"/>
          <w:szCs w:val="24"/>
        </w:rPr>
        <w:t>Assessment</w:t>
      </w:r>
      <w:r>
        <w:rPr>
          <w:sz w:val="24"/>
          <w:szCs w:val="24"/>
        </w:rPr>
        <w:t xml:space="preserve"> and reporting of portfolio holdings</w:t>
      </w:r>
      <w:r w:rsidRPr="003269C0">
        <w:rPr>
          <w:sz w:val="24"/>
          <w:szCs w:val="24"/>
        </w:rPr>
        <w:t xml:space="preserve"> and record keeping (</w:t>
      </w:r>
      <w:r w:rsidRPr="003269C0">
        <w:rPr>
          <w:rFonts w:eastAsia="Calibri" w:cs="Calibri"/>
          <w:sz w:val="24"/>
          <w:szCs w:val="24"/>
        </w:rPr>
        <w:t>$4</w:t>
      </w:r>
      <w:r>
        <w:rPr>
          <w:rFonts w:eastAsia="Calibri" w:cs="Calibri"/>
          <w:sz w:val="24"/>
          <w:szCs w:val="24"/>
        </w:rPr>
        <w:t>.</w:t>
      </w:r>
      <w:r w:rsidR="00091652">
        <w:rPr>
          <w:rFonts w:eastAsia="Calibri" w:cs="Calibri"/>
          <w:sz w:val="24"/>
          <w:szCs w:val="24"/>
        </w:rPr>
        <w:t>4</w:t>
      </w:r>
      <w:r>
        <w:rPr>
          <w:rFonts w:eastAsia="Calibri" w:cs="Calibri"/>
          <w:sz w:val="24"/>
          <w:szCs w:val="24"/>
        </w:rPr>
        <w:t xml:space="preserve"> million</w:t>
      </w:r>
      <w:r w:rsidRPr="003269C0">
        <w:rPr>
          <w:rFonts w:eastAsia="Calibri" w:cs="Calibri"/>
          <w:sz w:val="24"/>
          <w:szCs w:val="24"/>
        </w:rPr>
        <w:t>)</w:t>
      </w:r>
      <w:r w:rsidRPr="003269C0">
        <w:rPr>
          <w:sz w:val="24"/>
          <w:szCs w:val="24"/>
        </w:rPr>
        <w:t xml:space="preserve">.  </w:t>
      </w:r>
    </w:p>
    <w:p w14:paraId="38289438" w14:textId="07D4BB22" w:rsidR="00C572DA" w:rsidRPr="00176134" w:rsidRDefault="00C572DA" w:rsidP="00176134">
      <w:pPr>
        <w:spacing w:after="120"/>
        <w:rPr>
          <w:rFonts w:eastAsia="Calibri" w:cstheme="minorHAnsi"/>
          <w:sz w:val="24"/>
          <w:szCs w:val="24"/>
        </w:rPr>
      </w:pPr>
      <w:r w:rsidRPr="00176134">
        <w:rPr>
          <w:rFonts w:eastAsia="Calibri" w:cstheme="minorHAnsi"/>
          <w:sz w:val="24"/>
          <w:szCs w:val="24"/>
        </w:rPr>
        <w:t>For each year thereafter, the ongoing costs are estimated to be $4.</w:t>
      </w:r>
      <w:r w:rsidR="00091652" w:rsidRPr="00176134">
        <w:rPr>
          <w:rFonts w:eastAsia="Calibri" w:cstheme="minorHAnsi"/>
          <w:sz w:val="24"/>
          <w:szCs w:val="24"/>
        </w:rPr>
        <w:t>4</w:t>
      </w:r>
      <w:r w:rsidRPr="00176134">
        <w:rPr>
          <w:rFonts w:eastAsia="Calibri" w:cstheme="minorHAnsi"/>
          <w:sz w:val="24"/>
          <w:szCs w:val="24"/>
        </w:rPr>
        <w:t xml:space="preserve"> million per year for ongoing assessment, reporting and record keeping.  </w:t>
      </w:r>
    </w:p>
    <w:p w14:paraId="07CAE890" w14:textId="36AF4608" w:rsidR="00C572DA" w:rsidRPr="00176134" w:rsidRDefault="00C572DA" w:rsidP="00176134">
      <w:pPr>
        <w:spacing w:after="120"/>
        <w:rPr>
          <w:rFonts w:eastAsia="Calibri" w:cstheme="minorHAnsi"/>
          <w:sz w:val="24"/>
          <w:szCs w:val="24"/>
        </w:rPr>
      </w:pPr>
      <w:r w:rsidRPr="00176134">
        <w:rPr>
          <w:rFonts w:eastAsia="Calibri" w:cstheme="minorHAnsi"/>
          <w:sz w:val="24"/>
          <w:szCs w:val="24"/>
        </w:rPr>
        <w:t>This brings the total cost over 10 years to $52 million, and an average annual cost over 10 years of $5.2 million.</w:t>
      </w:r>
    </w:p>
    <w:p w14:paraId="47188788" w14:textId="47F38E03" w:rsidR="00091652" w:rsidRDefault="00C572DA" w:rsidP="00176134">
      <w:pPr>
        <w:spacing w:after="120"/>
        <w:rPr>
          <w:rFonts w:ascii="Calibri" w:eastAsia="Calibri" w:hAnsi="Calibri" w:cs="Calibri"/>
          <w:sz w:val="24"/>
          <w:szCs w:val="24"/>
        </w:rPr>
      </w:pPr>
      <w:r w:rsidRPr="00176134">
        <w:rPr>
          <w:rFonts w:eastAsia="Calibri" w:cstheme="minorHAnsi"/>
          <w:sz w:val="24"/>
          <w:szCs w:val="24"/>
        </w:rPr>
        <w:t xml:space="preserve">These costs estimates </w:t>
      </w:r>
      <w:r w:rsidR="00091652" w:rsidRPr="00176134">
        <w:rPr>
          <w:rFonts w:eastAsia="Calibri" w:cstheme="minorHAnsi"/>
          <w:sz w:val="24"/>
          <w:szCs w:val="24"/>
        </w:rPr>
        <w:t xml:space="preserve">are based on </w:t>
      </w:r>
      <w:r w:rsidR="00956CD3" w:rsidRPr="00176134">
        <w:rPr>
          <w:rFonts w:eastAsia="Calibri" w:cstheme="minorHAnsi"/>
          <w:sz w:val="24"/>
          <w:szCs w:val="24"/>
        </w:rPr>
        <w:t>156 superannuation funds</w:t>
      </w:r>
      <w:r w:rsidR="00487F57" w:rsidRPr="00176134">
        <w:rPr>
          <w:rFonts w:eastAsia="Calibri" w:cstheme="minorHAnsi"/>
          <w:sz w:val="24"/>
          <w:szCs w:val="24"/>
        </w:rPr>
        <w:t xml:space="preserve"> </w:t>
      </w:r>
      <w:proofErr w:type="gramStart"/>
      <w:r w:rsidR="00487F57" w:rsidRPr="00176134">
        <w:rPr>
          <w:rFonts w:eastAsia="Calibri" w:cstheme="minorHAnsi"/>
          <w:sz w:val="24"/>
          <w:szCs w:val="24"/>
        </w:rPr>
        <w:t>at</w:t>
      </w:r>
      <w:proofErr w:type="gramEnd"/>
      <w:r w:rsidR="00487F57" w:rsidRPr="00176134">
        <w:rPr>
          <w:rFonts w:eastAsia="Calibri" w:cstheme="minorHAnsi"/>
          <w:sz w:val="24"/>
          <w:szCs w:val="24"/>
        </w:rPr>
        <w:t xml:space="preserve"> 30 June 2021</w:t>
      </w:r>
      <w:r w:rsidR="00D10251" w:rsidRPr="00176134">
        <w:rPr>
          <w:rFonts w:cstheme="minorHAnsi"/>
          <w:vertAlign w:val="superscript"/>
        </w:rPr>
        <w:footnoteReference w:id="20"/>
      </w:r>
      <w:r w:rsidR="00D10251" w:rsidRPr="00176134">
        <w:rPr>
          <w:rFonts w:eastAsia="Calibri" w:cstheme="minorHAnsi"/>
          <w:sz w:val="24"/>
          <w:szCs w:val="24"/>
        </w:rPr>
        <w:t xml:space="preserve"> </w:t>
      </w:r>
      <w:r w:rsidR="009E4580" w:rsidRPr="00176134">
        <w:rPr>
          <w:rFonts w:eastAsia="Calibri" w:cstheme="minorHAnsi"/>
          <w:sz w:val="24"/>
          <w:szCs w:val="24"/>
        </w:rPr>
        <w:t>and with</w:t>
      </w:r>
      <w:r w:rsidR="00956CD3">
        <w:rPr>
          <w:rFonts w:ascii="Calibri" w:eastAsia="Calibri" w:hAnsi="Calibri" w:cs="Calibri"/>
          <w:sz w:val="24"/>
          <w:szCs w:val="24"/>
        </w:rPr>
        <w:t xml:space="preserve"> the following </w:t>
      </w:r>
      <w:r w:rsidR="009E4580">
        <w:rPr>
          <w:rFonts w:ascii="Calibri" w:eastAsia="Calibri" w:hAnsi="Calibri" w:cs="Calibri"/>
          <w:sz w:val="24"/>
          <w:szCs w:val="24"/>
        </w:rPr>
        <w:t>assumptions</w:t>
      </w:r>
      <w:r w:rsidR="00091652">
        <w:rPr>
          <w:rFonts w:ascii="Calibri" w:eastAsia="Calibri" w:hAnsi="Calibri" w:cs="Calibri"/>
          <w:sz w:val="24"/>
          <w:szCs w:val="24"/>
        </w:rPr>
        <w:t>:</w:t>
      </w:r>
    </w:p>
    <w:p w14:paraId="7D36A078" w14:textId="659BDD02" w:rsidR="00091652" w:rsidRPr="00892F91" w:rsidRDefault="00091652">
      <w:pPr>
        <w:pStyle w:val="Bullet"/>
        <w:rPr>
          <w:sz w:val="24"/>
          <w:szCs w:val="24"/>
        </w:rPr>
      </w:pPr>
      <w:r w:rsidRPr="00892F91">
        <w:rPr>
          <w:sz w:val="24"/>
          <w:szCs w:val="24"/>
        </w:rPr>
        <w:t>10 hours of legal advice at $500 per hour</w:t>
      </w:r>
      <w:r w:rsidR="00487F57">
        <w:rPr>
          <w:sz w:val="24"/>
          <w:szCs w:val="24"/>
        </w:rPr>
        <w:t xml:space="preserve"> inclusive of GST.</w:t>
      </w:r>
    </w:p>
    <w:p w14:paraId="1B0EE92F" w14:textId="05E32DDE" w:rsidR="00956CD3" w:rsidRDefault="00091652">
      <w:pPr>
        <w:pStyle w:val="Bullet"/>
        <w:rPr>
          <w:sz w:val="24"/>
          <w:szCs w:val="24"/>
        </w:rPr>
      </w:pPr>
      <w:r w:rsidRPr="00892F91">
        <w:rPr>
          <w:sz w:val="24"/>
          <w:szCs w:val="24"/>
        </w:rPr>
        <w:t xml:space="preserve">$36,000 in </w:t>
      </w:r>
      <w:r w:rsidR="00444A1F">
        <w:rPr>
          <w:sz w:val="24"/>
          <w:szCs w:val="24"/>
        </w:rPr>
        <w:t xml:space="preserve">estimated average </w:t>
      </w:r>
      <w:r w:rsidRPr="00892F91">
        <w:rPr>
          <w:sz w:val="24"/>
          <w:szCs w:val="24"/>
        </w:rPr>
        <w:t>upfront costs</w:t>
      </w:r>
      <w:r w:rsidR="00956CD3" w:rsidRPr="00892F91">
        <w:rPr>
          <w:sz w:val="24"/>
          <w:szCs w:val="24"/>
        </w:rPr>
        <w:t xml:space="preserve"> </w:t>
      </w:r>
      <w:r w:rsidRPr="00892F91">
        <w:rPr>
          <w:sz w:val="24"/>
          <w:szCs w:val="24"/>
        </w:rPr>
        <w:t xml:space="preserve">to undertake </w:t>
      </w:r>
      <w:r w:rsidR="00956CD3" w:rsidRPr="00892F91">
        <w:rPr>
          <w:sz w:val="24"/>
          <w:szCs w:val="24"/>
        </w:rPr>
        <w:t xml:space="preserve">basic </w:t>
      </w:r>
      <w:r w:rsidRPr="00892F91">
        <w:rPr>
          <w:sz w:val="24"/>
          <w:szCs w:val="24"/>
        </w:rPr>
        <w:t xml:space="preserve">upgrades to systems and software inclusive of 20 hours of IT Consulting services at </w:t>
      </w:r>
      <w:r w:rsidR="00444A1F">
        <w:rPr>
          <w:sz w:val="24"/>
          <w:szCs w:val="24"/>
        </w:rPr>
        <w:t xml:space="preserve">an estimated </w:t>
      </w:r>
      <w:r w:rsidRPr="00892F91">
        <w:rPr>
          <w:sz w:val="24"/>
          <w:szCs w:val="24"/>
        </w:rPr>
        <w:t xml:space="preserve">$300 </w:t>
      </w:r>
      <w:r w:rsidR="00E72BFD">
        <w:rPr>
          <w:sz w:val="24"/>
          <w:szCs w:val="24"/>
        </w:rPr>
        <w:t xml:space="preserve">per </w:t>
      </w:r>
      <w:r w:rsidRPr="00892F91">
        <w:rPr>
          <w:sz w:val="24"/>
          <w:szCs w:val="24"/>
        </w:rPr>
        <w:t>hour</w:t>
      </w:r>
      <w:r w:rsidR="00D10251">
        <w:rPr>
          <w:sz w:val="24"/>
          <w:szCs w:val="24"/>
        </w:rPr>
        <w:t xml:space="preserve"> inclusive of GST</w:t>
      </w:r>
      <w:r w:rsidRPr="00892F91">
        <w:rPr>
          <w:sz w:val="24"/>
          <w:szCs w:val="24"/>
        </w:rPr>
        <w:t xml:space="preserve">. </w:t>
      </w:r>
    </w:p>
    <w:p w14:paraId="776356F7" w14:textId="3D68455D" w:rsidR="00444A1F" w:rsidRPr="00892F91" w:rsidRDefault="00444A1F" w:rsidP="00176134">
      <w:pPr>
        <w:pStyle w:val="Dash"/>
        <w:spacing w:after="120"/>
        <w:ind w:left="1185" w:hanging="663"/>
        <w:rPr>
          <w:sz w:val="24"/>
          <w:szCs w:val="24"/>
        </w:rPr>
      </w:pPr>
      <w:r w:rsidRPr="00892F91">
        <w:rPr>
          <w:rFonts w:ascii="Calibri" w:hAnsi="Calibri"/>
          <w:color w:val="000000" w:themeColor="text1"/>
          <w:sz w:val="24"/>
          <w:szCs w:val="24"/>
        </w:rPr>
        <w:t xml:space="preserve">This is an estimated average across each super fund. Some funds may spend </w:t>
      </w:r>
      <w:r w:rsidR="006F11D6" w:rsidRPr="00444A1F">
        <w:rPr>
          <w:rFonts w:ascii="Calibri" w:hAnsi="Calibri"/>
          <w:color w:val="000000" w:themeColor="text1"/>
          <w:sz w:val="24"/>
          <w:szCs w:val="24"/>
        </w:rPr>
        <w:t>more,</w:t>
      </w:r>
      <w:r w:rsidRPr="00892F91">
        <w:rPr>
          <w:rFonts w:ascii="Calibri" w:hAnsi="Calibri"/>
          <w:color w:val="000000" w:themeColor="text1"/>
          <w:sz w:val="24"/>
          <w:szCs w:val="24"/>
        </w:rPr>
        <w:t xml:space="preserve"> and some funds may spend less depending on </w:t>
      </w:r>
      <w:r w:rsidR="006F11D6">
        <w:rPr>
          <w:rFonts w:ascii="Calibri" w:hAnsi="Calibri"/>
          <w:color w:val="000000" w:themeColor="text1"/>
          <w:sz w:val="24"/>
          <w:szCs w:val="24"/>
        </w:rPr>
        <w:t xml:space="preserve">the size of the fund and how the </w:t>
      </w:r>
      <w:r w:rsidR="006F11D6" w:rsidRPr="00996D72">
        <w:rPr>
          <w:rFonts w:ascii="Calibri" w:hAnsi="Calibri"/>
          <w:color w:val="000000" w:themeColor="text1"/>
          <w:sz w:val="24"/>
          <w:szCs w:val="24"/>
        </w:rPr>
        <w:t>investment vehicles</w:t>
      </w:r>
      <w:r w:rsidR="006F11D6">
        <w:rPr>
          <w:rFonts w:ascii="Calibri" w:hAnsi="Calibri"/>
          <w:color w:val="000000" w:themeColor="text1"/>
          <w:sz w:val="24"/>
          <w:szCs w:val="24"/>
        </w:rPr>
        <w:t xml:space="preserve"> are structured. </w:t>
      </w:r>
      <w:r w:rsidRPr="00892F91">
        <w:rPr>
          <w:rFonts w:ascii="Calibri" w:hAnsi="Calibri"/>
          <w:color w:val="000000" w:themeColor="text1"/>
          <w:sz w:val="24"/>
          <w:szCs w:val="24"/>
        </w:rPr>
        <w:t xml:space="preserve"> </w:t>
      </w:r>
    </w:p>
    <w:p w14:paraId="3C4D7273" w14:textId="6C1793A5" w:rsidR="00956CD3" w:rsidRPr="00892F91" w:rsidRDefault="00956CD3">
      <w:pPr>
        <w:pStyle w:val="Bullet"/>
        <w:rPr>
          <w:sz w:val="24"/>
          <w:szCs w:val="24"/>
        </w:rPr>
      </w:pPr>
      <w:r w:rsidRPr="00892F91">
        <w:rPr>
          <w:sz w:val="24"/>
          <w:szCs w:val="24"/>
        </w:rPr>
        <w:t>10 Executives and 9 Directors each undertake 2 hours of training</w:t>
      </w:r>
      <w:r w:rsidR="00D10251">
        <w:rPr>
          <w:sz w:val="24"/>
          <w:szCs w:val="24"/>
        </w:rPr>
        <w:t xml:space="preserve">. </w:t>
      </w:r>
    </w:p>
    <w:p w14:paraId="30E8D4EB" w14:textId="77777777" w:rsidR="00B90B48" w:rsidRDefault="00D10251" w:rsidP="00176134">
      <w:pPr>
        <w:pStyle w:val="Dash"/>
        <w:spacing w:after="120"/>
        <w:ind w:left="1185" w:hanging="663"/>
        <w:rPr>
          <w:rFonts w:asciiTheme="minorHAnsi" w:hAnsiTheme="minorHAnsi" w:cstheme="minorHAnsi"/>
          <w:color w:val="auto"/>
          <w:sz w:val="24"/>
          <w:szCs w:val="24"/>
        </w:rPr>
      </w:pPr>
      <w:r>
        <w:rPr>
          <w:rFonts w:asciiTheme="minorHAnsi" w:hAnsiTheme="minorHAnsi" w:cstheme="minorHAnsi"/>
          <w:color w:val="auto"/>
          <w:sz w:val="24"/>
          <w:szCs w:val="24"/>
        </w:rPr>
        <w:t>Australian Bureau of Statistics (ABS) data</w:t>
      </w:r>
      <w:r>
        <w:rPr>
          <w:rStyle w:val="FootnoteReference"/>
          <w:rFonts w:asciiTheme="minorHAnsi" w:hAnsiTheme="minorHAnsi" w:cstheme="minorHAnsi"/>
          <w:color w:val="auto"/>
          <w:sz w:val="24"/>
          <w:szCs w:val="24"/>
        </w:rPr>
        <w:footnoteReference w:id="21"/>
      </w:r>
      <w:r>
        <w:rPr>
          <w:rFonts w:asciiTheme="minorHAnsi" w:hAnsiTheme="minorHAnsi" w:cstheme="minorHAnsi"/>
          <w:color w:val="auto"/>
          <w:sz w:val="24"/>
          <w:szCs w:val="24"/>
        </w:rPr>
        <w:t xml:space="preserve"> is used for earnings of managers. </w:t>
      </w:r>
    </w:p>
    <w:p w14:paraId="4C555CEB" w14:textId="68E4FB89" w:rsidR="00B90B48" w:rsidRDefault="00D10251" w:rsidP="00176134">
      <w:pPr>
        <w:pStyle w:val="Dash"/>
        <w:spacing w:after="120"/>
        <w:ind w:left="1185" w:hanging="663"/>
        <w:rPr>
          <w:rFonts w:asciiTheme="minorHAnsi" w:hAnsiTheme="minorHAnsi" w:cstheme="minorHAnsi"/>
          <w:color w:val="auto"/>
          <w:sz w:val="24"/>
          <w:szCs w:val="24"/>
        </w:rPr>
      </w:pPr>
      <w:r>
        <w:rPr>
          <w:rFonts w:asciiTheme="minorHAnsi" w:hAnsiTheme="minorHAnsi" w:cstheme="minorHAnsi"/>
          <w:color w:val="auto"/>
          <w:sz w:val="24"/>
          <w:szCs w:val="24"/>
        </w:rPr>
        <w:t>The 90</w:t>
      </w:r>
      <w:r w:rsidRPr="00892F91">
        <w:rPr>
          <w:rFonts w:asciiTheme="minorHAnsi" w:hAnsiTheme="minorHAnsi" w:cstheme="minorHAnsi"/>
          <w:color w:val="auto"/>
          <w:sz w:val="24"/>
          <w:szCs w:val="24"/>
          <w:vertAlign w:val="superscript"/>
        </w:rPr>
        <w:t>th</w:t>
      </w:r>
      <w:r>
        <w:rPr>
          <w:rFonts w:asciiTheme="minorHAnsi" w:hAnsiTheme="minorHAnsi" w:cstheme="minorHAnsi"/>
          <w:color w:val="auto"/>
          <w:sz w:val="24"/>
          <w:szCs w:val="24"/>
        </w:rPr>
        <w:t xml:space="preserve"> percentile rate is applied for </w:t>
      </w:r>
      <w:r w:rsidR="00B90B48">
        <w:rPr>
          <w:rFonts w:asciiTheme="minorHAnsi" w:hAnsiTheme="minorHAnsi" w:cstheme="minorHAnsi"/>
          <w:color w:val="auto"/>
          <w:sz w:val="24"/>
          <w:szCs w:val="24"/>
        </w:rPr>
        <w:t>E</w:t>
      </w:r>
      <w:r>
        <w:rPr>
          <w:rFonts w:asciiTheme="minorHAnsi" w:hAnsiTheme="minorHAnsi" w:cstheme="minorHAnsi"/>
          <w:color w:val="auto"/>
          <w:sz w:val="24"/>
          <w:szCs w:val="24"/>
        </w:rPr>
        <w:t>xecutives at $107.06 per hour</w:t>
      </w:r>
      <w:r w:rsidR="00B90B48">
        <w:rPr>
          <w:rFonts w:asciiTheme="minorHAnsi" w:hAnsiTheme="minorHAnsi" w:cstheme="minorHAnsi"/>
          <w:color w:val="auto"/>
          <w:sz w:val="24"/>
          <w:szCs w:val="24"/>
        </w:rPr>
        <w:t>.</w:t>
      </w:r>
    </w:p>
    <w:p w14:paraId="1C8DB16F" w14:textId="228634B8" w:rsidR="00B90B48" w:rsidRDefault="00B90B48" w:rsidP="00176134">
      <w:pPr>
        <w:pStyle w:val="Dash"/>
        <w:spacing w:after="120"/>
        <w:ind w:left="1185" w:hanging="663"/>
        <w:rPr>
          <w:rFonts w:asciiTheme="minorHAnsi" w:hAnsiTheme="minorHAnsi" w:cstheme="minorHAnsi"/>
          <w:color w:val="auto"/>
          <w:sz w:val="24"/>
          <w:szCs w:val="24"/>
        </w:rPr>
      </w:pPr>
      <w:r>
        <w:rPr>
          <w:rFonts w:asciiTheme="minorHAnsi" w:hAnsiTheme="minorHAnsi" w:cstheme="minorHAnsi"/>
          <w:color w:val="auto"/>
          <w:sz w:val="24"/>
          <w:szCs w:val="24"/>
        </w:rPr>
        <w:t>T</w:t>
      </w:r>
      <w:r w:rsidR="00D10251">
        <w:rPr>
          <w:rFonts w:asciiTheme="minorHAnsi" w:hAnsiTheme="minorHAnsi" w:cstheme="minorHAnsi"/>
          <w:color w:val="auto"/>
          <w:sz w:val="24"/>
          <w:szCs w:val="24"/>
        </w:rPr>
        <w:t>he 75</w:t>
      </w:r>
      <w:r w:rsidR="00D10251" w:rsidRPr="00892F91">
        <w:rPr>
          <w:rFonts w:asciiTheme="minorHAnsi" w:hAnsiTheme="minorHAnsi" w:cstheme="minorHAnsi"/>
          <w:color w:val="auto"/>
          <w:sz w:val="24"/>
          <w:szCs w:val="24"/>
          <w:vertAlign w:val="superscript"/>
        </w:rPr>
        <w:t>th</w:t>
      </w:r>
      <w:r w:rsidR="00D10251">
        <w:rPr>
          <w:rFonts w:asciiTheme="minorHAnsi" w:hAnsiTheme="minorHAnsi" w:cstheme="minorHAnsi"/>
          <w:color w:val="auto"/>
          <w:sz w:val="24"/>
          <w:szCs w:val="24"/>
        </w:rPr>
        <w:t xml:space="preserve"> percentile is rate is applied for </w:t>
      </w:r>
      <w:r>
        <w:rPr>
          <w:rFonts w:asciiTheme="minorHAnsi" w:hAnsiTheme="minorHAnsi" w:cstheme="minorHAnsi"/>
          <w:color w:val="auto"/>
          <w:sz w:val="24"/>
          <w:szCs w:val="24"/>
        </w:rPr>
        <w:t>D</w:t>
      </w:r>
      <w:r w:rsidR="00D10251">
        <w:rPr>
          <w:rFonts w:asciiTheme="minorHAnsi" w:hAnsiTheme="minorHAnsi" w:cstheme="minorHAnsi"/>
          <w:color w:val="auto"/>
          <w:sz w:val="24"/>
          <w:szCs w:val="24"/>
        </w:rPr>
        <w:t xml:space="preserve">irectors at $74.44 per hour. </w:t>
      </w:r>
    </w:p>
    <w:p w14:paraId="62A25B3B" w14:textId="535867DF" w:rsidR="00956CD3" w:rsidRDefault="00D10251" w:rsidP="00176134">
      <w:pPr>
        <w:pStyle w:val="Dash"/>
        <w:spacing w:after="120"/>
        <w:ind w:left="1185" w:hanging="663"/>
        <w:rPr>
          <w:rFonts w:asciiTheme="minorHAnsi" w:hAnsiTheme="minorHAnsi" w:cstheme="minorHAnsi"/>
          <w:color w:val="auto"/>
          <w:sz w:val="24"/>
          <w:szCs w:val="24"/>
        </w:rPr>
      </w:pPr>
      <w:r>
        <w:rPr>
          <w:rFonts w:asciiTheme="minorHAnsi" w:hAnsiTheme="minorHAnsi" w:cstheme="minorHAnsi"/>
          <w:color w:val="auto"/>
          <w:sz w:val="24"/>
          <w:szCs w:val="24"/>
        </w:rPr>
        <w:t xml:space="preserve">These rates are multiplied by 1.75 to account for overhead costs.   </w:t>
      </w:r>
    </w:p>
    <w:p w14:paraId="4B6245D8" w14:textId="77777777" w:rsidR="00B90B48" w:rsidRDefault="00956CD3" w:rsidP="00176134">
      <w:pPr>
        <w:pStyle w:val="Bullet"/>
        <w:keepNext/>
        <w:ind w:left="522" w:hanging="522"/>
        <w:rPr>
          <w:sz w:val="24"/>
          <w:szCs w:val="24"/>
        </w:rPr>
      </w:pPr>
      <w:r w:rsidRPr="00892F91">
        <w:rPr>
          <w:sz w:val="24"/>
          <w:szCs w:val="24"/>
        </w:rPr>
        <w:lastRenderedPageBreak/>
        <w:t>40 staff hours required to prepare the training materials</w:t>
      </w:r>
      <w:r w:rsidR="00D10251">
        <w:rPr>
          <w:sz w:val="24"/>
          <w:szCs w:val="24"/>
        </w:rPr>
        <w:t xml:space="preserve">. </w:t>
      </w:r>
    </w:p>
    <w:p w14:paraId="1EC46FC8" w14:textId="4C49B864" w:rsidR="00956CD3" w:rsidRPr="00892F91" w:rsidRDefault="00B90B48" w:rsidP="00892F91">
      <w:pPr>
        <w:pStyle w:val="Dash"/>
        <w:rPr>
          <w:rFonts w:asciiTheme="minorHAnsi" w:hAnsiTheme="minorHAnsi" w:cstheme="minorHAnsi"/>
          <w:color w:val="auto"/>
          <w:sz w:val="24"/>
          <w:szCs w:val="24"/>
        </w:rPr>
      </w:pPr>
      <w:r>
        <w:rPr>
          <w:rFonts w:asciiTheme="minorHAnsi" w:hAnsiTheme="minorHAnsi" w:cstheme="minorHAnsi"/>
          <w:color w:val="auto"/>
          <w:sz w:val="24"/>
          <w:szCs w:val="24"/>
        </w:rPr>
        <w:t xml:space="preserve">The </w:t>
      </w:r>
      <w:r w:rsidR="00956CD3" w:rsidRPr="00892F91">
        <w:rPr>
          <w:rFonts w:asciiTheme="minorHAnsi" w:hAnsiTheme="minorHAnsi" w:cstheme="minorHAnsi"/>
          <w:color w:val="auto"/>
          <w:sz w:val="24"/>
          <w:szCs w:val="24"/>
        </w:rPr>
        <w:t xml:space="preserve">hourly cost of </w:t>
      </w:r>
      <w:r>
        <w:rPr>
          <w:rFonts w:asciiTheme="minorHAnsi" w:hAnsiTheme="minorHAnsi" w:cstheme="minorHAnsi"/>
          <w:color w:val="auto"/>
          <w:sz w:val="24"/>
          <w:szCs w:val="24"/>
        </w:rPr>
        <w:t xml:space="preserve">staff is </w:t>
      </w:r>
      <w:r w:rsidR="00956CD3" w:rsidRPr="00892F91">
        <w:rPr>
          <w:rFonts w:asciiTheme="minorHAnsi" w:hAnsiTheme="minorHAnsi" w:cstheme="minorHAnsi"/>
          <w:color w:val="auto"/>
          <w:sz w:val="24"/>
          <w:szCs w:val="24"/>
        </w:rPr>
        <w:t>$</w:t>
      </w:r>
      <w:r w:rsidR="00D10251" w:rsidRPr="00892F91">
        <w:rPr>
          <w:rFonts w:asciiTheme="minorHAnsi" w:hAnsiTheme="minorHAnsi" w:cstheme="minorHAnsi"/>
          <w:color w:val="auto"/>
          <w:sz w:val="24"/>
          <w:szCs w:val="24"/>
        </w:rPr>
        <w:t>50</w:t>
      </w:r>
      <w:r>
        <w:rPr>
          <w:rFonts w:asciiTheme="minorHAnsi" w:hAnsiTheme="minorHAnsi" w:cstheme="minorHAnsi"/>
          <w:color w:val="auto"/>
          <w:sz w:val="24"/>
          <w:szCs w:val="24"/>
        </w:rPr>
        <w:t xml:space="preserve"> as</w:t>
      </w:r>
      <w:r w:rsidR="00956CD3" w:rsidRPr="00892F91">
        <w:rPr>
          <w:rFonts w:asciiTheme="minorHAnsi" w:hAnsiTheme="minorHAnsi" w:cstheme="minorHAnsi"/>
          <w:color w:val="auto"/>
          <w:sz w:val="24"/>
          <w:szCs w:val="24"/>
        </w:rPr>
        <w:t xml:space="preserve"> </w:t>
      </w:r>
      <w:r w:rsidR="00D10251" w:rsidRPr="00892F91">
        <w:rPr>
          <w:rFonts w:asciiTheme="minorHAnsi" w:hAnsiTheme="minorHAnsi" w:cstheme="minorHAnsi"/>
          <w:color w:val="auto"/>
          <w:sz w:val="24"/>
          <w:szCs w:val="24"/>
        </w:rPr>
        <w:t>p</w:t>
      </w:r>
      <w:r w:rsidR="00956CD3" w:rsidRPr="00892F91">
        <w:rPr>
          <w:rFonts w:asciiTheme="minorHAnsi" w:hAnsiTheme="minorHAnsi" w:cstheme="minorHAnsi"/>
          <w:color w:val="auto"/>
          <w:sz w:val="24"/>
          <w:szCs w:val="24"/>
        </w:rPr>
        <w:t xml:space="preserve">er </w:t>
      </w:r>
      <w:r w:rsidR="00D10251" w:rsidRPr="00892F91">
        <w:rPr>
          <w:rFonts w:asciiTheme="minorHAnsi" w:hAnsiTheme="minorHAnsi" w:cstheme="minorHAnsi"/>
          <w:color w:val="auto"/>
          <w:sz w:val="24"/>
          <w:szCs w:val="24"/>
        </w:rPr>
        <w:t>the median</w:t>
      </w:r>
      <w:r w:rsidR="00956CD3" w:rsidRPr="00892F91">
        <w:rPr>
          <w:rFonts w:asciiTheme="minorHAnsi" w:hAnsiTheme="minorHAnsi" w:cstheme="minorHAnsi"/>
          <w:color w:val="auto"/>
          <w:sz w:val="24"/>
          <w:szCs w:val="24"/>
        </w:rPr>
        <w:t xml:space="preserve"> hourly rates</w:t>
      </w:r>
      <w:r w:rsidR="00D10251" w:rsidRPr="00892F91">
        <w:rPr>
          <w:rFonts w:asciiTheme="minorHAnsi" w:hAnsiTheme="minorHAnsi" w:cstheme="minorHAnsi"/>
          <w:color w:val="auto"/>
          <w:sz w:val="24"/>
          <w:szCs w:val="24"/>
        </w:rPr>
        <w:t xml:space="preserve"> for managers outlined in the ABS data,</w:t>
      </w:r>
      <w:r w:rsidR="00956CD3" w:rsidRPr="00892F91">
        <w:rPr>
          <w:rFonts w:asciiTheme="minorHAnsi" w:hAnsiTheme="minorHAnsi" w:cstheme="minorHAnsi"/>
          <w:color w:val="auto"/>
          <w:sz w:val="24"/>
          <w:szCs w:val="24"/>
        </w:rPr>
        <w:t xml:space="preserve"> multiplied by 1.75 </w:t>
      </w:r>
      <w:r w:rsidR="00D10251" w:rsidRPr="00892F91">
        <w:rPr>
          <w:rFonts w:asciiTheme="minorHAnsi" w:hAnsiTheme="minorHAnsi" w:cstheme="minorHAnsi"/>
          <w:color w:val="auto"/>
          <w:sz w:val="24"/>
          <w:szCs w:val="24"/>
        </w:rPr>
        <w:t>to account</w:t>
      </w:r>
      <w:r w:rsidR="00956CD3" w:rsidRPr="00892F91">
        <w:rPr>
          <w:rFonts w:asciiTheme="minorHAnsi" w:hAnsiTheme="minorHAnsi" w:cstheme="minorHAnsi"/>
          <w:color w:val="auto"/>
          <w:sz w:val="24"/>
          <w:szCs w:val="24"/>
        </w:rPr>
        <w:t xml:space="preserve"> for overheads. </w:t>
      </w:r>
    </w:p>
    <w:p w14:paraId="3799B4EE" w14:textId="77777777" w:rsidR="00B90B48" w:rsidRDefault="00956CD3" w:rsidP="00B90B48">
      <w:pPr>
        <w:pStyle w:val="Bullet"/>
        <w:rPr>
          <w:sz w:val="24"/>
          <w:szCs w:val="24"/>
        </w:rPr>
      </w:pPr>
      <w:r w:rsidRPr="00892F91">
        <w:rPr>
          <w:sz w:val="24"/>
          <w:szCs w:val="24"/>
        </w:rPr>
        <w:t xml:space="preserve">4 staff are required for 80 hours each per annum to undertake ongoing assessment and reporting of portfolio holdings. </w:t>
      </w:r>
    </w:p>
    <w:p w14:paraId="0C9276B0" w14:textId="7F19F3F8" w:rsidR="00C572DA" w:rsidRPr="00892F91" w:rsidRDefault="00B90B48" w:rsidP="00892F91">
      <w:pPr>
        <w:pStyle w:val="Dash"/>
        <w:rPr>
          <w:color w:val="000000" w:themeColor="text1"/>
        </w:rPr>
      </w:pPr>
      <w:r w:rsidRPr="00892F91">
        <w:rPr>
          <w:rFonts w:asciiTheme="minorHAnsi" w:hAnsiTheme="minorHAnsi" w:cstheme="minorHAnsi"/>
          <w:color w:val="auto"/>
          <w:sz w:val="24"/>
          <w:szCs w:val="24"/>
        </w:rPr>
        <w:t>Th</w:t>
      </w:r>
      <w:r>
        <w:rPr>
          <w:rFonts w:asciiTheme="minorHAnsi" w:hAnsiTheme="minorHAnsi" w:cstheme="minorHAnsi"/>
          <w:color w:val="auto"/>
          <w:sz w:val="24"/>
          <w:szCs w:val="24"/>
        </w:rPr>
        <w:t xml:space="preserve">e same $50 hourly cost multiplied by 1.75 is applied. </w:t>
      </w:r>
      <w:r w:rsidR="00C572DA">
        <w:br w:type="page"/>
      </w:r>
    </w:p>
    <w:p w14:paraId="31324B62" w14:textId="0162D2D2" w:rsidR="004F377E" w:rsidRPr="00892F91" w:rsidRDefault="00C572DA" w:rsidP="00892F91">
      <w:pPr>
        <w:pStyle w:val="Heading1"/>
      </w:pPr>
      <w:bookmarkStart w:id="10" w:name="_Toc86998886"/>
      <w:r w:rsidRPr="00FB76BE">
        <w:lastRenderedPageBreak/>
        <w:t>Appendix B</w:t>
      </w:r>
      <w:r w:rsidR="00FB76BE" w:rsidRPr="00FB76BE">
        <w:t xml:space="preserve"> –</w:t>
      </w:r>
      <w:r w:rsidR="009A1EE3" w:rsidRPr="00FB76BE">
        <w:t xml:space="preserve"> </w:t>
      </w:r>
      <w:r w:rsidR="009A1EE3" w:rsidRPr="00892F91">
        <w:t xml:space="preserve">Status of </w:t>
      </w:r>
      <w:r w:rsidRPr="00892F91">
        <w:t xml:space="preserve">the </w:t>
      </w:r>
      <w:r w:rsidR="009A1EE3" w:rsidRPr="00892F91">
        <w:t>RIS at each major decision point</w:t>
      </w:r>
      <w:bookmarkEnd w:id="10"/>
    </w:p>
    <w:p w14:paraId="66BDDA8A" w14:textId="0BB95367" w:rsidR="000167D1" w:rsidRDefault="000167D1" w:rsidP="000167D1">
      <w:pPr>
        <w:tabs>
          <w:tab w:val="left" w:pos="567"/>
        </w:tabs>
        <w:spacing w:before="120" w:after="120"/>
        <w:rPr>
          <w:rFonts w:eastAsia="Calibri" w:cstheme="minorHAnsi"/>
          <w:i/>
          <w:iCs/>
          <w:color w:val="4F81BD" w:themeColor="accent1"/>
          <w:sz w:val="24"/>
          <w:szCs w:val="24"/>
        </w:rPr>
      </w:pPr>
      <w:r>
        <w:rPr>
          <w:rFonts w:eastAsia="Calibri" w:cstheme="minorHAnsi"/>
          <w:i/>
          <w:iCs/>
          <w:color w:val="4F81BD" w:themeColor="accent1"/>
          <w:sz w:val="24"/>
          <w:szCs w:val="24"/>
        </w:rPr>
        <w:t>Consultation on draft regulations</w:t>
      </w:r>
    </w:p>
    <w:p w14:paraId="1325C2E1" w14:textId="59D71B64" w:rsidR="0062397E" w:rsidRDefault="000167D1" w:rsidP="00C25909">
      <w:pPr>
        <w:rPr>
          <w:sz w:val="24"/>
          <w:szCs w:val="24"/>
        </w:rPr>
      </w:pPr>
      <w:r w:rsidRPr="00C25909">
        <w:rPr>
          <w:sz w:val="24"/>
          <w:szCs w:val="24"/>
        </w:rPr>
        <w:t xml:space="preserve">A draft RIS was released for consultation </w:t>
      </w:r>
      <w:r w:rsidR="00751C95">
        <w:rPr>
          <w:sz w:val="24"/>
          <w:szCs w:val="24"/>
        </w:rPr>
        <w:t xml:space="preserve">at the time that the </w:t>
      </w:r>
      <w:r w:rsidRPr="00C25909">
        <w:rPr>
          <w:sz w:val="24"/>
          <w:szCs w:val="24"/>
        </w:rPr>
        <w:t xml:space="preserve">Exposure Draft regulations were released for public consultation on 28 April 2021. </w:t>
      </w:r>
      <w:r w:rsidR="007A27B6">
        <w:rPr>
          <w:sz w:val="24"/>
          <w:szCs w:val="24"/>
        </w:rPr>
        <w:t xml:space="preserve">The draft RIS had not been reviewed by the Office of Best Practice Regulation at this time. </w:t>
      </w:r>
    </w:p>
    <w:p w14:paraId="5FC156B4" w14:textId="243BFDF9" w:rsidR="000167D1" w:rsidRPr="00C25909" w:rsidRDefault="0062397E" w:rsidP="00C25909">
      <w:pPr>
        <w:rPr>
          <w:sz w:val="24"/>
          <w:szCs w:val="24"/>
        </w:rPr>
      </w:pPr>
      <w:r>
        <w:rPr>
          <w:sz w:val="24"/>
          <w:szCs w:val="24"/>
        </w:rPr>
        <w:t xml:space="preserve">A </w:t>
      </w:r>
      <w:r w:rsidR="00196011">
        <w:rPr>
          <w:sz w:val="24"/>
          <w:szCs w:val="24"/>
        </w:rPr>
        <w:t>sec</w:t>
      </w:r>
      <w:r>
        <w:rPr>
          <w:sz w:val="24"/>
          <w:szCs w:val="24"/>
        </w:rPr>
        <w:t>ond</w:t>
      </w:r>
      <w:r w:rsidR="00196011">
        <w:rPr>
          <w:sz w:val="24"/>
          <w:szCs w:val="24"/>
        </w:rPr>
        <w:t xml:space="preserve"> rou</w:t>
      </w:r>
      <w:r>
        <w:rPr>
          <w:sz w:val="24"/>
          <w:szCs w:val="24"/>
        </w:rPr>
        <w:t>n</w:t>
      </w:r>
      <w:r w:rsidR="00196011">
        <w:rPr>
          <w:sz w:val="24"/>
          <w:szCs w:val="24"/>
        </w:rPr>
        <w:t>d of cons</w:t>
      </w:r>
      <w:r>
        <w:rPr>
          <w:sz w:val="24"/>
          <w:szCs w:val="24"/>
        </w:rPr>
        <w:t>ultation was</w:t>
      </w:r>
      <w:r w:rsidR="00196011">
        <w:rPr>
          <w:sz w:val="24"/>
          <w:szCs w:val="24"/>
        </w:rPr>
        <w:t xml:space="preserve"> held on </w:t>
      </w:r>
      <w:r>
        <w:rPr>
          <w:sz w:val="24"/>
          <w:szCs w:val="24"/>
        </w:rPr>
        <w:t xml:space="preserve">the </w:t>
      </w:r>
      <w:r w:rsidR="00196011">
        <w:rPr>
          <w:sz w:val="24"/>
          <w:szCs w:val="24"/>
        </w:rPr>
        <w:t>d</w:t>
      </w:r>
      <w:r>
        <w:rPr>
          <w:sz w:val="24"/>
          <w:szCs w:val="24"/>
        </w:rPr>
        <w:t>r</w:t>
      </w:r>
      <w:r w:rsidR="00196011">
        <w:rPr>
          <w:sz w:val="24"/>
          <w:szCs w:val="24"/>
        </w:rPr>
        <w:t>aft reg</w:t>
      </w:r>
      <w:r>
        <w:rPr>
          <w:sz w:val="24"/>
          <w:szCs w:val="24"/>
        </w:rPr>
        <w:t>ulation</w:t>
      </w:r>
      <w:r w:rsidR="00196011">
        <w:rPr>
          <w:sz w:val="24"/>
          <w:szCs w:val="24"/>
        </w:rPr>
        <w:t xml:space="preserve">s </w:t>
      </w:r>
      <w:r>
        <w:rPr>
          <w:sz w:val="24"/>
          <w:szCs w:val="24"/>
        </w:rPr>
        <w:t xml:space="preserve">from 17 August 2021 to </w:t>
      </w:r>
      <w:r>
        <w:rPr>
          <w:sz w:val="24"/>
          <w:szCs w:val="24"/>
        </w:rPr>
        <w:br/>
        <w:t xml:space="preserve">31 August 2021. </w:t>
      </w:r>
      <w:r w:rsidR="007C517D">
        <w:rPr>
          <w:sz w:val="24"/>
          <w:szCs w:val="24"/>
        </w:rPr>
        <w:t>T</w:t>
      </w:r>
      <w:r w:rsidR="00196011">
        <w:rPr>
          <w:sz w:val="24"/>
          <w:szCs w:val="24"/>
        </w:rPr>
        <w:t xml:space="preserve">he draft </w:t>
      </w:r>
      <w:r>
        <w:rPr>
          <w:sz w:val="24"/>
          <w:szCs w:val="24"/>
        </w:rPr>
        <w:t>RIS</w:t>
      </w:r>
      <w:r w:rsidR="00196011">
        <w:rPr>
          <w:sz w:val="24"/>
          <w:szCs w:val="24"/>
        </w:rPr>
        <w:t xml:space="preserve"> was not released for further consultation.</w:t>
      </w:r>
    </w:p>
    <w:p w14:paraId="5B1BC429" w14:textId="77777777" w:rsidR="000167D1" w:rsidRPr="00C25909" w:rsidRDefault="000167D1" w:rsidP="00C25909">
      <w:pPr>
        <w:tabs>
          <w:tab w:val="left" w:pos="567"/>
        </w:tabs>
        <w:spacing w:before="120" w:after="120"/>
        <w:rPr>
          <w:rFonts w:eastAsia="Calibri" w:cstheme="minorHAnsi"/>
          <w:i/>
          <w:iCs/>
          <w:color w:val="4F81BD" w:themeColor="accent1"/>
          <w:sz w:val="24"/>
          <w:szCs w:val="24"/>
        </w:rPr>
      </w:pPr>
      <w:r w:rsidRPr="00C25909">
        <w:rPr>
          <w:rFonts w:eastAsia="Calibri" w:cstheme="minorHAnsi"/>
          <w:i/>
          <w:iCs/>
          <w:color w:val="4F81BD" w:themeColor="accent1"/>
          <w:sz w:val="24"/>
          <w:szCs w:val="24"/>
        </w:rPr>
        <w:t>Final policy decisions and introduction of legislation</w:t>
      </w:r>
    </w:p>
    <w:p w14:paraId="53414444" w14:textId="19F34408" w:rsidR="000167D1" w:rsidRPr="00C25909" w:rsidRDefault="000167D1" w:rsidP="000167D1">
      <w:pPr>
        <w:rPr>
          <w:sz w:val="24"/>
          <w:szCs w:val="24"/>
        </w:rPr>
      </w:pPr>
      <w:r w:rsidRPr="00C25909">
        <w:rPr>
          <w:sz w:val="24"/>
          <w:szCs w:val="24"/>
        </w:rPr>
        <w:t xml:space="preserve">This final RIS has been prepared following extensive stakeholder consultation, </w:t>
      </w:r>
      <w:r w:rsidR="007C517D">
        <w:rPr>
          <w:sz w:val="24"/>
          <w:szCs w:val="24"/>
        </w:rPr>
        <w:t>prior to the</w:t>
      </w:r>
      <w:r w:rsidRPr="00C25909">
        <w:rPr>
          <w:sz w:val="24"/>
          <w:szCs w:val="24"/>
        </w:rPr>
        <w:t xml:space="preserve"> Minister for Superannuation, Financial Services and </w:t>
      </w:r>
      <w:r w:rsidR="00932282">
        <w:rPr>
          <w:sz w:val="24"/>
          <w:szCs w:val="24"/>
        </w:rPr>
        <w:t>the Digital Economy, Minister for Women’s Economic Security</w:t>
      </w:r>
      <w:r w:rsidRPr="00C25909">
        <w:rPr>
          <w:sz w:val="24"/>
          <w:szCs w:val="24"/>
        </w:rPr>
        <w:t xml:space="preserve"> </w:t>
      </w:r>
      <w:r w:rsidR="007C517D">
        <w:rPr>
          <w:sz w:val="24"/>
          <w:szCs w:val="24"/>
        </w:rPr>
        <w:t xml:space="preserve">making a </w:t>
      </w:r>
      <w:r w:rsidRPr="00C25909">
        <w:rPr>
          <w:sz w:val="24"/>
          <w:szCs w:val="24"/>
        </w:rPr>
        <w:t xml:space="preserve">final decision regarding the regulations to operationalise portfolio holdings disclosure. </w:t>
      </w:r>
    </w:p>
    <w:p w14:paraId="53D2DAAB" w14:textId="77777777" w:rsidR="000167D1" w:rsidRPr="00C25909" w:rsidRDefault="000167D1" w:rsidP="00C25909">
      <w:pPr>
        <w:pStyle w:val="Heading1numbered"/>
        <w:numPr>
          <w:ilvl w:val="0"/>
          <w:numId w:val="0"/>
        </w:numPr>
        <w:ind w:left="720"/>
        <w:rPr>
          <w:rFonts w:asciiTheme="minorHAnsi" w:hAnsiTheme="minorHAnsi" w:cstheme="minorHAnsi"/>
          <w:sz w:val="24"/>
          <w:szCs w:val="24"/>
        </w:rPr>
      </w:pPr>
    </w:p>
    <w:sectPr w:rsidR="000167D1" w:rsidRPr="00C25909" w:rsidSect="00DE08E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C3200" w14:textId="77777777" w:rsidR="009E5DFC" w:rsidRDefault="009E5DFC" w:rsidP="00D94EE3">
      <w:pPr>
        <w:spacing w:after="0"/>
      </w:pPr>
      <w:r>
        <w:separator/>
      </w:r>
    </w:p>
  </w:endnote>
  <w:endnote w:type="continuationSeparator" w:id="0">
    <w:p w14:paraId="39D590CC" w14:textId="77777777" w:rsidR="009E5DFC" w:rsidRDefault="009E5DFC" w:rsidP="00D94EE3">
      <w:pPr>
        <w:spacing w:after="0"/>
      </w:pPr>
      <w:r>
        <w:continuationSeparator/>
      </w:r>
    </w:p>
  </w:endnote>
  <w:endnote w:type="continuationNotice" w:id="1">
    <w:p w14:paraId="70A061E5" w14:textId="77777777" w:rsidR="009E5DFC" w:rsidRDefault="009E5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743617"/>
      <w:docPartObj>
        <w:docPartGallery w:val="Page Numbers (Bottom of Page)"/>
        <w:docPartUnique/>
      </w:docPartObj>
    </w:sdtPr>
    <w:sdtEndPr>
      <w:rPr>
        <w:noProof/>
      </w:rPr>
    </w:sdtEndPr>
    <w:sdtContent>
      <w:p w14:paraId="06304844" w14:textId="032702A9" w:rsidR="00CA013B" w:rsidRDefault="00CA013B" w:rsidP="00D94EE3">
        <w:pPr>
          <w:pStyle w:val="Foo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CE805" w14:textId="77777777" w:rsidR="009E5DFC" w:rsidRDefault="009E5DFC" w:rsidP="00D94EE3">
      <w:pPr>
        <w:spacing w:after="0"/>
      </w:pPr>
      <w:r>
        <w:separator/>
      </w:r>
    </w:p>
  </w:footnote>
  <w:footnote w:type="continuationSeparator" w:id="0">
    <w:p w14:paraId="771487F8" w14:textId="77777777" w:rsidR="009E5DFC" w:rsidRDefault="009E5DFC" w:rsidP="00D94EE3">
      <w:pPr>
        <w:spacing w:after="0"/>
      </w:pPr>
      <w:r>
        <w:continuationSeparator/>
      </w:r>
    </w:p>
  </w:footnote>
  <w:footnote w:type="continuationNotice" w:id="1">
    <w:p w14:paraId="4E733510" w14:textId="77777777" w:rsidR="009E5DFC" w:rsidRDefault="009E5DFC">
      <w:pPr>
        <w:spacing w:after="0"/>
      </w:pPr>
    </w:p>
  </w:footnote>
  <w:footnote w:id="2">
    <w:p w14:paraId="10552DB8" w14:textId="78C53C38" w:rsidR="00CA013B" w:rsidRDefault="00CA013B" w:rsidP="006E0763">
      <w:pPr>
        <w:pStyle w:val="FootnoteText"/>
      </w:pPr>
      <w:r>
        <w:rPr>
          <w:rStyle w:val="FootnoteReference"/>
        </w:rPr>
        <w:footnoteRef/>
      </w:r>
      <w:r>
        <w:t xml:space="preserve"> Source: ABS Cat. No. 6523.0 Household Income and Wealth Australia, 2017-18, Table 2.4 </w:t>
      </w:r>
    </w:p>
    <w:p w14:paraId="2EC7B114" w14:textId="77777777" w:rsidR="00CA013B" w:rsidRDefault="00CA013B" w:rsidP="006E0763">
      <w:pPr>
        <w:pStyle w:val="FootnoteText"/>
      </w:pPr>
      <w:r>
        <w:t>(issued 12 July 2019).</w:t>
      </w:r>
    </w:p>
  </w:footnote>
  <w:footnote w:id="3">
    <w:p w14:paraId="2AA6D80A" w14:textId="1AAB4E17" w:rsidR="00CA013B" w:rsidRDefault="00CA013B">
      <w:pPr>
        <w:pStyle w:val="FootnoteText"/>
      </w:pPr>
      <w:r>
        <w:rPr>
          <w:rStyle w:val="FootnoteReference"/>
        </w:rPr>
        <w:footnoteRef/>
      </w:r>
      <w:r>
        <w:t xml:space="preserve"> </w:t>
      </w:r>
      <w:r w:rsidRPr="008E48CF">
        <w:t>Commonwealth of Australia 2014, Financial Services Inquiry (Murray): Final Report, Canberra, page 87.</w:t>
      </w:r>
    </w:p>
  </w:footnote>
  <w:footnote w:id="4">
    <w:p w14:paraId="3DEB48F4" w14:textId="78EACBB7" w:rsidR="00CA013B" w:rsidRPr="0004707D" w:rsidRDefault="00CA013B" w:rsidP="006E0763">
      <w:pPr>
        <w:pStyle w:val="FootnoteText"/>
      </w:pPr>
      <w:r w:rsidRPr="0004707D">
        <w:rPr>
          <w:rStyle w:val="FootnoteReference"/>
        </w:rPr>
        <w:footnoteRef/>
      </w:r>
      <w:r w:rsidRPr="0004707D">
        <w:t xml:space="preserve"> APRA Quarterly Superannuation Statistics </w:t>
      </w:r>
      <w:r>
        <w:t>June</w:t>
      </w:r>
      <w:r w:rsidRPr="0004707D">
        <w:t xml:space="preserve"> 20</w:t>
      </w:r>
      <w:r>
        <w:t>21 (Published 31 August 2021</w:t>
      </w:r>
      <w:r w:rsidRPr="0004707D">
        <w:t>)</w:t>
      </w:r>
      <w:r>
        <w:t>.</w:t>
      </w:r>
    </w:p>
  </w:footnote>
  <w:footnote w:id="5">
    <w:p w14:paraId="551A29D7" w14:textId="6B44673B" w:rsidR="00CA013B" w:rsidRPr="001D1391" w:rsidRDefault="00CA013B" w:rsidP="00014905">
      <w:pPr>
        <w:pStyle w:val="FootnoteText"/>
        <w:tabs>
          <w:tab w:val="clear" w:pos="357"/>
        </w:tabs>
        <w:ind w:left="142" w:hanging="142"/>
      </w:pPr>
      <w:r>
        <w:rPr>
          <w:rStyle w:val="FootnoteReference"/>
        </w:rPr>
        <w:footnoteRef/>
      </w:r>
      <w:r>
        <w:t xml:space="preserve"> Recommendation 4.16 of the 2010 </w:t>
      </w:r>
      <w:r w:rsidRPr="001D1391">
        <w:rPr>
          <w:rFonts w:ascii="Calibri" w:hAnsi="Calibri" w:cs="Calibri"/>
        </w:rPr>
        <w:t>Super System Review: Final Report — Part One: Overview and Recommendations, page 39.</w:t>
      </w:r>
    </w:p>
  </w:footnote>
  <w:footnote w:id="6">
    <w:p w14:paraId="4F143F0F" w14:textId="584E0967" w:rsidR="00CA013B" w:rsidRPr="00F7334A" w:rsidRDefault="00CA013B">
      <w:pPr>
        <w:pStyle w:val="FootnoteText"/>
      </w:pPr>
      <w:r>
        <w:rPr>
          <w:rStyle w:val="FootnoteReference"/>
        </w:rPr>
        <w:footnoteRef/>
      </w:r>
      <w:r>
        <w:t xml:space="preserve"> ASIC Explanatory Statement to </w:t>
      </w:r>
      <w:r w:rsidRPr="00A044DF">
        <w:rPr>
          <w:rFonts w:ascii="Calibri" w:hAnsi="Calibri" w:cs="Calibri"/>
          <w:i/>
          <w:iCs/>
        </w:rPr>
        <w:t>ASIC Corporations (Amendment) Instrument 2019/1056</w:t>
      </w:r>
      <w:r>
        <w:rPr>
          <w:rFonts w:ascii="Calibri" w:hAnsi="Calibri" w:cs="Calibri"/>
          <w:i/>
          <w:iCs/>
        </w:rPr>
        <w:t xml:space="preserve">, </w:t>
      </w:r>
      <w:r>
        <w:rPr>
          <w:rFonts w:ascii="Calibri" w:hAnsi="Calibri" w:cs="Calibri"/>
        </w:rPr>
        <w:t>pages 1-2.</w:t>
      </w:r>
    </w:p>
  </w:footnote>
  <w:footnote w:id="7">
    <w:p w14:paraId="27CDAC54" w14:textId="0403DB87" w:rsidR="00CA013B" w:rsidRDefault="00CA013B" w:rsidP="000426D0">
      <w:pPr>
        <w:pStyle w:val="FootnoteText"/>
      </w:pPr>
      <w:r>
        <w:rPr>
          <w:rStyle w:val="FootnoteReference"/>
        </w:rPr>
        <w:footnoteRef/>
      </w:r>
      <w:r>
        <w:t xml:space="preserve"> ‘Aussie funds keep investors in the dark’, Emma Rapaport |16 Dec 2020 |Fidelity</w:t>
      </w:r>
    </w:p>
  </w:footnote>
  <w:footnote w:id="8">
    <w:p w14:paraId="11A553FD" w14:textId="5DACEEB3" w:rsidR="00CA013B" w:rsidRDefault="00CA013B" w:rsidP="00A127D4">
      <w:pPr>
        <w:pStyle w:val="FootnoteText"/>
        <w:tabs>
          <w:tab w:val="clear" w:pos="357"/>
          <w:tab w:val="left" w:pos="142"/>
        </w:tabs>
        <w:ind w:left="142" w:hanging="142"/>
      </w:pPr>
      <w:r>
        <w:rPr>
          <w:rStyle w:val="FootnoteReference"/>
        </w:rPr>
        <w:footnoteRef/>
      </w:r>
      <w:r>
        <w:t xml:space="preserve"> Productivity Commission Inquiry Report No.91, 21 December 2018 </w:t>
      </w:r>
      <w:r w:rsidRPr="00B465A5">
        <w:rPr>
          <w:i/>
        </w:rPr>
        <w:t>Superannuation: Assessing efficiency and competitiveness</w:t>
      </w:r>
      <w:r>
        <w:t>, page 246.</w:t>
      </w:r>
    </w:p>
  </w:footnote>
  <w:footnote w:id="9">
    <w:p w14:paraId="5DDE32F0" w14:textId="6D643730" w:rsidR="00CA013B" w:rsidRDefault="00CA013B" w:rsidP="00132EB3">
      <w:pPr>
        <w:pStyle w:val="FootnoteText"/>
        <w:tabs>
          <w:tab w:val="clear" w:pos="357"/>
          <w:tab w:val="left" w:pos="142"/>
        </w:tabs>
        <w:ind w:left="142" w:hanging="142"/>
      </w:pPr>
      <w:r>
        <w:rPr>
          <w:rStyle w:val="FootnoteReference"/>
        </w:rPr>
        <w:footnoteRef/>
      </w:r>
      <w:r>
        <w:t xml:space="preserve"> Productivity Commission Inquiry Report No.91, 21 December 2018 </w:t>
      </w:r>
      <w:r w:rsidRPr="00B465A5">
        <w:rPr>
          <w:i/>
        </w:rPr>
        <w:t>Superannuation: Assessing efficiency and competitiveness</w:t>
      </w:r>
      <w:r>
        <w:t>, page 259.</w:t>
      </w:r>
    </w:p>
  </w:footnote>
  <w:footnote w:id="10">
    <w:p w14:paraId="0609A4D1" w14:textId="2BA55B88" w:rsidR="00CA013B" w:rsidRDefault="00CA013B" w:rsidP="00132EB3">
      <w:pPr>
        <w:pStyle w:val="FootnoteText"/>
        <w:tabs>
          <w:tab w:val="clear" w:pos="357"/>
          <w:tab w:val="left" w:pos="142"/>
        </w:tabs>
        <w:ind w:left="142" w:hanging="142"/>
      </w:pPr>
      <w:r>
        <w:rPr>
          <w:rStyle w:val="FootnoteReference"/>
        </w:rPr>
        <w:footnoteRef/>
      </w:r>
      <w:r>
        <w:t xml:space="preserve"> Productivity Commission Inquiry Report No.91, 21 December 2018 </w:t>
      </w:r>
      <w:r w:rsidRPr="00B465A5">
        <w:rPr>
          <w:i/>
        </w:rPr>
        <w:t>Superannuation: Assessing efficiency and competitiveness</w:t>
      </w:r>
      <w:r>
        <w:t>, page 28.</w:t>
      </w:r>
    </w:p>
  </w:footnote>
  <w:footnote w:id="11">
    <w:p w14:paraId="3EB1FF93" w14:textId="3A573E7A" w:rsidR="00CA013B" w:rsidRDefault="00CA013B" w:rsidP="00785FE7">
      <w:pPr>
        <w:pStyle w:val="FootnoteText"/>
        <w:tabs>
          <w:tab w:val="clear" w:pos="357"/>
          <w:tab w:val="left" w:pos="0"/>
        </w:tabs>
        <w:ind w:left="142" w:hanging="142"/>
      </w:pPr>
      <w:r>
        <w:rPr>
          <w:rStyle w:val="FootnoteReference"/>
        </w:rPr>
        <w:footnoteRef/>
      </w:r>
      <w:r>
        <w:t xml:space="preserve"> </w:t>
      </w:r>
      <w:r w:rsidRPr="008E48CF">
        <w:t>Global Disclosure Practices: How Markets Around the World Stack Up</w:t>
      </w:r>
      <w:r>
        <w:t xml:space="preserve"> </w:t>
      </w:r>
      <w:hyperlink r:id="rId1" w:history="1">
        <w:r w:rsidRPr="00DE08E6">
          <w:rPr>
            <w:rStyle w:val="Hyperlink"/>
            <w:color w:val="auto"/>
          </w:rPr>
          <w:t>https://www.morningstar.com/articles/1014385/global-disclosure-practices-how-markets-around-the-world-stack-up</w:t>
        </w:r>
      </w:hyperlink>
      <w:r w:rsidRPr="004B23AF">
        <w:t xml:space="preserve"> </w:t>
      </w:r>
    </w:p>
  </w:footnote>
  <w:footnote w:id="12">
    <w:p w14:paraId="72973D21" w14:textId="77777777" w:rsidR="00CA013B" w:rsidRDefault="00CA013B" w:rsidP="00DC4C41">
      <w:pPr>
        <w:pStyle w:val="FootnoteText"/>
      </w:pPr>
      <w:r w:rsidRPr="00D80FF1">
        <w:rPr>
          <w:rStyle w:val="FootnoteReference"/>
        </w:rPr>
        <w:footnoteRef/>
      </w:r>
      <w:r w:rsidRPr="00D80FF1">
        <w:t xml:space="preserve"> </w:t>
      </w:r>
      <w:hyperlink r:id="rId2" w:anchor="ixzz3m2fhv2fU" w:history="1">
        <w:r w:rsidRPr="00A04769">
          <w:rPr>
            <w:rStyle w:val="Hyperlink"/>
            <w:color w:val="auto"/>
          </w:rPr>
          <w:t>http://www.theage.com.au/money/super-and-funds/managed-funds-score-d-for-disclosure-20150611-ghlkuw?skin=smart-phone#ixzz3m2fhv2fU</w:t>
        </w:r>
      </w:hyperlink>
    </w:p>
  </w:footnote>
  <w:footnote w:id="13">
    <w:p w14:paraId="702E4770" w14:textId="7979000A" w:rsidR="00CA013B" w:rsidRDefault="00CA013B">
      <w:pPr>
        <w:pStyle w:val="FootnoteText"/>
      </w:pPr>
      <w:r>
        <w:rPr>
          <w:rStyle w:val="FootnoteReference"/>
        </w:rPr>
        <w:footnoteRef/>
      </w:r>
      <w:r>
        <w:t xml:space="preserve"> Aware Super 25 May 2021 submission to the ‘</w:t>
      </w:r>
      <w:r w:rsidRPr="00E2413E">
        <w:t>Your Future, Your Super Regulations and associated measures</w:t>
      </w:r>
      <w:r>
        <w:t>’</w:t>
      </w:r>
      <w:r w:rsidRPr="00CF21C5">
        <w:rPr>
          <w:rFonts w:cstheme="minorHAnsi"/>
        </w:rPr>
        <w:t xml:space="preserve"> consultation</w:t>
      </w:r>
      <w:r>
        <w:rPr>
          <w:rFonts w:cstheme="minorHAnsi"/>
        </w:rPr>
        <w:t>, page 16.</w:t>
      </w:r>
    </w:p>
  </w:footnote>
  <w:footnote w:id="14">
    <w:p w14:paraId="05E0639E" w14:textId="7B8BB801" w:rsidR="00CA013B" w:rsidRDefault="00CA013B">
      <w:pPr>
        <w:pStyle w:val="FootnoteText"/>
      </w:pPr>
      <w:r>
        <w:rPr>
          <w:rStyle w:val="FootnoteReference"/>
        </w:rPr>
        <w:footnoteRef/>
      </w:r>
      <w:r>
        <w:t xml:space="preserve"> Comments attributable to </w:t>
      </w:r>
      <w:r w:rsidRPr="00182375">
        <w:rPr>
          <w:rFonts w:ascii="Verdana" w:eastAsia="Times New Roman" w:hAnsi="Verdana" w:cs="Times New Roman"/>
          <w:color w:val="231F20"/>
          <w:sz w:val="17"/>
          <w:szCs w:val="17"/>
          <w:lang w:eastAsia="en-AU"/>
        </w:rPr>
        <w:t xml:space="preserve">Grant </w:t>
      </w:r>
      <w:proofErr w:type="spellStart"/>
      <w:r w:rsidRPr="00182375">
        <w:rPr>
          <w:rFonts w:ascii="Verdana" w:eastAsia="Times New Roman" w:hAnsi="Verdana" w:cs="Times New Roman"/>
          <w:color w:val="231F20"/>
          <w:sz w:val="17"/>
          <w:szCs w:val="17"/>
          <w:lang w:eastAsia="en-AU"/>
        </w:rPr>
        <w:t>Kennaway</w:t>
      </w:r>
      <w:proofErr w:type="spellEnd"/>
      <w:r w:rsidRPr="00182375">
        <w:rPr>
          <w:rFonts w:ascii="Verdana" w:eastAsia="Times New Roman" w:hAnsi="Verdana" w:cs="Times New Roman"/>
          <w:color w:val="231F20"/>
          <w:sz w:val="17"/>
          <w:szCs w:val="17"/>
          <w:lang w:eastAsia="en-AU"/>
        </w:rPr>
        <w:t xml:space="preserve"> and Christina West</w:t>
      </w:r>
      <w:r>
        <w:t xml:space="preserve"> as quoted in ‘Aussie funds keep investors in the dark’, Emma Rapaport |16 Dec 2020 |Fidelity</w:t>
      </w:r>
    </w:p>
  </w:footnote>
  <w:footnote w:id="15">
    <w:p w14:paraId="1156BB02" w14:textId="6CC8376E" w:rsidR="00CA013B" w:rsidRDefault="00CA013B">
      <w:pPr>
        <w:pStyle w:val="FootnoteText"/>
      </w:pPr>
      <w:r>
        <w:rPr>
          <w:rStyle w:val="FootnoteReference"/>
        </w:rPr>
        <w:footnoteRef/>
      </w:r>
      <w:r>
        <w:t xml:space="preserve"> </w:t>
      </w:r>
      <w:r w:rsidRPr="0029767D">
        <w:t>Rainmaker 17 March 2021 submission to Senate Economics Legislation Committee Inquiry into Treasury Laws Amendment (Your Future, your Super) Bill 2021, page 5</w:t>
      </w:r>
      <w:r>
        <w:t>.</w:t>
      </w:r>
    </w:p>
  </w:footnote>
  <w:footnote w:id="16">
    <w:p w14:paraId="4437CE32" w14:textId="06D8920A" w:rsidR="00CA013B" w:rsidRDefault="00CA013B">
      <w:pPr>
        <w:pStyle w:val="FootnoteText"/>
      </w:pPr>
      <w:r>
        <w:rPr>
          <w:rStyle w:val="FootnoteReference"/>
        </w:rPr>
        <w:footnoteRef/>
      </w:r>
      <w:r>
        <w:t xml:space="preserve"> Australian Super 31 August 2021 submission to Corporations Amendment (Portfolio Holdings Disclosure) Regulations 2021 consultation, page 7.</w:t>
      </w:r>
    </w:p>
  </w:footnote>
  <w:footnote w:id="17">
    <w:p w14:paraId="5153732C" w14:textId="2C42A7B7" w:rsidR="00CA013B" w:rsidRDefault="00CA013B" w:rsidP="00913545">
      <w:pPr>
        <w:pStyle w:val="FootnoteText"/>
        <w:tabs>
          <w:tab w:val="clear" w:pos="357"/>
          <w:tab w:val="left" w:pos="142"/>
        </w:tabs>
      </w:pPr>
      <w:r>
        <w:rPr>
          <w:rStyle w:val="FootnoteReference"/>
        </w:rPr>
        <w:footnoteRef/>
      </w:r>
      <w:r>
        <w:t xml:space="preserve"> Super Consumers Australia, </w:t>
      </w:r>
      <w:r w:rsidRPr="00A044DF">
        <w:rPr>
          <w:i/>
          <w:iCs/>
        </w:rPr>
        <w:t>Submission to Superannuation Portfolio Holdings Disclosure Consultation</w:t>
      </w:r>
      <w:r>
        <w:t xml:space="preserve"> August 2021</w:t>
      </w:r>
    </w:p>
  </w:footnote>
  <w:footnote w:id="18">
    <w:p w14:paraId="00FF9DEB" w14:textId="52DDE840" w:rsidR="00CA013B" w:rsidRDefault="00CA013B">
      <w:pPr>
        <w:pStyle w:val="FootnoteText"/>
      </w:pPr>
      <w:r>
        <w:rPr>
          <w:rStyle w:val="FootnoteReference"/>
        </w:rPr>
        <w:footnoteRef/>
      </w:r>
      <w:r>
        <w:t xml:space="preserve"> Australian Super 27 May 2021 Submission, page 3.</w:t>
      </w:r>
    </w:p>
  </w:footnote>
  <w:footnote w:id="19">
    <w:p w14:paraId="67E686DB" w14:textId="717F985E" w:rsidR="00CA013B" w:rsidRDefault="00CA013B" w:rsidP="0042483D">
      <w:pPr>
        <w:pStyle w:val="FootnoteText"/>
      </w:pPr>
      <w:r>
        <w:rPr>
          <w:rStyle w:val="FootnoteReference"/>
        </w:rPr>
        <w:footnoteRef/>
      </w:r>
      <w:r>
        <w:t xml:space="preserve"> Aware Super, 25 May 2021, Submission into Your Future, Your Super Regulations and associated measures consultation, page 21. </w:t>
      </w:r>
    </w:p>
  </w:footnote>
  <w:footnote w:id="20">
    <w:p w14:paraId="0B673E3C" w14:textId="58F567A4" w:rsidR="00CA013B" w:rsidRDefault="00CA013B">
      <w:pPr>
        <w:pStyle w:val="FootnoteText"/>
      </w:pPr>
      <w:r>
        <w:rPr>
          <w:rStyle w:val="FootnoteReference"/>
        </w:rPr>
        <w:footnoteRef/>
      </w:r>
      <w:r>
        <w:t xml:space="preserve"> APRA’s Quarterly Superannuation Statistics, Published 24 August 2021, </w:t>
      </w:r>
      <w:hyperlink r:id="rId3" w:history="1">
        <w:r w:rsidRPr="00BC4055">
          <w:rPr>
            <w:rStyle w:val="Hyperlink"/>
          </w:rPr>
          <w:t>https://www.apra.gov.au/quarterly-superannuation-statistics</w:t>
        </w:r>
      </w:hyperlink>
      <w:r>
        <w:t xml:space="preserve"> </w:t>
      </w:r>
    </w:p>
  </w:footnote>
  <w:footnote w:id="21">
    <w:p w14:paraId="4B3A7CFD" w14:textId="20F55226" w:rsidR="00CA013B" w:rsidRDefault="00CA013B">
      <w:pPr>
        <w:pStyle w:val="FootnoteText"/>
      </w:pPr>
      <w:r>
        <w:rPr>
          <w:rStyle w:val="FootnoteReference"/>
        </w:rPr>
        <w:footnoteRef/>
      </w:r>
      <w:r>
        <w:t xml:space="preserve"> </w:t>
      </w:r>
      <w:r w:rsidRPr="002308E5">
        <w:t>6333.0 Characteristics of Employment, Australia,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8A15" w14:textId="217B98E5" w:rsidR="00CA013B" w:rsidRDefault="00CA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27440C8B"/>
    <w:multiLevelType w:val="multilevel"/>
    <w:tmpl w:val="5E3231B6"/>
    <w:lvl w:ilvl="0">
      <w:start w:val="1"/>
      <w:numFmt w:val="bullet"/>
      <w:lvlText w:val="•"/>
      <w:lvlJc w:val="left"/>
      <w:pPr>
        <w:tabs>
          <w:tab w:val="num" w:pos="472"/>
        </w:tabs>
        <w:ind w:left="472" w:hanging="472"/>
      </w:pPr>
      <w:rPr>
        <w:rFonts w:ascii="Times New Roman" w:hAnsi="Times New Roman" w:cs="Times New Roman"/>
        <w:b w:val="0"/>
        <w:i w:val="0"/>
      </w:rPr>
    </w:lvl>
    <w:lvl w:ilvl="1">
      <w:start w:val="1"/>
      <w:numFmt w:val="bullet"/>
      <w:lvlText w:val="–"/>
      <w:lvlJc w:val="left"/>
      <w:pPr>
        <w:tabs>
          <w:tab w:val="num" w:pos="944"/>
        </w:tabs>
        <w:ind w:left="944" w:hanging="472"/>
      </w:pPr>
      <w:rPr>
        <w:rFonts w:ascii="Times New Roman" w:hAnsi="Times New Roman" w:cs="Times New Roman"/>
        <w:b w:val="0"/>
        <w:i w:val="0"/>
      </w:rPr>
    </w:lvl>
    <w:lvl w:ilvl="2">
      <w:start w:val="1"/>
      <w:numFmt w:val="bullet"/>
      <w:lvlText w:val=":"/>
      <w:lvlJc w:val="left"/>
      <w:pPr>
        <w:tabs>
          <w:tab w:val="num" w:pos="1416"/>
        </w:tabs>
        <w:ind w:left="1416" w:hanging="472"/>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2A955F3A"/>
    <w:multiLevelType w:val="hybridMultilevel"/>
    <w:tmpl w:val="F1E68396"/>
    <w:lvl w:ilvl="0" w:tplc="7DF00764">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F71FF7"/>
    <w:multiLevelType w:val="multilevel"/>
    <w:tmpl w:val="3D60080C"/>
    <w:lvl w:ilvl="0">
      <w:start w:val="1"/>
      <w:numFmt w:val="bullet"/>
      <w:lvlText w:val=""/>
      <w:lvlJc w:val="left"/>
      <w:pPr>
        <w:tabs>
          <w:tab w:val="num" w:pos="284"/>
        </w:tabs>
        <w:ind w:left="284" w:hanging="284"/>
      </w:pPr>
      <w:rPr>
        <w:rFonts w:ascii="Symbol" w:hAnsi="Symbol" w:hint="default"/>
        <w:sz w:val="24"/>
        <w:szCs w:val="24"/>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6B057DCD"/>
    <w:multiLevelType w:val="hybridMultilevel"/>
    <w:tmpl w:val="05A6F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5A2065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B16110"/>
    <w:multiLevelType w:val="multilevel"/>
    <w:tmpl w:val="BF9672B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181"/>
        </w:tabs>
        <w:ind w:left="1181" w:hanging="661"/>
      </w:pPr>
      <w:rPr>
        <w:rFonts w:ascii="Times New Roman" w:hAnsi="Times New Roman" w:cs="Times New Roman"/>
      </w:rPr>
    </w:lvl>
    <w:lvl w:ilvl="2">
      <w:start w:val="1"/>
      <w:numFmt w:val="bullet"/>
      <w:pStyle w:val="DoubleDo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CA746E"/>
    <w:multiLevelType w:val="hybridMultilevel"/>
    <w:tmpl w:val="94AE3CC4"/>
    <w:lvl w:ilvl="0" w:tplc="1B88A58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0"/>
  </w:num>
  <w:num w:numId="6">
    <w:abstractNumId w:val="7"/>
  </w:num>
  <w:num w:numId="7">
    <w:abstractNumId w:val="4"/>
  </w:num>
  <w:num w:numId="8">
    <w:abstractNumId w:val="2"/>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6"/>
  </w:num>
  <w:num w:numId="13">
    <w:abstractNumId w:val="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41"/>
    <w:rsid w:val="00000717"/>
    <w:rsid w:val="00001544"/>
    <w:rsid w:val="00002312"/>
    <w:rsid w:val="00004058"/>
    <w:rsid w:val="000066FB"/>
    <w:rsid w:val="00006F6A"/>
    <w:rsid w:val="00011759"/>
    <w:rsid w:val="000129B4"/>
    <w:rsid w:val="00012CAB"/>
    <w:rsid w:val="00014905"/>
    <w:rsid w:val="00016336"/>
    <w:rsid w:val="00016479"/>
    <w:rsid w:val="000167D1"/>
    <w:rsid w:val="000168DB"/>
    <w:rsid w:val="00022A6C"/>
    <w:rsid w:val="0002649E"/>
    <w:rsid w:val="00032539"/>
    <w:rsid w:val="000360DA"/>
    <w:rsid w:val="00036135"/>
    <w:rsid w:val="000426D0"/>
    <w:rsid w:val="00043C60"/>
    <w:rsid w:val="000445CC"/>
    <w:rsid w:val="00051E0A"/>
    <w:rsid w:val="00052A12"/>
    <w:rsid w:val="00052C81"/>
    <w:rsid w:val="00052D66"/>
    <w:rsid w:val="00057D16"/>
    <w:rsid w:val="00064BD1"/>
    <w:rsid w:val="00066F3D"/>
    <w:rsid w:val="000723F3"/>
    <w:rsid w:val="000731AA"/>
    <w:rsid w:val="00077103"/>
    <w:rsid w:val="000772AE"/>
    <w:rsid w:val="00077344"/>
    <w:rsid w:val="00080F37"/>
    <w:rsid w:val="00084490"/>
    <w:rsid w:val="00091652"/>
    <w:rsid w:val="00092020"/>
    <w:rsid w:val="00092E41"/>
    <w:rsid w:val="00097B4E"/>
    <w:rsid w:val="00097D3C"/>
    <w:rsid w:val="00097E6C"/>
    <w:rsid w:val="000A12D6"/>
    <w:rsid w:val="000A23A7"/>
    <w:rsid w:val="000A3A2B"/>
    <w:rsid w:val="000A4E70"/>
    <w:rsid w:val="000B2D8F"/>
    <w:rsid w:val="000B54E3"/>
    <w:rsid w:val="000B5A80"/>
    <w:rsid w:val="000C0996"/>
    <w:rsid w:val="000C17AC"/>
    <w:rsid w:val="000C29CD"/>
    <w:rsid w:val="000D0F6A"/>
    <w:rsid w:val="000D1363"/>
    <w:rsid w:val="000D189A"/>
    <w:rsid w:val="000D220B"/>
    <w:rsid w:val="000D3D46"/>
    <w:rsid w:val="000E0ECB"/>
    <w:rsid w:val="000E0F3F"/>
    <w:rsid w:val="000E5AD2"/>
    <w:rsid w:val="000E7244"/>
    <w:rsid w:val="000E7939"/>
    <w:rsid w:val="000F1FD4"/>
    <w:rsid w:val="000F1FFA"/>
    <w:rsid w:val="000F5214"/>
    <w:rsid w:val="000F6F81"/>
    <w:rsid w:val="000F6FFF"/>
    <w:rsid w:val="001023A0"/>
    <w:rsid w:val="001032F5"/>
    <w:rsid w:val="00103312"/>
    <w:rsid w:val="001047C9"/>
    <w:rsid w:val="001069BD"/>
    <w:rsid w:val="00110865"/>
    <w:rsid w:val="0011285D"/>
    <w:rsid w:val="00113557"/>
    <w:rsid w:val="00114AB6"/>
    <w:rsid w:val="00116855"/>
    <w:rsid w:val="00120B2D"/>
    <w:rsid w:val="0012196F"/>
    <w:rsid w:val="00121AB7"/>
    <w:rsid w:val="00121ACB"/>
    <w:rsid w:val="00121F5F"/>
    <w:rsid w:val="00127BAA"/>
    <w:rsid w:val="00130F4B"/>
    <w:rsid w:val="0013201B"/>
    <w:rsid w:val="001320EB"/>
    <w:rsid w:val="00132EB3"/>
    <w:rsid w:val="0014106A"/>
    <w:rsid w:val="00141149"/>
    <w:rsid w:val="00145E3F"/>
    <w:rsid w:val="001476F2"/>
    <w:rsid w:val="001513A3"/>
    <w:rsid w:val="00152AA9"/>
    <w:rsid w:val="001602CD"/>
    <w:rsid w:val="00160EE0"/>
    <w:rsid w:val="001613E2"/>
    <w:rsid w:val="00161941"/>
    <w:rsid w:val="00162593"/>
    <w:rsid w:val="00164746"/>
    <w:rsid w:val="0017516F"/>
    <w:rsid w:val="00176134"/>
    <w:rsid w:val="00182A5C"/>
    <w:rsid w:val="00185225"/>
    <w:rsid w:val="001854FD"/>
    <w:rsid w:val="00185FFD"/>
    <w:rsid w:val="00187A1E"/>
    <w:rsid w:val="001934C9"/>
    <w:rsid w:val="00196011"/>
    <w:rsid w:val="00196920"/>
    <w:rsid w:val="001A1BF9"/>
    <w:rsid w:val="001A2CF5"/>
    <w:rsid w:val="001A5D19"/>
    <w:rsid w:val="001A5D9E"/>
    <w:rsid w:val="001A612C"/>
    <w:rsid w:val="001B2B12"/>
    <w:rsid w:val="001C0C9E"/>
    <w:rsid w:val="001C46B7"/>
    <w:rsid w:val="001C5C24"/>
    <w:rsid w:val="001D1391"/>
    <w:rsid w:val="001D520A"/>
    <w:rsid w:val="001E493A"/>
    <w:rsid w:val="001E645B"/>
    <w:rsid w:val="001E655D"/>
    <w:rsid w:val="001F2890"/>
    <w:rsid w:val="001F308A"/>
    <w:rsid w:val="001F3F65"/>
    <w:rsid w:val="001F4648"/>
    <w:rsid w:val="001F4BCB"/>
    <w:rsid w:val="001F59F2"/>
    <w:rsid w:val="00200EE5"/>
    <w:rsid w:val="0020452A"/>
    <w:rsid w:val="002057C6"/>
    <w:rsid w:val="00206841"/>
    <w:rsid w:val="0021186C"/>
    <w:rsid w:val="002133B4"/>
    <w:rsid w:val="00213A91"/>
    <w:rsid w:val="002140EC"/>
    <w:rsid w:val="002164D5"/>
    <w:rsid w:val="00220C62"/>
    <w:rsid w:val="002215E0"/>
    <w:rsid w:val="002223F1"/>
    <w:rsid w:val="002238F2"/>
    <w:rsid w:val="00224BA8"/>
    <w:rsid w:val="00225268"/>
    <w:rsid w:val="0022642B"/>
    <w:rsid w:val="0023020E"/>
    <w:rsid w:val="00230A68"/>
    <w:rsid w:val="0023474B"/>
    <w:rsid w:val="00237D07"/>
    <w:rsid w:val="00241010"/>
    <w:rsid w:val="00241C39"/>
    <w:rsid w:val="002456A6"/>
    <w:rsid w:val="00250A44"/>
    <w:rsid w:val="00250FD1"/>
    <w:rsid w:val="00251710"/>
    <w:rsid w:val="0025315A"/>
    <w:rsid w:val="00253FAD"/>
    <w:rsid w:val="002549B9"/>
    <w:rsid w:val="00255C9C"/>
    <w:rsid w:val="00257E46"/>
    <w:rsid w:val="00261524"/>
    <w:rsid w:val="00261DC9"/>
    <w:rsid w:val="002621C9"/>
    <w:rsid w:val="00263883"/>
    <w:rsid w:val="00267528"/>
    <w:rsid w:val="00274AE4"/>
    <w:rsid w:val="00274DC7"/>
    <w:rsid w:val="00276172"/>
    <w:rsid w:val="00284107"/>
    <w:rsid w:val="00284536"/>
    <w:rsid w:val="00284BD2"/>
    <w:rsid w:val="00284F9C"/>
    <w:rsid w:val="002850F2"/>
    <w:rsid w:val="00294545"/>
    <w:rsid w:val="0029484A"/>
    <w:rsid w:val="00295774"/>
    <w:rsid w:val="002A37EB"/>
    <w:rsid w:val="002B1A09"/>
    <w:rsid w:val="002B2B6D"/>
    <w:rsid w:val="002B2EE5"/>
    <w:rsid w:val="002B47CC"/>
    <w:rsid w:val="002B4931"/>
    <w:rsid w:val="002B6EA6"/>
    <w:rsid w:val="002C0016"/>
    <w:rsid w:val="002C02DA"/>
    <w:rsid w:val="002C158E"/>
    <w:rsid w:val="002C1A5F"/>
    <w:rsid w:val="002C2773"/>
    <w:rsid w:val="002C2A49"/>
    <w:rsid w:val="002C795E"/>
    <w:rsid w:val="002D0905"/>
    <w:rsid w:val="002D1FA5"/>
    <w:rsid w:val="002D27BE"/>
    <w:rsid w:val="002D38C5"/>
    <w:rsid w:val="002D3D6A"/>
    <w:rsid w:val="002D5245"/>
    <w:rsid w:val="002D66C1"/>
    <w:rsid w:val="002E41F6"/>
    <w:rsid w:val="002E45F2"/>
    <w:rsid w:val="002E600C"/>
    <w:rsid w:val="002E6F97"/>
    <w:rsid w:val="002F2209"/>
    <w:rsid w:val="00301449"/>
    <w:rsid w:val="00306278"/>
    <w:rsid w:val="00312A0E"/>
    <w:rsid w:val="00313983"/>
    <w:rsid w:val="003152AA"/>
    <w:rsid w:val="00315C2E"/>
    <w:rsid w:val="00315CCB"/>
    <w:rsid w:val="00316C0E"/>
    <w:rsid w:val="00321D77"/>
    <w:rsid w:val="003254A8"/>
    <w:rsid w:val="003257E1"/>
    <w:rsid w:val="00325C56"/>
    <w:rsid w:val="0032604D"/>
    <w:rsid w:val="00330A55"/>
    <w:rsid w:val="0033128F"/>
    <w:rsid w:val="00335994"/>
    <w:rsid w:val="003462A4"/>
    <w:rsid w:val="003472B7"/>
    <w:rsid w:val="003514D6"/>
    <w:rsid w:val="00362604"/>
    <w:rsid w:val="00363043"/>
    <w:rsid w:val="00363AA8"/>
    <w:rsid w:val="00367ED0"/>
    <w:rsid w:val="00372BCF"/>
    <w:rsid w:val="00374E22"/>
    <w:rsid w:val="003763FA"/>
    <w:rsid w:val="00377056"/>
    <w:rsid w:val="00384B93"/>
    <w:rsid w:val="00384CCB"/>
    <w:rsid w:val="00387DCF"/>
    <w:rsid w:val="003910EF"/>
    <w:rsid w:val="003919E9"/>
    <w:rsid w:val="003925AC"/>
    <w:rsid w:val="00394BEE"/>
    <w:rsid w:val="00397EA6"/>
    <w:rsid w:val="003A002D"/>
    <w:rsid w:val="003A1BB8"/>
    <w:rsid w:val="003A1C12"/>
    <w:rsid w:val="003A393F"/>
    <w:rsid w:val="003B33FF"/>
    <w:rsid w:val="003B3DDD"/>
    <w:rsid w:val="003B4476"/>
    <w:rsid w:val="003B47AE"/>
    <w:rsid w:val="003B7313"/>
    <w:rsid w:val="003C25F9"/>
    <w:rsid w:val="003C2C05"/>
    <w:rsid w:val="003C4470"/>
    <w:rsid w:val="003C4C2E"/>
    <w:rsid w:val="003C6526"/>
    <w:rsid w:val="003C68A5"/>
    <w:rsid w:val="003D1AE7"/>
    <w:rsid w:val="003D3A46"/>
    <w:rsid w:val="003D4248"/>
    <w:rsid w:val="003D7661"/>
    <w:rsid w:val="003E1587"/>
    <w:rsid w:val="003E24A9"/>
    <w:rsid w:val="003E43DE"/>
    <w:rsid w:val="003E5692"/>
    <w:rsid w:val="003F0345"/>
    <w:rsid w:val="003F1F3B"/>
    <w:rsid w:val="00401978"/>
    <w:rsid w:val="00402600"/>
    <w:rsid w:val="004030A6"/>
    <w:rsid w:val="0040370B"/>
    <w:rsid w:val="004048E4"/>
    <w:rsid w:val="004101EB"/>
    <w:rsid w:val="0042483D"/>
    <w:rsid w:val="00424957"/>
    <w:rsid w:val="00424B5E"/>
    <w:rsid w:val="00430FC9"/>
    <w:rsid w:val="00437E92"/>
    <w:rsid w:val="00442413"/>
    <w:rsid w:val="00444A1F"/>
    <w:rsid w:val="0044510D"/>
    <w:rsid w:val="004463CE"/>
    <w:rsid w:val="0044680F"/>
    <w:rsid w:val="0044772C"/>
    <w:rsid w:val="00447CCE"/>
    <w:rsid w:val="004517A0"/>
    <w:rsid w:val="00452CF1"/>
    <w:rsid w:val="0045329D"/>
    <w:rsid w:val="0045465E"/>
    <w:rsid w:val="0045524E"/>
    <w:rsid w:val="00455E28"/>
    <w:rsid w:val="00457392"/>
    <w:rsid w:val="004602DD"/>
    <w:rsid w:val="004623AA"/>
    <w:rsid w:val="0046258C"/>
    <w:rsid w:val="00463E42"/>
    <w:rsid w:val="0046477A"/>
    <w:rsid w:val="00464A8E"/>
    <w:rsid w:val="00467E99"/>
    <w:rsid w:val="00471CAE"/>
    <w:rsid w:val="00471F7B"/>
    <w:rsid w:val="00472F24"/>
    <w:rsid w:val="00475377"/>
    <w:rsid w:val="00483A66"/>
    <w:rsid w:val="00485AC5"/>
    <w:rsid w:val="00487A71"/>
    <w:rsid w:val="00487F57"/>
    <w:rsid w:val="00492504"/>
    <w:rsid w:val="00492F13"/>
    <w:rsid w:val="00493DBF"/>
    <w:rsid w:val="004A20E0"/>
    <w:rsid w:val="004B1F3A"/>
    <w:rsid w:val="004B21EA"/>
    <w:rsid w:val="004B23AF"/>
    <w:rsid w:val="004B31CF"/>
    <w:rsid w:val="004C1BD5"/>
    <w:rsid w:val="004C3A84"/>
    <w:rsid w:val="004C588D"/>
    <w:rsid w:val="004D304D"/>
    <w:rsid w:val="004D5798"/>
    <w:rsid w:val="004D5ECD"/>
    <w:rsid w:val="004E0AE7"/>
    <w:rsid w:val="004E4E48"/>
    <w:rsid w:val="004F074D"/>
    <w:rsid w:val="004F2E7C"/>
    <w:rsid w:val="004F31EF"/>
    <w:rsid w:val="004F3216"/>
    <w:rsid w:val="004F377E"/>
    <w:rsid w:val="004F66EC"/>
    <w:rsid w:val="0050223A"/>
    <w:rsid w:val="00503FC8"/>
    <w:rsid w:val="0050690E"/>
    <w:rsid w:val="005105B1"/>
    <w:rsid w:val="005111FA"/>
    <w:rsid w:val="0051161B"/>
    <w:rsid w:val="00513FEB"/>
    <w:rsid w:val="005142D0"/>
    <w:rsid w:val="00515DB1"/>
    <w:rsid w:val="00520ABA"/>
    <w:rsid w:val="00520CF5"/>
    <w:rsid w:val="0052100B"/>
    <w:rsid w:val="005226E6"/>
    <w:rsid w:val="005306D3"/>
    <w:rsid w:val="00532A92"/>
    <w:rsid w:val="0053495B"/>
    <w:rsid w:val="0053736E"/>
    <w:rsid w:val="005376F9"/>
    <w:rsid w:val="0054114C"/>
    <w:rsid w:val="00542512"/>
    <w:rsid w:val="00543590"/>
    <w:rsid w:val="00543F7A"/>
    <w:rsid w:val="00545B3D"/>
    <w:rsid w:val="00550E6E"/>
    <w:rsid w:val="00551913"/>
    <w:rsid w:val="005534B5"/>
    <w:rsid w:val="00556287"/>
    <w:rsid w:val="005574A6"/>
    <w:rsid w:val="00562AC0"/>
    <w:rsid w:val="00562F25"/>
    <w:rsid w:val="005646C6"/>
    <w:rsid w:val="00566854"/>
    <w:rsid w:val="00566EC0"/>
    <w:rsid w:val="00574195"/>
    <w:rsid w:val="005835BE"/>
    <w:rsid w:val="00583BE3"/>
    <w:rsid w:val="005874B1"/>
    <w:rsid w:val="00587599"/>
    <w:rsid w:val="00592D06"/>
    <w:rsid w:val="0059387B"/>
    <w:rsid w:val="00593B90"/>
    <w:rsid w:val="00596B7E"/>
    <w:rsid w:val="005A113D"/>
    <w:rsid w:val="005A140F"/>
    <w:rsid w:val="005A2399"/>
    <w:rsid w:val="005A491A"/>
    <w:rsid w:val="005B054D"/>
    <w:rsid w:val="005B1665"/>
    <w:rsid w:val="005B2158"/>
    <w:rsid w:val="005B2602"/>
    <w:rsid w:val="005B2B2E"/>
    <w:rsid w:val="005B4386"/>
    <w:rsid w:val="005B4EBC"/>
    <w:rsid w:val="005C13A5"/>
    <w:rsid w:val="005C3D78"/>
    <w:rsid w:val="005D2ECE"/>
    <w:rsid w:val="005D3036"/>
    <w:rsid w:val="005D4DB3"/>
    <w:rsid w:val="005D71C3"/>
    <w:rsid w:val="005D7B2F"/>
    <w:rsid w:val="005E2099"/>
    <w:rsid w:val="005E2EA9"/>
    <w:rsid w:val="005E3ABA"/>
    <w:rsid w:val="005E634B"/>
    <w:rsid w:val="005F4582"/>
    <w:rsid w:val="005F4D04"/>
    <w:rsid w:val="005F6225"/>
    <w:rsid w:val="005F688D"/>
    <w:rsid w:val="005F79F1"/>
    <w:rsid w:val="005F7B77"/>
    <w:rsid w:val="00600B23"/>
    <w:rsid w:val="006011CD"/>
    <w:rsid w:val="00601BBD"/>
    <w:rsid w:val="00602694"/>
    <w:rsid w:val="006035D8"/>
    <w:rsid w:val="00610E68"/>
    <w:rsid w:val="0061239E"/>
    <w:rsid w:val="0061451B"/>
    <w:rsid w:val="0061660B"/>
    <w:rsid w:val="006168F1"/>
    <w:rsid w:val="00622591"/>
    <w:rsid w:val="00622E9B"/>
    <w:rsid w:val="00623384"/>
    <w:rsid w:val="0062356B"/>
    <w:rsid w:val="0062397E"/>
    <w:rsid w:val="00626ABF"/>
    <w:rsid w:val="00626CCD"/>
    <w:rsid w:val="006337AC"/>
    <w:rsid w:val="00635B16"/>
    <w:rsid w:val="006433D1"/>
    <w:rsid w:val="00644081"/>
    <w:rsid w:val="0064780A"/>
    <w:rsid w:val="006510EC"/>
    <w:rsid w:val="00652AFC"/>
    <w:rsid w:val="00655217"/>
    <w:rsid w:val="00660B12"/>
    <w:rsid w:val="00676BB8"/>
    <w:rsid w:val="00677661"/>
    <w:rsid w:val="0068168C"/>
    <w:rsid w:val="0068214C"/>
    <w:rsid w:val="00683535"/>
    <w:rsid w:val="006877D1"/>
    <w:rsid w:val="00687EB5"/>
    <w:rsid w:val="00687F5D"/>
    <w:rsid w:val="006925FF"/>
    <w:rsid w:val="006A29BA"/>
    <w:rsid w:val="006A3B51"/>
    <w:rsid w:val="006A4A29"/>
    <w:rsid w:val="006B0D56"/>
    <w:rsid w:val="006B11D6"/>
    <w:rsid w:val="006C12B1"/>
    <w:rsid w:val="006D10CE"/>
    <w:rsid w:val="006D2183"/>
    <w:rsid w:val="006D3F5B"/>
    <w:rsid w:val="006D6957"/>
    <w:rsid w:val="006D6A88"/>
    <w:rsid w:val="006D7250"/>
    <w:rsid w:val="006D79DE"/>
    <w:rsid w:val="006E0763"/>
    <w:rsid w:val="006E17D0"/>
    <w:rsid w:val="006E4A71"/>
    <w:rsid w:val="006E4CED"/>
    <w:rsid w:val="006E5471"/>
    <w:rsid w:val="006F114F"/>
    <w:rsid w:val="006F11D6"/>
    <w:rsid w:val="006F3164"/>
    <w:rsid w:val="006F46AA"/>
    <w:rsid w:val="00700149"/>
    <w:rsid w:val="007066CC"/>
    <w:rsid w:val="00710087"/>
    <w:rsid w:val="00711D95"/>
    <w:rsid w:val="00712308"/>
    <w:rsid w:val="0071487B"/>
    <w:rsid w:val="00715343"/>
    <w:rsid w:val="00715C06"/>
    <w:rsid w:val="00715FC3"/>
    <w:rsid w:val="007162E5"/>
    <w:rsid w:val="00721556"/>
    <w:rsid w:val="0072288B"/>
    <w:rsid w:val="00722B60"/>
    <w:rsid w:val="00725CAA"/>
    <w:rsid w:val="007271F8"/>
    <w:rsid w:val="00727DE5"/>
    <w:rsid w:val="007316B8"/>
    <w:rsid w:val="00731A79"/>
    <w:rsid w:val="00732634"/>
    <w:rsid w:val="00733811"/>
    <w:rsid w:val="00737FA0"/>
    <w:rsid w:val="00747E90"/>
    <w:rsid w:val="00750489"/>
    <w:rsid w:val="00751C95"/>
    <w:rsid w:val="00752A43"/>
    <w:rsid w:val="00754F0C"/>
    <w:rsid w:val="007562AA"/>
    <w:rsid w:val="007667CB"/>
    <w:rsid w:val="007676BD"/>
    <w:rsid w:val="00767DF8"/>
    <w:rsid w:val="00770C07"/>
    <w:rsid w:val="00772A96"/>
    <w:rsid w:val="00773290"/>
    <w:rsid w:val="00775543"/>
    <w:rsid w:val="0077648D"/>
    <w:rsid w:val="00776664"/>
    <w:rsid w:val="00776C9F"/>
    <w:rsid w:val="00780ADA"/>
    <w:rsid w:val="00780EA8"/>
    <w:rsid w:val="00781DEF"/>
    <w:rsid w:val="00782279"/>
    <w:rsid w:val="00782B1A"/>
    <w:rsid w:val="00783571"/>
    <w:rsid w:val="007835B0"/>
    <w:rsid w:val="00784CD9"/>
    <w:rsid w:val="00785B8B"/>
    <w:rsid w:val="00785FE7"/>
    <w:rsid w:val="007865AC"/>
    <w:rsid w:val="00786E74"/>
    <w:rsid w:val="00791F22"/>
    <w:rsid w:val="007924D2"/>
    <w:rsid w:val="007931B4"/>
    <w:rsid w:val="007937DA"/>
    <w:rsid w:val="007A27B6"/>
    <w:rsid w:val="007A2CDD"/>
    <w:rsid w:val="007A2EAC"/>
    <w:rsid w:val="007A55CF"/>
    <w:rsid w:val="007A5DE5"/>
    <w:rsid w:val="007B41FD"/>
    <w:rsid w:val="007B469D"/>
    <w:rsid w:val="007B67A8"/>
    <w:rsid w:val="007C0565"/>
    <w:rsid w:val="007C1B89"/>
    <w:rsid w:val="007C4DAB"/>
    <w:rsid w:val="007C517D"/>
    <w:rsid w:val="007C5575"/>
    <w:rsid w:val="007C6D12"/>
    <w:rsid w:val="007D05EA"/>
    <w:rsid w:val="007D095A"/>
    <w:rsid w:val="007D0E84"/>
    <w:rsid w:val="007D1330"/>
    <w:rsid w:val="007D4919"/>
    <w:rsid w:val="007D60F2"/>
    <w:rsid w:val="007E195F"/>
    <w:rsid w:val="007E2C0A"/>
    <w:rsid w:val="007E7A17"/>
    <w:rsid w:val="007F4FDA"/>
    <w:rsid w:val="007F519F"/>
    <w:rsid w:val="007F5ECD"/>
    <w:rsid w:val="007F62B9"/>
    <w:rsid w:val="007F7978"/>
    <w:rsid w:val="00802225"/>
    <w:rsid w:val="00802A06"/>
    <w:rsid w:val="00804753"/>
    <w:rsid w:val="00804F92"/>
    <w:rsid w:val="008073A0"/>
    <w:rsid w:val="008117DC"/>
    <w:rsid w:val="00812DC4"/>
    <w:rsid w:val="008213F8"/>
    <w:rsid w:val="008220D4"/>
    <w:rsid w:val="00822570"/>
    <w:rsid w:val="00822D53"/>
    <w:rsid w:val="008250C6"/>
    <w:rsid w:val="00830848"/>
    <w:rsid w:val="00830B0B"/>
    <w:rsid w:val="0083163E"/>
    <w:rsid w:val="0083415C"/>
    <w:rsid w:val="00834E5C"/>
    <w:rsid w:val="00835A52"/>
    <w:rsid w:val="00841E38"/>
    <w:rsid w:val="00845BB6"/>
    <w:rsid w:val="008528F7"/>
    <w:rsid w:val="00854B10"/>
    <w:rsid w:val="0086404D"/>
    <w:rsid w:val="00865D34"/>
    <w:rsid w:val="00866A67"/>
    <w:rsid w:val="00866CF4"/>
    <w:rsid w:val="008671D5"/>
    <w:rsid w:val="00867A54"/>
    <w:rsid w:val="00871AFF"/>
    <w:rsid w:val="00876314"/>
    <w:rsid w:val="0088102F"/>
    <w:rsid w:val="00883F8C"/>
    <w:rsid w:val="00884DA8"/>
    <w:rsid w:val="00884DC4"/>
    <w:rsid w:val="008855DA"/>
    <w:rsid w:val="0088676E"/>
    <w:rsid w:val="00887B02"/>
    <w:rsid w:val="00892F91"/>
    <w:rsid w:val="0089373A"/>
    <w:rsid w:val="0089537F"/>
    <w:rsid w:val="00896EEC"/>
    <w:rsid w:val="008A3261"/>
    <w:rsid w:val="008A6CAA"/>
    <w:rsid w:val="008B0F11"/>
    <w:rsid w:val="008B1397"/>
    <w:rsid w:val="008C4CFA"/>
    <w:rsid w:val="008C6E82"/>
    <w:rsid w:val="008C7470"/>
    <w:rsid w:val="008D2753"/>
    <w:rsid w:val="008D3200"/>
    <w:rsid w:val="008D5AB6"/>
    <w:rsid w:val="008D7FC1"/>
    <w:rsid w:val="008E0645"/>
    <w:rsid w:val="008E2B6D"/>
    <w:rsid w:val="008E3793"/>
    <w:rsid w:val="008E48CF"/>
    <w:rsid w:val="008E740D"/>
    <w:rsid w:val="008F0111"/>
    <w:rsid w:val="008F15E7"/>
    <w:rsid w:val="008F2776"/>
    <w:rsid w:val="008F3643"/>
    <w:rsid w:val="009015B5"/>
    <w:rsid w:val="00903ABF"/>
    <w:rsid w:val="00907823"/>
    <w:rsid w:val="009108F2"/>
    <w:rsid w:val="00913254"/>
    <w:rsid w:val="00913545"/>
    <w:rsid w:val="009149C8"/>
    <w:rsid w:val="009158E4"/>
    <w:rsid w:val="00922050"/>
    <w:rsid w:val="0092558B"/>
    <w:rsid w:val="00926813"/>
    <w:rsid w:val="00931213"/>
    <w:rsid w:val="00932282"/>
    <w:rsid w:val="0093439D"/>
    <w:rsid w:val="0093677C"/>
    <w:rsid w:val="009424C7"/>
    <w:rsid w:val="00945D93"/>
    <w:rsid w:val="00946506"/>
    <w:rsid w:val="009466F3"/>
    <w:rsid w:val="00947928"/>
    <w:rsid w:val="00952F00"/>
    <w:rsid w:val="009545CF"/>
    <w:rsid w:val="00954F87"/>
    <w:rsid w:val="0095653A"/>
    <w:rsid w:val="00956A7D"/>
    <w:rsid w:val="00956CD3"/>
    <w:rsid w:val="009574F8"/>
    <w:rsid w:val="00961065"/>
    <w:rsid w:val="00961259"/>
    <w:rsid w:val="00961D6D"/>
    <w:rsid w:val="00962347"/>
    <w:rsid w:val="00962F90"/>
    <w:rsid w:val="00963119"/>
    <w:rsid w:val="00964FCA"/>
    <w:rsid w:val="0096705F"/>
    <w:rsid w:val="00971A3C"/>
    <w:rsid w:val="0097399E"/>
    <w:rsid w:val="00975BAB"/>
    <w:rsid w:val="00975CDC"/>
    <w:rsid w:val="009807E4"/>
    <w:rsid w:val="00980DC1"/>
    <w:rsid w:val="00987CFF"/>
    <w:rsid w:val="00992C21"/>
    <w:rsid w:val="009934AA"/>
    <w:rsid w:val="009953A1"/>
    <w:rsid w:val="00996D72"/>
    <w:rsid w:val="0099755B"/>
    <w:rsid w:val="00997B59"/>
    <w:rsid w:val="009A131C"/>
    <w:rsid w:val="009A1EE3"/>
    <w:rsid w:val="009A6A8D"/>
    <w:rsid w:val="009B2706"/>
    <w:rsid w:val="009B4EDF"/>
    <w:rsid w:val="009B5E9B"/>
    <w:rsid w:val="009B7F2B"/>
    <w:rsid w:val="009C0540"/>
    <w:rsid w:val="009D0A2D"/>
    <w:rsid w:val="009D5C53"/>
    <w:rsid w:val="009D7670"/>
    <w:rsid w:val="009E10D3"/>
    <w:rsid w:val="009E3E08"/>
    <w:rsid w:val="009E407A"/>
    <w:rsid w:val="009E4580"/>
    <w:rsid w:val="009E5DFC"/>
    <w:rsid w:val="009F60B3"/>
    <w:rsid w:val="009F6DD7"/>
    <w:rsid w:val="00A017FF"/>
    <w:rsid w:val="00A024D4"/>
    <w:rsid w:val="00A03477"/>
    <w:rsid w:val="00A044DF"/>
    <w:rsid w:val="00A046B2"/>
    <w:rsid w:val="00A04A58"/>
    <w:rsid w:val="00A0556D"/>
    <w:rsid w:val="00A06CE9"/>
    <w:rsid w:val="00A107FB"/>
    <w:rsid w:val="00A110B1"/>
    <w:rsid w:val="00A12534"/>
    <w:rsid w:val="00A127D4"/>
    <w:rsid w:val="00A14BA2"/>
    <w:rsid w:val="00A14FB1"/>
    <w:rsid w:val="00A165F7"/>
    <w:rsid w:val="00A22946"/>
    <w:rsid w:val="00A22B69"/>
    <w:rsid w:val="00A22C89"/>
    <w:rsid w:val="00A246BC"/>
    <w:rsid w:val="00A254A5"/>
    <w:rsid w:val="00A25F2A"/>
    <w:rsid w:val="00A27950"/>
    <w:rsid w:val="00A312CB"/>
    <w:rsid w:val="00A32DC7"/>
    <w:rsid w:val="00A333BB"/>
    <w:rsid w:val="00A36C28"/>
    <w:rsid w:val="00A403E1"/>
    <w:rsid w:val="00A42CF2"/>
    <w:rsid w:val="00A43988"/>
    <w:rsid w:val="00A45BAD"/>
    <w:rsid w:val="00A50A8B"/>
    <w:rsid w:val="00A524B9"/>
    <w:rsid w:val="00A60525"/>
    <w:rsid w:val="00A60B7E"/>
    <w:rsid w:val="00A6194C"/>
    <w:rsid w:val="00A62644"/>
    <w:rsid w:val="00A659A9"/>
    <w:rsid w:val="00A66A2E"/>
    <w:rsid w:val="00A67002"/>
    <w:rsid w:val="00A7074B"/>
    <w:rsid w:val="00A71385"/>
    <w:rsid w:val="00A768B2"/>
    <w:rsid w:val="00A77495"/>
    <w:rsid w:val="00A77EE3"/>
    <w:rsid w:val="00A97A61"/>
    <w:rsid w:val="00A97F12"/>
    <w:rsid w:val="00AA427E"/>
    <w:rsid w:val="00AA7A5E"/>
    <w:rsid w:val="00AB041F"/>
    <w:rsid w:val="00AB1D2C"/>
    <w:rsid w:val="00AB5D89"/>
    <w:rsid w:val="00AB6DA4"/>
    <w:rsid w:val="00AB784B"/>
    <w:rsid w:val="00AB7C29"/>
    <w:rsid w:val="00AC33C6"/>
    <w:rsid w:val="00AC33F4"/>
    <w:rsid w:val="00AC54F1"/>
    <w:rsid w:val="00AD2220"/>
    <w:rsid w:val="00AD258E"/>
    <w:rsid w:val="00AD2616"/>
    <w:rsid w:val="00AD2DB6"/>
    <w:rsid w:val="00AD2F18"/>
    <w:rsid w:val="00AD35D8"/>
    <w:rsid w:val="00AD44AD"/>
    <w:rsid w:val="00AD7533"/>
    <w:rsid w:val="00AE0578"/>
    <w:rsid w:val="00AE4511"/>
    <w:rsid w:val="00AE5CEE"/>
    <w:rsid w:val="00AE69F0"/>
    <w:rsid w:val="00AE7DF3"/>
    <w:rsid w:val="00AF0959"/>
    <w:rsid w:val="00AF0EEB"/>
    <w:rsid w:val="00AF1919"/>
    <w:rsid w:val="00AF5011"/>
    <w:rsid w:val="00AF6FD1"/>
    <w:rsid w:val="00B06ED7"/>
    <w:rsid w:val="00B16981"/>
    <w:rsid w:val="00B16CE3"/>
    <w:rsid w:val="00B16D7D"/>
    <w:rsid w:val="00B1768D"/>
    <w:rsid w:val="00B17B84"/>
    <w:rsid w:val="00B17F23"/>
    <w:rsid w:val="00B24442"/>
    <w:rsid w:val="00B264F2"/>
    <w:rsid w:val="00B27BD7"/>
    <w:rsid w:val="00B3005D"/>
    <w:rsid w:val="00B300C5"/>
    <w:rsid w:val="00B31DF2"/>
    <w:rsid w:val="00B366DE"/>
    <w:rsid w:val="00B37CB9"/>
    <w:rsid w:val="00B42CE5"/>
    <w:rsid w:val="00B43396"/>
    <w:rsid w:val="00B465A5"/>
    <w:rsid w:val="00B477A2"/>
    <w:rsid w:val="00B558DF"/>
    <w:rsid w:val="00B57582"/>
    <w:rsid w:val="00B6033D"/>
    <w:rsid w:val="00B66B40"/>
    <w:rsid w:val="00B75793"/>
    <w:rsid w:val="00B81D14"/>
    <w:rsid w:val="00B82478"/>
    <w:rsid w:val="00B854F7"/>
    <w:rsid w:val="00B87ADE"/>
    <w:rsid w:val="00B87CDF"/>
    <w:rsid w:val="00B9051F"/>
    <w:rsid w:val="00B90B48"/>
    <w:rsid w:val="00B90DCC"/>
    <w:rsid w:val="00B92971"/>
    <w:rsid w:val="00B93203"/>
    <w:rsid w:val="00B964DE"/>
    <w:rsid w:val="00B966C3"/>
    <w:rsid w:val="00BA22F2"/>
    <w:rsid w:val="00BA29E4"/>
    <w:rsid w:val="00BA4F15"/>
    <w:rsid w:val="00BA68E1"/>
    <w:rsid w:val="00BB0071"/>
    <w:rsid w:val="00BB5006"/>
    <w:rsid w:val="00BC02B6"/>
    <w:rsid w:val="00BC2E05"/>
    <w:rsid w:val="00BC3F5B"/>
    <w:rsid w:val="00BC6E56"/>
    <w:rsid w:val="00BC730E"/>
    <w:rsid w:val="00BC786B"/>
    <w:rsid w:val="00BC78AE"/>
    <w:rsid w:val="00BD2BBE"/>
    <w:rsid w:val="00BD3845"/>
    <w:rsid w:val="00BD5C4C"/>
    <w:rsid w:val="00BD6403"/>
    <w:rsid w:val="00BE066A"/>
    <w:rsid w:val="00BE1C90"/>
    <w:rsid w:val="00BE2576"/>
    <w:rsid w:val="00BE3998"/>
    <w:rsid w:val="00BE5BF1"/>
    <w:rsid w:val="00BE61D4"/>
    <w:rsid w:val="00BE6806"/>
    <w:rsid w:val="00BE78A2"/>
    <w:rsid w:val="00BF0D43"/>
    <w:rsid w:val="00BF1854"/>
    <w:rsid w:val="00BF41EA"/>
    <w:rsid w:val="00BF7BE0"/>
    <w:rsid w:val="00C001AB"/>
    <w:rsid w:val="00C0079C"/>
    <w:rsid w:val="00C0178A"/>
    <w:rsid w:val="00C06094"/>
    <w:rsid w:val="00C06125"/>
    <w:rsid w:val="00C071F9"/>
    <w:rsid w:val="00C14039"/>
    <w:rsid w:val="00C1424E"/>
    <w:rsid w:val="00C16F05"/>
    <w:rsid w:val="00C2070D"/>
    <w:rsid w:val="00C24270"/>
    <w:rsid w:val="00C24A94"/>
    <w:rsid w:val="00C25909"/>
    <w:rsid w:val="00C32D39"/>
    <w:rsid w:val="00C33768"/>
    <w:rsid w:val="00C33B7A"/>
    <w:rsid w:val="00C370C0"/>
    <w:rsid w:val="00C379D5"/>
    <w:rsid w:val="00C37F94"/>
    <w:rsid w:val="00C436D6"/>
    <w:rsid w:val="00C43E70"/>
    <w:rsid w:val="00C455B5"/>
    <w:rsid w:val="00C47DBF"/>
    <w:rsid w:val="00C5064B"/>
    <w:rsid w:val="00C50DE0"/>
    <w:rsid w:val="00C51A18"/>
    <w:rsid w:val="00C52355"/>
    <w:rsid w:val="00C572DA"/>
    <w:rsid w:val="00C60488"/>
    <w:rsid w:val="00C60BCC"/>
    <w:rsid w:val="00C611B1"/>
    <w:rsid w:val="00C66D67"/>
    <w:rsid w:val="00C71601"/>
    <w:rsid w:val="00C73DB3"/>
    <w:rsid w:val="00C741CA"/>
    <w:rsid w:val="00C761E7"/>
    <w:rsid w:val="00C77635"/>
    <w:rsid w:val="00C810C9"/>
    <w:rsid w:val="00C84A85"/>
    <w:rsid w:val="00C84DF0"/>
    <w:rsid w:val="00C87BFC"/>
    <w:rsid w:val="00C90066"/>
    <w:rsid w:val="00C91132"/>
    <w:rsid w:val="00C9357F"/>
    <w:rsid w:val="00C94435"/>
    <w:rsid w:val="00C9512E"/>
    <w:rsid w:val="00C958D5"/>
    <w:rsid w:val="00C96ADE"/>
    <w:rsid w:val="00CA013B"/>
    <w:rsid w:val="00CA0A03"/>
    <w:rsid w:val="00CA3217"/>
    <w:rsid w:val="00CA5A9F"/>
    <w:rsid w:val="00CB324E"/>
    <w:rsid w:val="00CB42C9"/>
    <w:rsid w:val="00CB5359"/>
    <w:rsid w:val="00CB73C5"/>
    <w:rsid w:val="00CC10E7"/>
    <w:rsid w:val="00CC188F"/>
    <w:rsid w:val="00CC1E91"/>
    <w:rsid w:val="00CC4262"/>
    <w:rsid w:val="00CC430B"/>
    <w:rsid w:val="00CC6E10"/>
    <w:rsid w:val="00CD2352"/>
    <w:rsid w:val="00CD3ED9"/>
    <w:rsid w:val="00CD4071"/>
    <w:rsid w:val="00CD4250"/>
    <w:rsid w:val="00CD47B5"/>
    <w:rsid w:val="00CD795E"/>
    <w:rsid w:val="00CF0C4B"/>
    <w:rsid w:val="00CF21C5"/>
    <w:rsid w:val="00CF25CF"/>
    <w:rsid w:val="00CF4D42"/>
    <w:rsid w:val="00D00AFE"/>
    <w:rsid w:val="00D01240"/>
    <w:rsid w:val="00D01E24"/>
    <w:rsid w:val="00D026A7"/>
    <w:rsid w:val="00D10251"/>
    <w:rsid w:val="00D10DB1"/>
    <w:rsid w:val="00D13B20"/>
    <w:rsid w:val="00D1762C"/>
    <w:rsid w:val="00D207ED"/>
    <w:rsid w:val="00D22EC0"/>
    <w:rsid w:val="00D23779"/>
    <w:rsid w:val="00D31FE7"/>
    <w:rsid w:val="00D3435A"/>
    <w:rsid w:val="00D411DD"/>
    <w:rsid w:val="00D41CF0"/>
    <w:rsid w:val="00D421B9"/>
    <w:rsid w:val="00D42685"/>
    <w:rsid w:val="00D42C51"/>
    <w:rsid w:val="00D44B6D"/>
    <w:rsid w:val="00D44E7C"/>
    <w:rsid w:val="00D45223"/>
    <w:rsid w:val="00D47F4A"/>
    <w:rsid w:val="00D53697"/>
    <w:rsid w:val="00D56CC4"/>
    <w:rsid w:val="00D62188"/>
    <w:rsid w:val="00D63980"/>
    <w:rsid w:val="00D66093"/>
    <w:rsid w:val="00D67406"/>
    <w:rsid w:val="00D701E4"/>
    <w:rsid w:val="00D716F8"/>
    <w:rsid w:val="00D84885"/>
    <w:rsid w:val="00D906EC"/>
    <w:rsid w:val="00D91394"/>
    <w:rsid w:val="00D93F3B"/>
    <w:rsid w:val="00D94EE3"/>
    <w:rsid w:val="00D968F5"/>
    <w:rsid w:val="00DA3984"/>
    <w:rsid w:val="00DA6CC1"/>
    <w:rsid w:val="00DA6E96"/>
    <w:rsid w:val="00DB223B"/>
    <w:rsid w:val="00DB2AC4"/>
    <w:rsid w:val="00DB427A"/>
    <w:rsid w:val="00DB4BFC"/>
    <w:rsid w:val="00DB710B"/>
    <w:rsid w:val="00DB7353"/>
    <w:rsid w:val="00DB7DAE"/>
    <w:rsid w:val="00DC1787"/>
    <w:rsid w:val="00DC1BAD"/>
    <w:rsid w:val="00DC2A36"/>
    <w:rsid w:val="00DC2C9F"/>
    <w:rsid w:val="00DC32BC"/>
    <w:rsid w:val="00DC49AB"/>
    <w:rsid w:val="00DC4C41"/>
    <w:rsid w:val="00DC5A96"/>
    <w:rsid w:val="00DC6308"/>
    <w:rsid w:val="00DD04BD"/>
    <w:rsid w:val="00DD31F9"/>
    <w:rsid w:val="00DD404E"/>
    <w:rsid w:val="00DD5895"/>
    <w:rsid w:val="00DE08E6"/>
    <w:rsid w:val="00DE43D0"/>
    <w:rsid w:val="00DE50FE"/>
    <w:rsid w:val="00DE7638"/>
    <w:rsid w:val="00DF013A"/>
    <w:rsid w:val="00DF146E"/>
    <w:rsid w:val="00DF147D"/>
    <w:rsid w:val="00DF160F"/>
    <w:rsid w:val="00DF1C2E"/>
    <w:rsid w:val="00DF1F68"/>
    <w:rsid w:val="00DF252B"/>
    <w:rsid w:val="00DF2B85"/>
    <w:rsid w:val="00DF37D6"/>
    <w:rsid w:val="00E01B5F"/>
    <w:rsid w:val="00E02556"/>
    <w:rsid w:val="00E026F2"/>
    <w:rsid w:val="00E02D18"/>
    <w:rsid w:val="00E02FA4"/>
    <w:rsid w:val="00E037B7"/>
    <w:rsid w:val="00E0570D"/>
    <w:rsid w:val="00E0682A"/>
    <w:rsid w:val="00E121EA"/>
    <w:rsid w:val="00E12CFF"/>
    <w:rsid w:val="00E13F54"/>
    <w:rsid w:val="00E157EF"/>
    <w:rsid w:val="00E17886"/>
    <w:rsid w:val="00E2413E"/>
    <w:rsid w:val="00E270D4"/>
    <w:rsid w:val="00E300E9"/>
    <w:rsid w:val="00E31248"/>
    <w:rsid w:val="00E31B11"/>
    <w:rsid w:val="00E33401"/>
    <w:rsid w:val="00E34A0B"/>
    <w:rsid w:val="00E35319"/>
    <w:rsid w:val="00E3570F"/>
    <w:rsid w:val="00E37081"/>
    <w:rsid w:val="00E42B82"/>
    <w:rsid w:val="00E43421"/>
    <w:rsid w:val="00E506C2"/>
    <w:rsid w:val="00E511EB"/>
    <w:rsid w:val="00E54A2B"/>
    <w:rsid w:val="00E551D2"/>
    <w:rsid w:val="00E55D6D"/>
    <w:rsid w:val="00E60276"/>
    <w:rsid w:val="00E67DE0"/>
    <w:rsid w:val="00E70177"/>
    <w:rsid w:val="00E71874"/>
    <w:rsid w:val="00E72BFD"/>
    <w:rsid w:val="00E73621"/>
    <w:rsid w:val="00E74DB6"/>
    <w:rsid w:val="00E811A3"/>
    <w:rsid w:val="00E84FEB"/>
    <w:rsid w:val="00E8581B"/>
    <w:rsid w:val="00E90B2C"/>
    <w:rsid w:val="00E939DB"/>
    <w:rsid w:val="00E961BC"/>
    <w:rsid w:val="00EA3696"/>
    <w:rsid w:val="00EA55B4"/>
    <w:rsid w:val="00EA5697"/>
    <w:rsid w:val="00EA5C2D"/>
    <w:rsid w:val="00EA778C"/>
    <w:rsid w:val="00EB0892"/>
    <w:rsid w:val="00EB19A4"/>
    <w:rsid w:val="00EB2F8D"/>
    <w:rsid w:val="00EB35D3"/>
    <w:rsid w:val="00EB4007"/>
    <w:rsid w:val="00EB5470"/>
    <w:rsid w:val="00EC2BAD"/>
    <w:rsid w:val="00EC3984"/>
    <w:rsid w:val="00ED405B"/>
    <w:rsid w:val="00ED777C"/>
    <w:rsid w:val="00ED7BEE"/>
    <w:rsid w:val="00EE0809"/>
    <w:rsid w:val="00EE1BDD"/>
    <w:rsid w:val="00EE2B68"/>
    <w:rsid w:val="00EE4E2A"/>
    <w:rsid w:val="00EE7951"/>
    <w:rsid w:val="00EF0210"/>
    <w:rsid w:val="00EF4A95"/>
    <w:rsid w:val="00EF77D5"/>
    <w:rsid w:val="00F01B14"/>
    <w:rsid w:val="00F028E9"/>
    <w:rsid w:val="00F07A7F"/>
    <w:rsid w:val="00F109EF"/>
    <w:rsid w:val="00F22608"/>
    <w:rsid w:val="00F301EC"/>
    <w:rsid w:val="00F313BD"/>
    <w:rsid w:val="00F35357"/>
    <w:rsid w:val="00F357FC"/>
    <w:rsid w:val="00F50B32"/>
    <w:rsid w:val="00F50BCB"/>
    <w:rsid w:val="00F515CB"/>
    <w:rsid w:val="00F53D76"/>
    <w:rsid w:val="00F53F7A"/>
    <w:rsid w:val="00F569F8"/>
    <w:rsid w:val="00F601BC"/>
    <w:rsid w:val="00F70A56"/>
    <w:rsid w:val="00F71B07"/>
    <w:rsid w:val="00F72459"/>
    <w:rsid w:val="00F7334A"/>
    <w:rsid w:val="00F74802"/>
    <w:rsid w:val="00F750A6"/>
    <w:rsid w:val="00F772E6"/>
    <w:rsid w:val="00F82E58"/>
    <w:rsid w:val="00F84681"/>
    <w:rsid w:val="00F8569A"/>
    <w:rsid w:val="00F87678"/>
    <w:rsid w:val="00F9069A"/>
    <w:rsid w:val="00F933F6"/>
    <w:rsid w:val="00FA0596"/>
    <w:rsid w:val="00FA07DF"/>
    <w:rsid w:val="00FA0C75"/>
    <w:rsid w:val="00FA0DCA"/>
    <w:rsid w:val="00FA4A04"/>
    <w:rsid w:val="00FA6C7F"/>
    <w:rsid w:val="00FB0B62"/>
    <w:rsid w:val="00FB2803"/>
    <w:rsid w:val="00FB4CC5"/>
    <w:rsid w:val="00FB5284"/>
    <w:rsid w:val="00FB7012"/>
    <w:rsid w:val="00FB707D"/>
    <w:rsid w:val="00FB76BE"/>
    <w:rsid w:val="00FC09C5"/>
    <w:rsid w:val="00FC0CA1"/>
    <w:rsid w:val="00FC142B"/>
    <w:rsid w:val="00FC2E21"/>
    <w:rsid w:val="00FD1AEE"/>
    <w:rsid w:val="00FD20B0"/>
    <w:rsid w:val="00FD302C"/>
    <w:rsid w:val="00FD3A6E"/>
    <w:rsid w:val="00FD71C8"/>
    <w:rsid w:val="00FD79C6"/>
    <w:rsid w:val="00FE6039"/>
    <w:rsid w:val="00FE795D"/>
    <w:rsid w:val="00FF5DEE"/>
    <w:rsid w:val="00FF6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CE66F"/>
  <w15:docId w15:val="{5D6A4ED1-09B1-4013-86B8-419B89B7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06"/>
    <w:pPr>
      <w:spacing w:after="240" w:line="240" w:lineRule="auto"/>
    </w:pPr>
  </w:style>
  <w:style w:type="paragraph" w:styleId="Heading1">
    <w:name w:val="heading 1"/>
    <w:basedOn w:val="Normal"/>
    <w:next w:val="Normal"/>
    <w:link w:val="Heading1Char"/>
    <w:uiPriority w:val="2"/>
    <w:qFormat/>
    <w:rsid w:val="007C6D12"/>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EB4007"/>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semiHidden/>
    <w:unhideWhenUsed/>
    <w:qFormat/>
    <w:rsid w:val="009F60B3"/>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2"/>
    <w:semiHidden/>
    <w:unhideWhenUsed/>
    <w:qFormat/>
    <w:rsid w:val="00DC4C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7C6D12"/>
    <w:pPr>
      <w:pBdr>
        <w:bottom w:val="single" w:sz="8" w:space="4" w:color="1F497D" w:themeColor="text2"/>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D12"/>
    <w:rPr>
      <w:rFonts w:ascii="Arial" w:eastAsiaTheme="majorEastAsia" w:hAnsi="Arial"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2"/>
    <w:rsid w:val="009F60B3"/>
    <w:rPr>
      <w:rFonts w:ascii="Calibri" w:eastAsiaTheme="majorEastAsia" w:hAnsi="Calibri" w:cstheme="majorBidi"/>
      <w:b/>
      <w:bCs/>
      <w:color w:val="1F497D" w:themeColor="text2"/>
      <w:sz w:val="32"/>
      <w:szCs w:val="28"/>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unhideWhenUsed/>
    <w:rsid w:val="00946506"/>
    <w:pPr>
      <w:spacing w:before="100" w:after="60"/>
    </w:pPr>
    <w:rPr>
      <w:b/>
    </w:rPr>
  </w:style>
  <w:style w:type="character" w:styleId="Hyperlink">
    <w:name w:val="Hyperlink"/>
    <w:basedOn w:val="DefaultParagraphFont"/>
    <w:uiPriority w:val="99"/>
    <w:unhideWhenUsed/>
    <w:rsid w:val="00E551D2"/>
    <w:rPr>
      <w:color w:val="0000FF" w:themeColor="hyperlink"/>
      <w:u w:val="single"/>
    </w:rPr>
  </w:style>
  <w:style w:type="paragraph" w:styleId="BalloonText">
    <w:name w:val="Balloon Text"/>
    <w:basedOn w:val="Normal"/>
    <w:link w:val="BalloonTextChar"/>
    <w:uiPriority w:val="99"/>
    <w:semiHidden/>
    <w:unhideWhenUsed/>
    <w:rsid w:val="00E551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D2"/>
    <w:rPr>
      <w:rFonts w:ascii="Tahoma" w:hAnsi="Tahoma" w:cs="Tahoma"/>
      <w:sz w:val="16"/>
      <w:szCs w:val="16"/>
    </w:rPr>
  </w:style>
  <w:style w:type="paragraph" w:customStyle="1" w:styleId="Bullet">
    <w:name w:val="Bullet"/>
    <w:aliases w:val="b,b1,b + line,Body,level 1,Bullet + line"/>
    <w:basedOn w:val="Normal"/>
    <w:link w:val="BulletChar"/>
    <w:qFormat/>
    <w:rsid w:val="00946506"/>
    <w:pPr>
      <w:numPr>
        <w:numId w:val="1"/>
      </w:numPr>
      <w:spacing w:before="120" w:after="120"/>
    </w:pPr>
    <w:rPr>
      <w:rFonts w:ascii="Calibri" w:eastAsiaTheme="majorEastAsia" w:hAnsi="Calibri" w:cstheme="majorBidi"/>
      <w:color w:val="000000" w:themeColor="text1"/>
      <w:szCs w:val="28"/>
    </w:rPr>
  </w:style>
  <w:style w:type="character" w:customStyle="1" w:styleId="BulletChar">
    <w:name w:val="Bullet Char"/>
    <w:aliases w:val="b Char,b + line Char Char,b Char Char,Body Char,Bullet + line Char,Bullets Char,L Char,List Paragraph Char,List Paragraph1 Char,List Paragraph11 Char,List Paragraph2 Char,Number Char,Recommendation Char,b + line Char,b1 Char,level 1 Char"/>
    <w:basedOn w:val="Heading1Char"/>
    <w:link w:val="Bullet"/>
    <w:qFormat/>
    <w:rsid w:val="00946506"/>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qFormat/>
    <w:rsid w:val="004E0AE7"/>
    <w:pPr>
      <w:numPr>
        <w:ilvl w:val="1"/>
        <w:numId w:val="1"/>
      </w:numPr>
    </w:pPr>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4E0AE7"/>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qFormat/>
    <w:rsid w:val="004E0AE7"/>
    <w:pPr>
      <w:numPr>
        <w:ilvl w:val="2"/>
        <w:numId w:val="1"/>
      </w:numPr>
    </w:pPr>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4E0AE7"/>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D94EE3"/>
    <w:pPr>
      <w:tabs>
        <w:tab w:val="center" w:pos="4513"/>
        <w:tab w:val="right" w:pos="9026"/>
      </w:tabs>
      <w:spacing w:after="0"/>
    </w:pPr>
  </w:style>
  <w:style w:type="character" w:customStyle="1" w:styleId="HeaderChar">
    <w:name w:val="Header Char"/>
    <w:basedOn w:val="DefaultParagraphFont"/>
    <w:link w:val="Header"/>
    <w:uiPriority w:val="99"/>
    <w:rsid w:val="00D94EE3"/>
  </w:style>
  <w:style w:type="paragraph" w:styleId="Footer">
    <w:name w:val="footer"/>
    <w:basedOn w:val="Normal"/>
    <w:link w:val="FooterChar"/>
    <w:uiPriority w:val="99"/>
    <w:unhideWhenUsed/>
    <w:rsid w:val="00946506"/>
    <w:pPr>
      <w:tabs>
        <w:tab w:val="center" w:pos="4513"/>
        <w:tab w:val="right" w:pos="9026"/>
      </w:tabs>
      <w:spacing w:after="0"/>
      <w:jc w:val="center"/>
    </w:pPr>
  </w:style>
  <w:style w:type="character" w:customStyle="1" w:styleId="FooterChar">
    <w:name w:val="Footer Char"/>
    <w:basedOn w:val="DefaultParagraphFont"/>
    <w:link w:val="Footer"/>
    <w:uiPriority w:val="99"/>
    <w:rsid w:val="00946506"/>
  </w:style>
  <w:style w:type="character" w:customStyle="1" w:styleId="Heading2Char">
    <w:name w:val="Heading 2 Char"/>
    <w:basedOn w:val="DefaultParagraphFont"/>
    <w:link w:val="Heading2"/>
    <w:uiPriority w:val="2"/>
    <w:rsid w:val="00EB4007"/>
    <w:rPr>
      <w:rFonts w:ascii="Calibri" w:eastAsiaTheme="majorEastAsia" w:hAnsi="Calibri" w:cstheme="majorBidi"/>
      <w:b/>
      <w:bCs/>
      <w:color w:val="1F497D" w:themeColor="text2"/>
      <w:sz w:val="26"/>
      <w:szCs w:val="26"/>
    </w:rPr>
  </w:style>
  <w:style w:type="paragraph" w:styleId="Quote">
    <w:name w:val="Quote"/>
    <w:basedOn w:val="Normal"/>
    <w:next w:val="Normal"/>
    <w:link w:val="QuoteChar"/>
    <w:uiPriority w:val="29"/>
    <w:qFormat/>
    <w:rsid w:val="009F60B3"/>
    <w:pPr>
      <w:spacing w:before="120"/>
      <w:ind w:left="567" w:hanging="567"/>
    </w:pPr>
    <w:rPr>
      <w:iCs/>
      <w:color w:val="000000" w:themeColor="text1"/>
    </w:rPr>
  </w:style>
  <w:style w:type="character" w:customStyle="1" w:styleId="QuoteChar">
    <w:name w:val="Quote Char"/>
    <w:basedOn w:val="DefaultParagraphFont"/>
    <w:link w:val="Quote"/>
    <w:uiPriority w:val="29"/>
    <w:rsid w:val="009F60B3"/>
    <w:rPr>
      <w:iCs/>
      <w:color w:val="000000" w:themeColor="text1"/>
    </w:rPr>
  </w:style>
  <w:style w:type="paragraph" w:styleId="FootnoteText">
    <w:name w:val="footnote text"/>
    <w:basedOn w:val="Normal"/>
    <w:link w:val="FootnoteTextChar"/>
    <w:uiPriority w:val="99"/>
    <w:rsid w:val="009F60B3"/>
    <w:pPr>
      <w:tabs>
        <w:tab w:val="left" w:pos="357"/>
      </w:tabs>
      <w:spacing w:after="0"/>
      <w:ind w:left="357" w:hanging="357"/>
    </w:pPr>
    <w:rPr>
      <w:sz w:val="20"/>
      <w:szCs w:val="20"/>
    </w:rPr>
  </w:style>
  <w:style w:type="character" w:customStyle="1" w:styleId="Heading3Char">
    <w:name w:val="Heading 3 Char"/>
    <w:basedOn w:val="DefaultParagraphFont"/>
    <w:link w:val="Heading3"/>
    <w:uiPriority w:val="2"/>
    <w:semiHidden/>
    <w:rsid w:val="009F60B3"/>
    <w:rPr>
      <w:rFonts w:ascii="Calibri" w:eastAsiaTheme="majorEastAsia" w:hAnsi="Calibri" w:cstheme="majorBidi"/>
      <w:b/>
      <w:bCs/>
      <w:i/>
      <w:color w:val="1F497D" w:themeColor="text2"/>
      <w:sz w:val="24"/>
    </w:rPr>
  </w:style>
  <w:style w:type="character" w:customStyle="1" w:styleId="FootnoteTextChar">
    <w:name w:val="Footnote Text Char"/>
    <w:basedOn w:val="DefaultParagraphFont"/>
    <w:link w:val="FootnoteText"/>
    <w:uiPriority w:val="99"/>
    <w:rsid w:val="009F60B3"/>
    <w:rPr>
      <w:sz w:val="20"/>
      <w:szCs w:val="20"/>
    </w:rPr>
  </w:style>
  <w:style w:type="paragraph" w:customStyle="1" w:styleId="Heading1numbered">
    <w:name w:val="Heading 1 numbered"/>
    <w:basedOn w:val="Heading1"/>
    <w:uiPriority w:val="2"/>
    <w:qFormat/>
    <w:rsid w:val="007835B0"/>
    <w:pPr>
      <w:numPr>
        <w:numId w:val="2"/>
      </w:numPr>
      <w:tabs>
        <w:tab w:val="left" w:pos="567"/>
      </w:tabs>
    </w:pPr>
  </w:style>
  <w:style w:type="paragraph" w:styleId="Subtitle">
    <w:name w:val="Subtitle"/>
    <w:basedOn w:val="Normal"/>
    <w:next w:val="Normal"/>
    <w:link w:val="SubtitleChar"/>
    <w:uiPriority w:val="11"/>
    <w:qFormat/>
    <w:rsid w:val="00D84885"/>
    <w:pPr>
      <w:numPr>
        <w:ilvl w:val="1"/>
      </w:numPr>
    </w:pPr>
    <w:rPr>
      <w:rFonts w:ascii="Calibri" w:eastAsiaTheme="majorEastAsia" w:hAnsi="Calibri" w:cstheme="majorBidi"/>
      <w:iCs/>
      <w:color w:val="1F497D" w:themeColor="text2"/>
      <w:spacing w:val="15"/>
      <w:sz w:val="28"/>
      <w:szCs w:val="24"/>
    </w:rPr>
  </w:style>
  <w:style w:type="character" w:customStyle="1" w:styleId="SubtitleChar">
    <w:name w:val="Subtitle Char"/>
    <w:basedOn w:val="DefaultParagraphFont"/>
    <w:link w:val="Subtitle"/>
    <w:uiPriority w:val="11"/>
    <w:rsid w:val="00D84885"/>
    <w:rPr>
      <w:rFonts w:ascii="Calibri" w:eastAsiaTheme="majorEastAsia" w:hAnsi="Calibri" w:cstheme="majorBidi"/>
      <w:iCs/>
      <w:color w:val="1F497D" w:themeColor="text2"/>
      <w:spacing w:val="15"/>
      <w:sz w:val="28"/>
      <w:szCs w:val="24"/>
    </w:rPr>
  </w:style>
  <w:style w:type="paragraph" w:styleId="TOC2">
    <w:name w:val="toc 2"/>
    <w:basedOn w:val="Normal"/>
    <w:next w:val="Normal"/>
    <w:uiPriority w:val="39"/>
    <w:semiHidden/>
    <w:unhideWhenUsed/>
    <w:rsid w:val="00946506"/>
    <w:pPr>
      <w:spacing w:after="60"/>
    </w:pPr>
  </w:style>
  <w:style w:type="character" w:styleId="FootnoteReference">
    <w:name w:val="footnote reference"/>
    <w:aliases w:val="NO"/>
    <w:uiPriority w:val="99"/>
    <w:rsid w:val="00DC4C41"/>
    <w:rPr>
      <w:vertAlign w:val="superscript"/>
    </w:rPr>
  </w:style>
  <w:style w:type="numbering" w:customStyle="1" w:styleId="Bulletlist">
    <w:name w:val="Bullet list"/>
    <w:uiPriority w:val="99"/>
    <w:rsid w:val="00DC4C41"/>
    <w:pPr>
      <w:numPr>
        <w:numId w:val="3"/>
      </w:numPr>
    </w:pPr>
  </w:style>
  <w:style w:type="paragraph" w:customStyle="1" w:styleId="Bullet2">
    <w:name w:val="Bullet 2"/>
    <w:basedOn w:val="Normal"/>
    <w:qFormat/>
    <w:rsid w:val="00DC4C41"/>
    <w:pPr>
      <w:tabs>
        <w:tab w:val="left" w:pos="284"/>
        <w:tab w:val="num" w:pos="568"/>
      </w:tabs>
      <w:spacing w:after="120"/>
      <w:ind w:left="568" w:hanging="284"/>
    </w:pPr>
    <w:rPr>
      <w:rFonts w:ascii="Calibri" w:eastAsia="Calibri" w:hAnsi="Calibri" w:cs="Times New Roman"/>
    </w:rPr>
  </w:style>
  <w:style w:type="paragraph" w:customStyle="1" w:styleId="Bullet3">
    <w:name w:val="Bullet 3"/>
    <w:basedOn w:val="Normal"/>
    <w:qFormat/>
    <w:rsid w:val="00DC4C41"/>
    <w:pPr>
      <w:tabs>
        <w:tab w:val="left" w:pos="284"/>
        <w:tab w:val="num" w:pos="852"/>
      </w:tabs>
      <w:spacing w:after="120"/>
      <w:ind w:left="852" w:hanging="284"/>
    </w:pPr>
    <w:rPr>
      <w:rFonts w:ascii="Calibri" w:eastAsia="Calibri" w:hAnsi="Calibri" w:cs="Times New Roman"/>
    </w:rPr>
  </w:style>
  <w:style w:type="paragraph" w:customStyle="1" w:styleId="CABParaSub">
    <w:name w:val="CAB Para Sub"/>
    <w:basedOn w:val="Normal"/>
    <w:link w:val="CABParaSubChar"/>
    <w:qFormat/>
    <w:rsid w:val="00DC4C41"/>
    <w:pPr>
      <w:tabs>
        <w:tab w:val="left" w:pos="567"/>
      </w:tabs>
      <w:spacing w:before="120" w:after="120"/>
    </w:pPr>
    <w:rPr>
      <w:rFonts w:ascii="Times New Roman" w:eastAsia="Calibri" w:hAnsi="Times New Roman" w:cs="Times New Roman"/>
      <w:sz w:val="24"/>
      <w:szCs w:val="24"/>
    </w:rPr>
  </w:style>
  <w:style w:type="character" w:customStyle="1" w:styleId="CABParaSubChar">
    <w:name w:val="CAB Para Sub Char"/>
    <w:basedOn w:val="DefaultParagraphFont"/>
    <w:link w:val="CABParaSub"/>
    <w:rsid w:val="00DC4C41"/>
    <w:rPr>
      <w:rFonts w:ascii="Times New Roman" w:eastAsia="Calibri" w:hAnsi="Times New Roman" w:cs="Times New Roman"/>
      <w:sz w:val="24"/>
      <w:szCs w:val="24"/>
    </w:rPr>
  </w:style>
  <w:style w:type="paragraph" w:styleId="NormalWeb">
    <w:name w:val="Normal (Web)"/>
    <w:basedOn w:val="Normal"/>
    <w:uiPriority w:val="99"/>
    <w:unhideWhenUsed/>
    <w:rsid w:val="00DC4C41"/>
    <w:pPr>
      <w:spacing w:before="100" w:beforeAutospacing="1" w:after="100" w:afterAutospacing="1"/>
    </w:pPr>
    <w:rPr>
      <w:rFonts w:ascii="Times New Roman" w:eastAsia="Times New Roman" w:hAnsi="Times New Roman" w:cs="Times New Roman"/>
      <w:sz w:val="24"/>
      <w:szCs w:val="24"/>
      <w:lang w:eastAsia="en-AU"/>
    </w:rPr>
  </w:style>
  <w:style w:type="character" w:styleId="IntenseEmphasis">
    <w:name w:val="Intense Emphasis"/>
    <w:basedOn w:val="DefaultParagraphFont"/>
    <w:uiPriority w:val="21"/>
    <w:qFormat/>
    <w:rsid w:val="00DC4C41"/>
    <w:rPr>
      <w:i/>
      <w:iCs/>
      <w:color w:val="4F81BD" w:themeColor="accent1"/>
    </w:rPr>
  </w:style>
  <w:style w:type="paragraph" w:customStyle="1" w:styleId="TableColumnHeadingLeft">
    <w:name w:val="Table Column Heading Left"/>
    <w:basedOn w:val="Normal"/>
    <w:rsid w:val="00DC4C41"/>
    <w:pPr>
      <w:spacing w:before="40" w:after="40"/>
    </w:pPr>
    <w:rPr>
      <w:rFonts w:ascii="Arial" w:eastAsia="Times New Roman" w:hAnsi="Arial" w:cs="Times New Roman"/>
      <w:b/>
      <w:color w:val="000000"/>
      <w:sz w:val="16"/>
      <w:szCs w:val="20"/>
      <w:lang w:eastAsia="en-AU"/>
    </w:rPr>
  </w:style>
  <w:style w:type="paragraph" w:customStyle="1" w:styleId="TableTextLeft">
    <w:name w:val="Table Text Left"/>
    <w:basedOn w:val="Normal"/>
    <w:rsid w:val="00DC4C41"/>
    <w:pPr>
      <w:spacing w:before="60" w:after="60"/>
      <w:jc w:val="both"/>
    </w:pPr>
    <w:rPr>
      <w:rFonts w:ascii="Arial" w:eastAsia="Times New Roman" w:hAnsi="Arial" w:cs="Times New Roman"/>
      <w:color w:val="000000"/>
      <w:sz w:val="16"/>
      <w:szCs w:val="20"/>
      <w:lang w:eastAsia="en-AU"/>
    </w:rPr>
  </w:style>
  <w:style w:type="paragraph" w:customStyle="1" w:styleId="ChartorTableNote">
    <w:name w:val="Chart or Table Note"/>
    <w:next w:val="Normal"/>
    <w:rsid w:val="00DC4C41"/>
    <w:pPr>
      <w:spacing w:after="0" w:line="240" w:lineRule="auto"/>
      <w:jc w:val="both"/>
    </w:pPr>
    <w:rPr>
      <w:rFonts w:ascii="Arial" w:eastAsia="Times New Roman" w:hAnsi="Arial" w:cs="Times New Roman"/>
      <w:color w:val="000000"/>
      <w:sz w:val="16"/>
      <w:szCs w:val="20"/>
      <w:lang w:eastAsia="en-AU"/>
    </w:rPr>
  </w:style>
  <w:style w:type="paragraph" w:customStyle="1" w:styleId="ChapterHeading">
    <w:name w:val="Chapter Heading"/>
    <w:next w:val="Heading2"/>
    <w:rsid w:val="00DC4C41"/>
    <w:pPr>
      <w:numPr>
        <w:numId w:val="7"/>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DC4C41"/>
    <w:pPr>
      <w:keepLines w:val="0"/>
      <w:numPr>
        <w:ilvl w:val="4"/>
        <w:numId w:val="7"/>
      </w:numPr>
      <w:tabs>
        <w:tab w:val="num" w:pos="360"/>
      </w:tabs>
      <w:spacing w:before="120" w:after="120"/>
      <w:ind w:left="0" w:hanging="360"/>
    </w:pPr>
    <w:rPr>
      <w:rFonts w:ascii="Times New Roman" w:eastAsia="Times New Roman" w:hAnsi="Times New Roman" w:cs="Times New Roman"/>
      <w:b/>
      <w:i w:val="0"/>
      <w:iCs w:val="0"/>
      <w:color w:val="auto"/>
      <w:szCs w:val="20"/>
      <w:lang w:eastAsia="en-AU"/>
    </w:rPr>
  </w:style>
  <w:style w:type="character" w:customStyle="1" w:styleId="base-text-paragraphChar">
    <w:name w:val="base-text-paragraph Char"/>
    <w:basedOn w:val="DefaultParagraphFont"/>
    <w:link w:val="base-text-paragraph"/>
    <w:locked/>
    <w:rsid w:val="00DC4C41"/>
  </w:style>
  <w:style w:type="paragraph" w:customStyle="1" w:styleId="base-text-paragraph">
    <w:name w:val="base-text-paragraph"/>
    <w:basedOn w:val="Normal"/>
    <w:link w:val="base-text-paragraphChar"/>
    <w:rsid w:val="00DC4C41"/>
    <w:pPr>
      <w:numPr>
        <w:ilvl w:val="1"/>
        <w:numId w:val="7"/>
      </w:numPr>
      <w:spacing w:before="120" w:after="120"/>
    </w:pPr>
  </w:style>
  <w:style w:type="paragraph" w:customStyle="1" w:styleId="ExampleHeading">
    <w:name w:val="Example Heading"/>
    <w:basedOn w:val="Normal"/>
    <w:next w:val="Normal"/>
    <w:rsid w:val="00DC4C41"/>
    <w:pPr>
      <w:keepNext/>
      <w:numPr>
        <w:ilvl w:val="3"/>
        <w:numId w:val="7"/>
      </w:numPr>
      <w:tabs>
        <w:tab w:val="num" w:pos="360"/>
      </w:tabs>
      <w:spacing w:before="120" w:after="120"/>
      <w:ind w:left="0"/>
    </w:pPr>
    <w:rPr>
      <w:rFonts w:ascii="Times New Roman" w:eastAsia="Times New Roman" w:hAnsi="Times New Roman" w:cs="Times New Roman"/>
      <w:b/>
      <w:szCs w:val="20"/>
      <w:lang w:eastAsia="en-AU"/>
    </w:rPr>
  </w:style>
  <w:style w:type="paragraph" w:customStyle="1" w:styleId="Diagram">
    <w:name w:val="Diagram"/>
    <w:basedOn w:val="Normal"/>
    <w:next w:val="Normal"/>
    <w:rsid w:val="00DC4C41"/>
    <w:pPr>
      <w:keepNext/>
      <w:numPr>
        <w:ilvl w:val="2"/>
        <w:numId w:val="7"/>
      </w:numPr>
      <w:tabs>
        <w:tab w:val="num" w:pos="360"/>
      </w:tabs>
      <w:spacing w:after="0"/>
      <w:ind w:left="0"/>
    </w:pPr>
    <w:rPr>
      <w:rFonts w:ascii="Times New Roman" w:eastAsia="Times New Roman" w:hAnsi="Times New Roman" w:cs="Times New Roman"/>
      <w:b/>
      <w:szCs w:val="20"/>
      <w:lang w:eastAsia="en-AU"/>
    </w:rPr>
  </w:style>
  <w:style w:type="numbering" w:customStyle="1" w:styleId="ChapterList">
    <w:name w:val="ChapterList"/>
    <w:uiPriority w:val="99"/>
    <w:rsid w:val="00DC4C41"/>
    <w:pPr>
      <w:numPr>
        <w:numId w:val="7"/>
      </w:numPr>
    </w:pPr>
  </w:style>
  <w:style w:type="character" w:customStyle="1" w:styleId="Heading4Char">
    <w:name w:val="Heading 4 Char"/>
    <w:basedOn w:val="DefaultParagraphFont"/>
    <w:link w:val="Heading4"/>
    <w:uiPriority w:val="2"/>
    <w:semiHidden/>
    <w:rsid w:val="00DC4C41"/>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6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2308"/>
    <w:rPr>
      <w:i/>
      <w:iCs/>
    </w:rPr>
  </w:style>
  <w:style w:type="character" w:styleId="CommentReference">
    <w:name w:val="annotation reference"/>
    <w:basedOn w:val="DefaultParagraphFont"/>
    <w:unhideWhenUsed/>
    <w:rsid w:val="0021186C"/>
    <w:rPr>
      <w:sz w:val="16"/>
      <w:szCs w:val="16"/>
    </w:rPr>
  </w:style>
  <w:style w:type="paragraph" w:styleId="CommentText">
    <w:name w:val="annotation text"/>
    <w:basedOn w:val="Normal"/>
    <w:link w:val="CommentTextChar"/>
    <w:unhideWhenUsed/>
    <w:rsid w:val="0021186C"/>
    <w:rPr>
      <w:sz w:val="20"/>
      <w:szCs w:val="20"/>
    </w:rPr>
  </w:style>
  <w:style w:type="character" w:customStyle="1" w:styleId="CommentTextChar">
    <w:name w:val="Comment Text Char"/>
    <w:basedOn w:val="DefaultParagraphFont"/>
    <w:link w:val="CommentText"/>
    <w:rsid w:val="0021186C"/>
    <w:rPr>
      <w:sz w:val="20"/>
      <w:szCs w:val="20"/>
    </w:rPr>
  </w:style>
  <w:style w:type="paragraph" w:styleId="CommentSubject">
    <w:name w:val="annotation subject"/>
    <w:basedOn w:val="CommentText"/>
    <w:next w:val="CommentText"/>
    <w:link w:val="CommentSubjectChar"/>
    <w:uiPriority w:val="99"/>
    <w:semiHidden/>
    <w:unhideWhenUsed/>
    <w:rsid w:val="0021186C"/>
    <w:rPr>
      <w:b/>
      <w:bCs/>
    </w:rPr>
  </w:style>
  <w:style w:type="character" w:customStyle="1" w:styleId="CommentSubjectChar">
    <w:name w:val="Comment Subject Char"/>
    <w:basedOn w:val="CommentTextChar"/>
    <w:link w:val="CommentSubject"/>
    <w:uiPriority w:val="99"/>
    <w:semiHidden/>
    <w:rsid w:val="0021186C"/>
    <w:rPr>
      <w:b/>
      <w:bCs/>
      <w:sz w:val="20"/>
      <w:szCs w:val="20"/>
    </w:rPr>
  </w:style>
  <w:style w:type="paragraph" w:customStyle="1" w:styleId="Default">
    <w:name w:val="Default"/>
    <w:rsid w:val="00B966C3"/>
    <w:pPr>
      <w:autoSpaceDE w:val="0"/>
      <w:autoSpaceDN w:val="0"/>
      <w:adjustRightInd w:val="0"/>
      <w:spacing w:after="0" w:line="240" w:lineRule="auto"/>
    </w:pPr>
    <w:rPr>
      <w:rFonts w:ascii="Myriad Pro" w:hAnsi="Myriad Pro" w:cs="Myriad Pro"/>
      <w:color w:val="000000"/>
      <w:sz w:val="24"/>
      <w:szCs w:val="24"/>
    </w:rPr>
  </w:style>
  <w:style w:type="paragraph" w:styleId="Revision">
    <w:name w:val="Revision"/>
    <w:hidden/>
    <w:uiPriority w:val="99"/>
    <w:semiHidden/>
    <w:rsid w:val="00715FC3"/>
    <w:pPr>
      <w:spacing w:after="0" w:line="240" w:lineRule="auto"/>
    </w:pPr>
  </w:style>
  <w:style w:type="character" w:styleId="UnresolvedMention">
    <w:name w:val="Unresolved Mention"/>
    <w:basedOn w:val="DefaultParagraphFont"/>
    <w:uiPriority w:val="99"/>
    <w:semiHidden/>
    <w:unhideWhenUsed/>
    <w:rsid w:val="005D2ECE"/>
    <w:rPr>
      <w:color w:val="605E5C"/>
      <w:shd w:val="clear" w:color="auto" w:fill="E1DFDD"/>
    </w:rPr>
  </w:style>
  <w:style w:type="table" w:styleId="PlainTable2">
    <w:name w:val="Plain Table 2"/>
    <w:basedOn w:val="TableNormal"/>
    <w:uiPriority w:val="42"/>
    <w:rsid w:val="006233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36135"/>
    <w:pPr>
      <w:spacing w:after="0"/>
      <w:ind w:left="720"/>
    </w:pPr>
    <w:rPr>
      <w:rFonts w:ascii="Calibri" w:hAnsi="Calibri" w:cs="Calibri"/>
    </w:rPr>
  </w:style>
  <w:style w:type="paragraph" w:customStyle="1" w:styleId="Tabletext">
    <w:name w:val="Tabletext"/>
    <w:aliases w:val="tt"/>
    <w:basedOn w:val="Normal"/>
    <w:rsid w:val="00D44B6D"/>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44B6D"/>
    <w:pPr>
      <w:keepNext/>
      <w:spacing w:before="60" w:after="0" w:line="240" w:lineRule="atLeast"/>
    </w:pPr>
    <w:rPr>
      <w:rFonts w:ascii="Times New Roman" w:eastAsia="Times New Roman" w:hAnsi="Times New Roman" w:cs="Times New Roman"/>
      <w:b/>
      <w:sz w:val="20"/>
      <w:szCs w:val="20"/>
      <w:lang w:eastAsia="en-AU"/>
    </w:rPr>
  </w:style>
  <w:style w:type="table" w:styleId="PlainTable4">
    <w:name w:val="Plain Table 4"/>
    <w:basedOn w:val="TableNormal"/>
    <w:uiPriority w:val="44"/>
    <w:rsid w:val="00D44B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7A2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6237">
      <w:bodyDiv w:val="1"/>
      <w:marLeft w:val="0"/>
      <w:marRight w:val="0"/>
      <w:marTop w:val="0"/>
      <w:marBottom w:val="0"/>
      <w:divBdr>
        <w:top w:val="none" w:sz="0" w:space="0" w:color="auto"/>
        <w:left w:val="none" w:sz="0" w:space="0" w:color="auto"/>
        <w:bottom w:val="none" w:sz="0" w:space="0" w:color="auto"/>
        <w:right w:val="none" w:sz="0" w:space="0" w:color="auto"/>
      </w:divBdr>
    </w:div>
    <w:div w:id="215239345">
      <w:bodyDiv w:val="1"/>
      <w:marLeft w:val="0"/>
      <w:marRight w:val="0"/>
      <w:marTop w:val="0"/>
      <w:marBottom w:val="0"/>
      <w:divBdr>
        <w:top w:val="none" w:sz="0" w:space="0" w:color="auto"/>
        <w:left w:val="none" w:sz="0" w:space="0" w:color="auto"/>
        <w:bottom w:val="none" w:sz="0" w:space="0" w:color="auto"/>
        <w:right w:val="none" w:sz="0" w:space="0" w:color="auto"/>
      </w:divBdr>
    </w:div>
    <w:div w:id="352002613">
      <w:bodyDiv w:val="1"/>
      <w:marLeft w:val="0"/>
      <w:marRight w:val="0"/>
      <w:marTop w:val="0"/>
      <w:marBottom w:val="0"/>
      <w:divBdr>
        <w:top w:val="none" w:sz="0" w:space="0" w:color="auto"/>
        <w:left w:val="none" w:sz="0" w:space="0" w:color="auto"/>
        <w:bottom w:val="none" w:sz="0" w:space="0" w:color="auto"/>
        <w:right w:val="none" w:sz="0" w:space="0" w:color="auto"/>
      </w:divBdr>
    </w:div>
    <w:div w:id="365562068">
      <w:bodyDiv w:val="1"/>
      <w:marLeft w:val="0"/>
      <w:marRight w:val="0"/>
      <w:marTop w:val="0"/>
      <w:marBottom w:val="0"/>
      <w:divBdr>
        <w:top w:val="none" w:sz="0" w:space="0" w:color="auto"/>
        <w:left w:val="none" w:sz="0" w:space="0" w:color="auto"/>
        <w:bottom w:val="none" w:sz="0" w:space="0" w:color="auto"/>
        <w:right w:val="none" w:sz="0" w:space="0" w:color="auto"/>
      </w:divBdr>
    </w:div>
    <w:div w:id="372388634">
      <w:bodyDiv w:val="1"/>
      <w:marLeft w:val="0"/>
      <w:marRight w:val="0"/>
      <w:marTop w:val="0"/>
      <w:marBottom w:val="0"/>
      <w:divBdr>
        <w:top w:val="none" w:sz="0" w:space="0" w:color="auto"/>
        <w:left w:val="none" w:sz="0" w:space="0" w:color="auto"/>
        <w:bottom w:val="none" w:sz="0" w:space="0" w:color="auto"/>
        <w:right w:val="none" w:sz="0" w:space="0" w:color="auto"/>
      </w:divBdr>
    </w:div>
    <w:div w:id="423233514">
      <w:bodyDiv w:val="1"/>
      <w:marLeft w:val="0"/>
      <w:marRight w:val="0"/>
      <w:marTop w:val="0"/>
      <w:marBottom w:val="0"/>
      <w:divBdr>
        <w:top w:val="none" w:sz="0" w:space="0" w:color="auto"/>
        <w:left w:val="none" w:sz="0" w:space="0" w:color="auto"/>
        <w:bottom w:val="none" w:sz="0" w:space="0" w:color="auto"/>
        <w:right w:val="none" w:sz="0" w:space="0" w:color="auto"/>
      </w:divBdr>
    </w:div>
    <w:div w:id="701979145">
      <w:bodyDiv w:val="1"/>
      <w:marLeft w:val="0"/>
      <w:marRight w:val="0"/>
      <w:marTop w:val="0"/>
      <w:marBottom w:val="0"/>
      <w:divBdr>
        <w:top w:val="none" w:sz="0" w:space="0" w:color="auto"/>
        <w:left w:val="none" w:sz="0" w:space="0" w:color="auto"/>
        <w:bottom w:val="none" w:sz="0" w:space="0" w:color="auto"/>
        <w:right w:val="none" w:sz="0" w:space="0" w:color="auto"/>
      </w:divBdr>
    </w:div>
    <w:div w:id="1041592397">
      <w:bodyDiv w:val="1"/>
      <w:marLeft w:val="0"/>
      <w:marRight w:val="0"/>
      <w:marTop w:val="0"/>
      <w:marBottom w:val="0"/>
      <w:divBdr>
        <w:top w:val="none" w:sz="0" w:space="0" w:color="auto"/>
        <w:left w:val="none" w:sz="0" w:space="0" w:color="auto"/>
        <w:bottom w:val="none" w:sz="0" w:space="0" w:color="auto"/>
        <w:right w:val="none" w:sz="0" w:space="0" w:color="auto"/>
      </w:divBdr>
    </w:div>
    <w:div w:id="1053501097">
      <w:bodyDiv w:val="1"/>
      <w:marLeft w:val="0"/>
      <w:marRight w:val="0"/>
      <w:marTop w:val="0"/>
      <w:marBottom w:val="0"/>
      <w:divBdr>
        <w:top w:val="none" w:sz="0" w:space="0" w:color="auto"/>
        <w:left w:val="none" w:sz="0" w:space="0" w:color="auto"/>
        <w:bottom w:val="none" w:sz="0" w:space="0" w:color="auto"/>
        <w:right w:val="none" w:sz="0" w:space="0" w:color="auto"/>
      </w:divBdr>
    </w:div>
    <w:div w:id="1077552699">
      <w:bodyDiv w:val="1"/>
      <w:marLeft w:val="0"/>
      <w:marRight w:val="0"/>
      <w:marTop w:val="0"/>
      <w:marBottom w:val="0"/>
      <w:divBdr>
        <w:top w:val="none" w:sz="0" w:space="0" w:color="auto"/>
        <w:left w:val="none" w:sz="0" w:space="0" w:color="auto"/>
        <w:bottom w:val="none" w:sz="0" w:space="0" w:color="auto"/>
        <w:right w:val="none" w:sz="0" w:space="0" w:color="auto"/>
      </w:divBdr>
    </w:div>
    <w:div w:id="1087506512">
      <w:bodyDiv w:val="1"/>
      <w:marLeft w:val="0"/>
      <w:marRight w:val="0"/>
      <w:marTop w:val="0"/>
      <w:marBottom w:val="0"/>
      <w:divBdr>
        <w:top w:val="none" w:sz="0" w:space="0" w:color="auto"/>
        <w:left w:val="none" w:sz="0" w:space="0" w:color="auto"/>
        <w:bottom w:val="none" w:sz="0" w:space="0" w:color="auto"/>
        <w:right w:val="none" w:sz="0" w:space="0" w:color="auto"/>
      </w:divBdr>
    </w:div>
    <w:div w:id="1337656196">
      <w:bodyDiv w:val="1"/>
      <w:marLeft w:val="0"/>
      <w:marRight w:val="0"/>
      <w:marTop w:val="0"/>
      <w:marBottom w:val="0"/>
      <w:divBdr>
        <w:top w:val="none" w:sz="0" w:space="0" w:color="auto"/>
        <w:left w:val="none" w:sz="0" w:space="0" w:color="auto"/>
        <w:bottom w:val="none" w:sz="0" w:space="0" w:color="auto"/>
        <w:right w:val="none" w:sz="0" w:space="0" w:color="auto"/>
      </w:divBdr>
    </w:div>
    <w:div w:id="1348407313">
      <w:bodyDiv w:val="1"/>
      <w:marLeft w:val="0"/>
      <w:marRight w:val="0"/>
      <w:marTop w:val="0"/>
      <w:marBottom w:val="0"/>
      <w:divBdr>
        <w:top w:val="none" w:sz="0" w:space="0" w:color="auto"/>
        <w:left w:val="none" w:sz="0" w:space="0" w:color="auto"/>
        <w:bottom w:val="none" w:sz="0" w:space="0" w:color="auto"/>
        <w:right w:val="none" w:sz="0" w:space="0" w:color="auto"/>
      </w:divBdr>
    </w:div>
    <w:div w:id="1350838342">
      <w:bodyDiv w:val="1"/>
      <w:marLeft w:val="0"/>
      <w:marRight w:val="0"/>
      <w:marTop w:val="0"/>
      <w:marBottom w:val="0"/>
      <w:divBdr>
        <w:top w:val="none" w:sz="0" w:space="0" w:color="auto"/>
        <w:left w:val="none" w:sz="0" w:space="0" w:color="auto"/>
        <w:bottom w:val="none" w:sz="0" w:space="0" w:color="auto"/>
        <w:right w:val="none" w:sz="0" w:space="0" w:color="auto"/>
      </w:divBdr>
    </w:div>
    <w:div w:id="1455054750">
      <w:bodyDiv w:val="1"/>
      <w:marLeft w:val="0"/>
      <w:marRight w:val="0"/>
      <w:marTop w:val="0"/>
      <w:marBottom w:val="0"/>
      <w:divBdr>
        <w:top w:val="none" w:sz="0" w:space="0" w:color="auto"/>
        <w:left w:val="none" w:sz="0" w:space="0" w:color="auto"/>
        <w:bottom w:val="none" w:sz="0" w:space="0" w:color="auto"/>
        <w:right w:val="none" w:sz="0" w:space="0" w:color="auto"/>
      </w:divBdr>
    </w:div>
    <w:div w:id="1705331312">
      <w:bodyDiv w:val="1"/>
      <w:marLeft w:val="0"/>
      <w:marRight w:val="0"/>
      <w:marTop w:val="0"/>
      <w:marBottom w:val="0"/>
      <w:divBdr>
        <w:top w:val="none" w:sz="0" w:space="0" w:color="auto"/>
        <w:left w:val="none" w:sz="0" w:space="0" w:color="auto"/>
        <w:bottom w:val="none" w:sz="0" w:space="0" w:color="auto"/>
        <w:right w:val="none" w:sz="0" w:space="0" w:color="auto"/>
      </w:divBdr>
    </w:div>
    <w:div w:id="1905993512">
      <w:bodyDiv w:val="1"/>
      <w:marLeft w:val="0"/>
      <w:marRight w:val="0"/>
      <w:marTop w:val="0"/>
      <w:marBottom w:val="0"/>
      <w:divBdr>
        <w:top w:val="none" w:sz="0" w:space="0" w:color="auto"/>
        <w:left w:val="none" w:sz="0" w:space="0" w:color="auto"/>
        <w:bottom w:val="none" w:sz="0" w:space="0" w:color="auto"/>
        <w:right w:val="none" w:sz="0" w:space="0" w:color="auto"/>
      </w:divBdr>
    </w:div>
    <w:div w:id="2093503818">
      <w:bodyDiv w:val="1"/>
      <w:marLeft w:val="0"/>
      <w:marRight w:val="0"/>
      <w:marTop w:val="0"/>
      <w:marBottom w:val="0"/>
      <w:divBdr>
        <w:top w:val="none" w:sz="0" w:space="0" w:color="auto"/>
        <w:left w:val="none" w:sz="0" w:space="0" w:color="auto"/>
        <w:bottom w:val="none" w:sz="0" w:space="0" w:color="auto"/>
        <w:right w:val="none" w:sz="0" w:space="0" w:color="auto"/>
      </w:divBdr>
    </w:div>
    <w:div w:id="20943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easury.gov.au/consultation/c2021-1623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quarterly-superannuation-statistics" TargetMode="External"/><Relationship Id="rId2" Type="http://schemas.openxmlformats.org/officeDocument/2006/relationships/hyperlink" Target="http://www.theage.com.au/money/super-and-funds/managed-funds-score-d-for-disclosure-20150611-ghlkuw?skin=smart-phone" TargetMode="External"/><Relationship Id="rId1" Type="http://schemas.openxmlformats.org/officeDocument/2006/relationships/hyperlink" Target="https://www.morningstar.com/articles/1014385/global-disclosure-practices-how-markets-around-the-world-stack-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Regulation%20Impact%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f563589-9cf9-4143-b1eb-fb0534803d38">2021FG-265-562</_dlc_DocId>
    <_dlc_DocIdUrl xmlns="0f563589-9cf9-4143-b1eb-fb0534803d38">
      <Url>http://tweb/sites/fg/ripd/prudpolicy/_layouts/15/DocIdRedir.aspx?ID=2021FG-265-562</Url>
      <Description>2021FG-265-562</Description>
    </_dlc_DocIdUrl>
    <IconOverlay xmlns="http://schemas.microsoft.com/sharepoint/v4" xsi:nil="true"/>
    <TaxCatchAll xmlns="0f563589-9cf9-4143-b1eb-fb0534803d38">
      <Value>27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DD727362D85B6345B90E008555382AA3" ma:contentTypeVersion="42097" ma:contentTypeDescription="" ma:contentTypeScope="" ma:versionID="06a102eb738335b535ae84185858f178">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ae6044cf372a677145d1886768b8ae34"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4E9FA-A512-49DE-9B32-84434CDEEE3E}">
  <ds:schemaRefs>
    <ds:schemaRef ds:uri="http://schemas.microsoft.com/sharepoint/events"/>
  </ds:schemaRefs>
</ds:datastoreItem>
</file>

<file path=customXml/itemProps2.xml><?xml version="1.0" encoding="utf-8"?>
<ds:datastoreItem xmlns:ds="http://schemas.openxmlformats.org/officeDocument/2006/customXml" ds:itemID="{0899B993-E7DF-44A7-9461-D49B2C6DA958}">
  <ds:schemaRefs>
    <ds:schemaRef ds:uri="http://schemas.openxmlformats.org/officeDocument/2006/bibliography"/>
  </ds:schemaRefs>
</ds:datastoreItem>
</file>

<file path=customXml/itemProps3.xml><?xml version="1.0" encoding="utf-8"?>
<ds:datastoreItem xmlns:ds="http://schemas.openxmlformats.org/officeDocument/2006/customXml" ds:itemID="{93740F90-481E-4CB2-89CF-BEF666757544}">
  <ds:schemaRefs>
    <ds:schemaRef ds:uri="office.server.policy"/>
  </ds:schemaRefs>
</ds:datastoreItem>
</file>

<file path=customXml/itemProps4.xml><?xml version="1.0" encoding="utf-8"?>
<ds:datastoreItem xmlns:ds="http://schemas.openxmlformats.org/officeDocument/2006/customXml" ds:itemID="{A99ECAC9-780F-4FDE-8AAE-CFDC9301C3C6}">
  <ds:schemaRefs>
    <ds:schemaRef ds:uri="http://schemas.microsoft.com/sharepoint/v3/contenttype/forms"/>
  </ds:schemaRefs>
</ds:datastoreItem>
</file>

<file path=customXml/itemProps5.xml><?xml version="1.0" encoding="utf-8"?>
<ds:datastoreItem xmlns:ds="http://schemas.openxmlformats.org/officeDocument/2006/customXml" ds:itemID="{26FB62F2-EC4B-4539-BB25-DA0017EBD204}">
  <ds:schemaRef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D8864E97-FEE7-43A0-A376-29D88251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Regulation Impact Statement.dotm</Template>
  <TotalTime>12</TotalTime>
  <Pages>16</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Regulation impact statement</vt:lpstr>
    </vt:vector>
  </TitlesOfParts>
  <Company>Australian Government - The Treasury</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dc:title>
  <dc:subject/>
  <dc:creator>McCormack, Penny</dc:creator>
  <cp:keywords/>
  <dc:description/>
  <cp:lastModifiedBy>Przydacz, Jonathan</cp:lastModifiedBy>
  <cp:revision>4</cp:revision>
  <dcterms:created xsi:type="dcterms:W3CDTF">2021-11-04T22:54:00Z</dcterms:created>
  <dcterms:modified xsi:type="dcterms:W3CDTF">2021-11-04T23:02:00Z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0x010100348D01E61E107C4DA4B97E380EA20D4700DD727362D85B6345B90E008555382AA3</vt:lpwstr>
  </property>
  <property fmtid="{D5CDD505-2E9C-101B-9397-08002B2CF9AE}" pid="3" name="_dlc_DocIdItemGuid">
    <vt:lpwstr>d0379b8d-b331-44d8-8d83-a66f83cd22ea</vt:lpwstr>
  </property>
  <property fmtid="{D5CDD505-2E9C-101B-9397-08002B2CF9AE}" pid="4" name="_NewReviewCycle">
    <vt:lpwstr/>
  </property>
  <property fmtid="{D5CDD505-2E9C-101B-9397-08002B2CF9AE}" pid="5" name="Language">
    <vt:lpwstr>English</vt:lpwstr>
  </property>
  <property fmtid="{D5CDD505-2E9C-101B-9397-08002B2CF9AE}" pid="6" name="TSYRecordClass">
    <vt:lpwstr>27;#TSY RA-9081 - Retain as national archives|bbf0bcde-1687-4ff2-bc57-f31b5d545d4b</vt:lpwstr>
  </property>
  <property fmtid="{D5CDD505-2E9C-101B-9397-08002B2CF9AE}" pid="7" name="RecordPoint_WorkflowType">
    <vt:lpwstr>ActiveSubmitStub</vt:lpwstr>
  </property>
  <property fmtid="{D5CDD505-2E9C-101B-9397-08002B2CF9AE}" pid="8" name="RecordPoint_ActiveItemUniqueId">
    <vt:lpwstr>{5f934446-107d-41b6-afe4-363331a7425f}</vt:lpwstr>
  </property>
  <property fmtid="{D5CDD505-2E9C-101B-9397-08002B2CF9AE}" pid="9" name="RecordPoint_ActiveItemWebId">
    <vt:lpwstr>{9c6e542a-88f6-4b6a-893c-47bbb35bf1ea}</vt:lpwstr>
  </property>
  <property fmtid="{D5CDD505-2E9C-101B-9397-08002B2CF9AE}" pid="10" name="RecordPoint_ActiveItemSiteId">
    <vt:lpwstr>{a3a280d1-e8f1-4ce7-94f0-aaa2322da0dd}</vt:lpwstr>
  </property>
  <property fmtid="{D5CDD505-2E9C-101B-9397-08002B2CF9AE}" pid="11" name="RecordPoint_ActiveItemListId">
    <vt:lpwstr>{1dd21b60-e87f-4954-afc6-41c506ea60bd}</vt:lpwstr>
  </property>
  <property fmtid="{D5CDD505-2E9C-101B-9397-08002B2CF9AE}" pid="12" name="RecordPoint_RecordNumberSubmitted">
    <vt:lpwstr>R0002085961</vt:lpwstr>
  </property>
  <property fmtid="{D5CDD505-2E9C-101B-9397-08002B2CF9AE}" pid="13" name="RecordPoint_SubmissionCompleted">
    <vt:lpwstr>2019-09-24T16:20:12.9565009+10:00</vt:lpwstr>
  </property>
</Properties>
</file>