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DFFD" w14:textId="77777777" w:rsidR="005F0131" w:rsidRDefault="005F0131" w:rsidP="00C22746">
      <w:pPr>
        <w:spacing w:after="0"/>
        <w:rPr>
          <w:rFonts w:ascii="Times New Roman" w:hAnsi="Times New Roman"/>
          <w:szCs w:val="22"/>
        </w:rPr>
      </w:pPr>
    </w:p>
    <w:p w14:paraId="06569159" w14:textId="77777777" w:rsidR="00101A52" w:rsidRDefault="00101A52" w:rsidP="00C22746">
      <w:pPr>
        <w:spacing w:after="0"/>
        <w:rPr>
          <w:rFonts w:ascii="Times New Roman" w:hAnsi="Times New Roman"/>
          <w:szCs w:val="22"/>
        </w:rPr>
      </w:pPr>
    </w:p>
    <w:p w14:paraId="517AA69F" w14:textId="610B3755" w:rsidR="00C22746" w:rsidRPr="003A134A" w:rsidRDefault="00C22746" w:rsidP="00C22746">
      <w:pPr>
        <w:spacing w:after="0"/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>Mr Jason Lange</w:t>
      </w:r>
    </w:p>
    <w:p w14:paraId="6956FF45" w14:textId="77777777" w:rsidR="00C22746" w:rsidRPr="003A134A" w:rsidRDefault="00C22746" w:rsidP="00C22746">
      <w:pPr>
        <w:spacing w:after="0"/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>Executive Director</w:t>
      </w:r>
    </w:p>
    <w:p w14:paraId="498BEE48" w14:textId="77777777" w:rsidR="00C22746" w:rsidRPr="003A134A" w:rsidRDefault="00C22746" w:rsidP="00C22746">
      <w:pPr>
        <w:spacing w:after="0"/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>Office of Best Practice Regulation</w:t>
      </w:r>
    </w:p>
    <w:p w14:paraId="18410F6F" w14:textId="77777777" w:rsidR="00C22746" w:rsidRPr="003A134A" w:rsidRDefault="00C22746" w:rsidP="00C22746">
      <w:pPr>
        <w:spacing w:after="0"/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 xml:space="preserve">Department of the Prime Minister and Cabinet </w:t>
      </w:r>
    </w:p>
    <w:p w14:paraId="12F9CF8C" w14:textId="77777777" w:rsidR="00C22746" w:rsidRPr="003A134A" w:rsidRDefault="00C22746" w:rsidP="00C22746">
      <w:pPr>
        <w:spacing w:after="0"/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>1 National Circuit</w:t>
      </w:r>
    </w:p>
    <w:p w14:paraId="149BE682" w14:textId="77777777" w:rsidR="00C22746" w:rsidRPr="003A134A" w:rsidRDefault="00C22746" w:rsidP="00C22746">
      <w:pPr>
        <w:spacing w:after="0"/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>BARTON ACT 2600</w:t>
      </w:r>
    </w:p>
    <w:p w14:paraId="13CE8672" w14:textId="7E96FEA2" w:rsidR="00B537C0" w:rsidRPr="003A134A" w:rsidRDefault="00983595" w:rsidP="00983595">
      <w:pPr>
        <w:ind w:left="7371" w:firstLine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 November </w:t>
      </w:r>
      <w:r w:rsidRPr="0096089B">
        <w:rPr>
          <w:rFonts w:ascii="Times New Roman" w:hAnsi="Times New Roman"/>
          <w:szCs w:val="22"/>
        </w:rPr>
        <w:t>2021</w:t>
      </w:r>
    </w:p>
    <w:p w14:paraId="13CE8673" w14:textId="57EFD336" w:rsidR="00B537C0" w:rsidRPr="003A134A" w:rsidRDefault="00B537C0" w:rsidP="00B537C0">
      <w:pPr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 xml:space="preserve">Dear </w:t>
      </w:r>
      <w:r w:rsidR="00EF06A7" w:rsidRPr="003A134A">
        <w:rPr>
          <w:rFonts w:ascii="Times New Roman" w:hAnsi="Times New Roman"/>
          <w:szCs w:val="22"/>
        </w:rPr>
        <w:t>M</w:t>
      </w:r>
      <w:r w:rsidR="00C41A65" w:rsidRPr="003A134A">
        <w:rPr>
          <w:rFonts w:ascii="Times New Roman" w:hAnsi="Times New Roman"/>
          <w:szCs w:val="22"/>
        </w:rPr>
        <w:t>r</w:t>
      </w:r>
      <w:r w:rsidR="00EF06A7" w:rsidRPr="003A134A">
        <w:rPr>
          <w:rFonts w:ascii="Times New Roman" w:hAnsi="Times New Roman"/>
          <w:szCs w:val="22"/>
        </w:rPr>
        <w:t xml:space="preserve"> </w:t>
      </w:r>
      <w:r w:rsidR="00C22746" w:rsidRPr="003A134A">
        <w:rPr>
          <w:rFonts w:ascii="Times New Roman" w:hAnsi="Times New Roman"/>
          <w:szCs w:val="22"/>
        </w:rPr>
        <w:t>Lange</w:t>
      </w:r>
      <w:r w:rsidR="00EF06A7" w:rsidRPr="003A134A">
        <w:rPr>
          <w:rFonts w:ascii="Times New Roman" w:hAnsi="Times New Roman"/>
          <w:szCs w:val="22"/>
        </w:rPr>
        <w:t xml:space="preserve"> </w:t>
      </w:r>
    </w:p>
    <w:p w14:paraId="13CE8674" w14:textId="1910E933" w:rsidR="00B537C0" w:rsidRPr="003A134A" w:rsidRDefault="00B537C0" w:rsidP="00B537C0">
      <w:pPr>
        <w:rPr>
          <w:rFonts w:ascii="Times New Roman" w:hAnsi="Times New Roman"/>
          <w:b/>
          <w:caps/>
          <w:szCs w:val="22"/>
        </w:rPr>
      </w:pPr>
      <w:r w:rsidRPr="003A134A">
        <w:rPr>
          <w:rFonts w:ascii="Times New Roman" w:hAnsi="Times New Roman"/>
          <w:b/>
          <w:caps/>
          <w:szCs w:val="22"/>
        </w:rPr>
        <w:t>Regulat</w:t>
      </w:r>
      <w:r w:rsidR="00DD2565" w:rsidRPr="003A134A">
        <w:rPr>
          <w:rFonts w:ascii="Times New Roman" w:hAnsi="Times New Roman"/>
          <w:b/>
          <w:caps/>
          <w:szCs w:val="22"/>
        </w:rPr>
        <w:t>ion</w:t>
      </w:r>
      <w:r w:rsidRPr="003A134A">
        <w:rPr>
          <w:rFonts w:ascii="Times New Roman" w:hAnsi="Times New Roman"/>
          <w:b/>
          <w:caps/>
          <w:szCs w:val="22"/>
        </w:rPr>
        <w:t xml:space="preserve"> Impact Statement </w:t>
      </w:r>
      <w:r w:rsidR="00C22746" w:rsidRPr="003A134A">
        <w:rPr>
          <w:rFonts w:ascii="Times New Roman" w:hAnsi="Times New Roman"/>
          <w:b/>
          <w:szCs w:val="22"/>
        </w:rPr>
        <w:t xml:space="preserve">– </w:t>
      </w:r>
      <w:r w:rsidR="00C22746" w:rsidRPr="003A134A">
        <w:rPr>
          <w:rFonts w:ascii="Times New Roman" w:hAnsi="Times New Roman"/>
          <w:b/>
          <w:caps/>
          <w:szCs w:val="22"/>
        </w:rPr>
        <w:t xml:space="preserve">superannuation portfolio holdings disclosure </w:t>
      </w:r>
      <w:r w:rsidR="00C22746" w:rsidRPr="003A134A">
        <w:rPr>
          <w:rFonts w:ascii="Times New Roman" w:hAnsi="Times New Roman"/>
          <w:b/>
          <w:szCs w:val="22"/>
        </w:rPr>
        <w:t xml:space="preserve">– </w:t>
      </w:r>
      <w:r w:rsidR="00F322D9">
        <w:rPr>
          <w:rFonts w:ascii="Times New Roman" w:hAnsi="Times New Roman"/>
          <w:b/>
          <w:szCs w:val="22"/>
        </w:rPr>
        <w:t>SECOND</w:t>
      </w:r>
      <w:r w:rsidR="00C22746" w:rsidRPr="003A134A">
        <w:rPr>
          <w:rFonts w:ascii="Times New Roman" w:hAnsi="Times New Roman"/>
          <w:b/>
          <w:caps/>
          <w:szCs w:val="22"/>
        </w:rPr>
        <w:t xml:space="preserve"> Pass </w:t>
      </w:r>
      <w:r w:rsidR="007C5F20" w:rsidRPr="003A134A">
        <w:rPr>
          <w:rFonts w:ascii="Times New Roman" w:hAnsi="Times New Roman"/>
          <w:b/>
          <w:caps/>
          <w:szCs w:val="22"/>
        </w:rPr>
        <w:t xml:space="preserve">Final Assessment </w:t>
      </w:r>
    </w:p>
    <w:p w14:paraId="0EDD21FF" w14:textId="1D8929C5" w:rsidR="008F52E9" w:rsidRPr="00175487" w:rsidRDefault="00B537C0" w:rsidP="003A134A">
      <w:pPr>
        <w:rPr>
          <w:rFonts w:ascii="Times New Roman" w:hAnsi="Times New Roman"/>
          <w:szCs w:val="22"/>
        </w:rPr>
      </w:pPr>
      <w:r w:rsidRPr="00175487">
        <w:rPr>
          <w:rFonts w:ascii="Times New Roman" w:hAnsi="Times New Roman"/>
          <w:szCs w:val="22"/>
        </w:rPr>
        <w:t xml:space="preserve">I am writing in relation to the attached Regulation Impact Statement (RIS) prepared for </w:t>
      </w:r>
      <w:r w:rsidR="000D50C5" w:rsidRPr="00175487">
        <w:rPr>
          <w:rFonts w:ascii="Times New Roman" w:hAnsi="Times New Roman"/>
          <w:szCs w:val="22"/>
        </w:rPr>
        <w:t xml:space="preserve">the Government’s </w:t>
      </w:r>
      <w:r w:rsidR="005F1AC0" w:rsidRPr="00175487">
        <w:rPr>
          <w:rFonts w:ascii="Times New Roman" w:hAnsi="Times New Roman"/>
          <w:szCs w:val="22"/>
        </w:rPr>
        <w:t>policy</w:t>
      </w:r>
      <w:r w:rsidR="000D50C5" w:rsidRPr="00175487">
        <w:rPr>
          <w:rFonts w:ascii="Times New Roman" w:hAnsi="Times New Roman"/>
          <w:szCs w:val="22"/>
        </w:rPr>
        <w:t xml:space="preserve"> </w:t>
      </w:r>
      <w:r w:rsidR="003F02C0" w:rsidRPr="00175487">
        <w:rPr>
          <w:rFonts w:ascii="Times New Roman" w:hAnsi="Times New Roman"/>
          <w:szCs w:val="22"/>
        </w:rPr>
        <w:t>relating to superannuation</w:t>
      </w:r>
      <w:r w:rsidR="00A937DB" w:rsidRPr="00175487">
        <w:rPr>
          <w:rFonts w:ascii="Times New Roman" w:hAnsi="Times New Roman"/>
          <w:szCs w:val="22"/>
        </w:rPr>
        <w:t xml:space="preserve"> portfolio holdings disclosure</w:t>
      </w:r>
      <w:r w:rsidR="009A1722" w:rsidRPr="00175487">
        <w:rPr>
          <w:rFonts w:ascii="Times New Roman" w:hAnsi="Times New Roman"/>
          <w:szCs w:val="22"/>
        </w:rPr>
        <w:t xml:space="preserve">. </w:t>
      </w:r>
    </w:p>
    <w:p w14:paraId="56694251" w14:textId="5256F77D" w:rsidR="00EF4DF7" w:rsidRPr="00175487" w:rsidRDefault="00F322D9" w:rsidP="00F322D9">
      <w:pPr>
        <w:rPr>
          <w:rFonts w:ascii="Times New Roman" w:hAnsi="Times New Roman"/>
          <w:szCs w:val="22"/>
        </w:rPr>
      </w:pPr>
      <w:r w:rsidRPr="00175487">
        <w:rPr>
          <w:rFonts w:ascii="Times New Roman" w:hAnsi="Times New Roman"/>
          <w:szCs w:val="22"/>
        </w:rPr>
        <w:t xml:space="preserve">I am satisfied that the RIS addresses the </w:t>
      </w:r>
      <w:r w:rsidR="00D433D0">
        <w:rPr>
          <w:rFonts w:ascii="Times New Roman" w:hAnsi="Times New Roman"/>
          <w:szCs w:val="22"/>
        </w:rPr>
        <w:t>points for further development</w:t>
      </w:r>
      <w:r w:rsidRPr="00175487">
        <w:rPr>
          <w:rFonts w:ascii="Times New Roman" w:hAnsi="Times New Roman"/>
          <w:szCs w:val="22"/>
        </w:rPr>
        <w:t xml:space="preserve"> raised in your letter of </w:t>
      </w:r>
      <w:r w:rsidR="00D433D0">
        <w:rPr>
          <w:rFonts w:ascii="Times New Roman" w:hAnsi="Times New Roman"/>
          <w:szCs w:val="22"/>
        </w:rPr>
        <w:br/>
      </w:r>
      <w:r w:rsidRPr="00175487">
        <w:rPr>
          <w:rFonts w:ascii="Times New Roman" w:hAnsi="Times New Roman"/>
          <w:szCs w:val="22"/>
        </w:rPr>
        <w:t>2</w:t>
      </w:r>
      <w:r w:rsidR="00EF4DF7" w:rsidRPr="00175487">
        <w:rPr>
          <w:rFonts w:ascii="Times New Roman" w:hAnsi="Times New Roman"/>
          <w:szCs w:val="22"/>
        </w:rPr>
        <w:t>5 October</w:t>
      </w:r>
      <w:r w:rsidRPr="00175487">
        <w:rPr>
          <w:rFonts w:ascii="Times New Roman" w:hAnsi="Times New Roman"/>
          <w:szCs w:val="22"/>
        </w:rPr>
        <w:t xml:space="preserve"> 2021. Specifically</w:t>
      </w:r>
      <w:r w:rsidR="00EF4DF7" w:rsidRPr="00175487">
        <w:rPr>
          <w:rFonts w:ascii="Times New Roman" w:hAnsi="Times New Roman"/>
          <w:szCs w:val="22"/>
        </w:rPr>
        <w:t>:</w:t>
      </w:r>
    </w:p>
    <w:p w14:paraId="5BD0836F" w14:textId="05BFC136" w:rsidR="00EF4DF7" w:rsidRPr="00175487" w:rsidRDefault="00D433D0" w:rsidP="00EF4DF7">
      <w:pPr>
        <w:pStyle w:val="Bulle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F4DF7" w:rsidRPr="00175487">
        <w:rPr>
          <w:rFonts w:ascii="Times New Roman" w:hAnsi="Times New Roman"/>
        </w:rPr>
        <w:t>ssumptions underpinning the costings of each option have been included</w:t>
      </w:r>
      <w:r w:rsidR="00175487" w:rsidRPr="00175487">
        <w:rPr>
          <w:rFonts w:ascii="Times New Roman" w:hAnsi="Times New Roman"/>
        </w:rPr>
        <w:t xml:space="preserve"> in Appendix</w:t>
      </w:r>
      <w:r>
        <w:rPr>
          <w:rFonts w:ascii="Times New Roman" w:hAnsi="Times New Roman"/>
        </w:rPr>
        <w:t xml:space="preserve"> A</w:t>
      </w:r>
      <w:r w:rsidR="00C83016">
        <w:rPr>
          <w:rFonts w:ascii="Times New Roman" w:hAnsi="Times New Roman"/>
        </w:rPr>
        <w:t>.</w:t>
      </w:r>
      <w:r w:rsidR="00C46C28">
        <w:rPr>
          <w:rFonts w:ascii="Times New Roman" w:hAnsi="Times New Roman"/>
        </w:rPr>
        <w:t xml:space="preserve"> In particular, the costs in the first year for each superannuation fund have been identified as well as ongoing costs thereafter</w:t>
      </w:r>
      <w:r>
        <w:rPr>
          <w:rFonts w:ascii="Times New Roman" w:hAnsi="Times New Roman"/>
        </w:rPr>
        <w:t>;</w:t>
      </w:r>
      <w:r w:rsidR="00C46C28">
        <w:rPr>
          <w:rFonts w:ascii="Times New Roman" w:hAnsi="Times New Roman"/>
        </w:rPr>
        <w:t xml:space="preserve"> </w:t>
      </w:r>
      <w:r w:rsidR="00E30490">
        <w:rPr>
          <w:rFonts w:ascii="Times New Roman" w:hAnsi="Times New Roman"/>
        </w:rPr>
        <w:t xml:space="preserve"> </w:t>
      </w:r>
    </w:p>
    <w:p w14:paraId="18EFABD2" w14:textId="2D450274" w:rsidR="00EF4DF7" w:rsidRPr="00175487" w:rsidRDefault="00D433D0" w:rsidP="00EF4DF7">
      <w:pPr>
        <w:pStyle w:val="Bulle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F4DF7" w:rsidRPr="00175487">
        <w:rPr>
          <w:rFonts w:ascii="Times New Roman" w:hAnsi="Times New Roman"/>
        </w:rPr>
        <w:t xml:space="preserve">he benefits and costs of </w:t>
      </w:r>
      <w:r w:rsidR="00C83016">
        <w:rPr>
          <w:rFonts w:ascii="Times New Roman" w:hAnsi="Times New Roman"/>
        </w:rPr>
        <w:t>Option 2</w:t>
      </w:r>
      <w:r w:rsidR="00EF4DF7" w:rsidRPr="00175487">
        <w:rPr>
          <w:rFonts w:ascii="Times New Roman" w:hAnsi="Times New Roman"/>
        </w:rPr>
        <w:t xml:space="preserve"> have</w:t>
      </w:r>
      <w:r w:rsidR="00F322D9" w:rsidRPr="00175487">
        <w:rPr>
          <w:rFonts w:ascii="Times New Roman" w:hAnsi="Times New Roman"/>
        </w:rPr>
        <w:t xml:space="preserve"> been described in more detail</w:t>
      </w:r>
      <w:r w:rsidR="00C83016">
        <w:rPr>
          <w:rFonts w:ascii="Times New Roman" w:hAnsi="Times New Roman"/>
        </w:rPr>
        <w:t xml:space="preserve">, particularly as they impact </w:t>
      </w:r>
      <w:r w:rsidR="00C46C28">
        <w:rPr>
          <w:rFonts w:ascii="Times New Roman" w:hAnsi="Times New Roman"/>
        </w:rPr>
        <w:t xml:space="preserve">various </w:t>
      </w:r>
      <w:r w:rsidR="00501087">
        <w:rPr>
          <w:rFonts w:ascii="Times New Roman" w:hAnsi="Times New Roman"/>
        </w:rPr>
        <w:t>cohorts</w:t>
      </w:r>
      <w:r w:rsidR="00C46C28">
        <w:rPr>
          <w:rFonts w:ascii="Times New Roman" w:hAnsi="Times New Roman"/>
        </w:rPr>
        <w:t xml:space="preserve"> including </w:t>
      </w:r>
      <w:r w:rsidR="00C83016">
        <w:rPr>
          <w:rFonts w:ascii="Times New Roman" w:hAnsi="Times New Roman"/>
        </w:rPr>
        <w:t>superannuation fund members</w:t>
      </w:r>
      <w:r w:rsidR="00C46C28">
        <w:rPr>
          <w:rFonts w:ascii="Times New Roman" w:hAnsi="Times New Roman"/>
        </w:rPr>
        <w:t xml:space="preserve"> and financial planners</w:t>
      </w:r>
      <w:r>
        <w:rPr>
          <w:rFonts w:ascii="Times New Roman" w:hAnsi="Times New Roman"/>
        </w:rPr>
        <w:t>;</w:t>
      </w:r>
    </w:p>
    <w:p w14:paraId="26204F0E" w14:textId="5325C406" w:rsidR="00EF4DF7" w:rsidRPr="00175487" w:rsidRDefault="00D433D0" w:rsidP="00EF4DF7">
      <w:pPr>
        <w:pStyle w:val="Bulle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F4DF7" w:rsidRPr="00175487">
        <w:rPr>
          <w:rFonts w:ascii="Times New Roman" w:hAnsi="Times New Roman"/>
        </w:rPr>
        <w:t xml:space="preserve"> brief explanation </w:t>
      </w:r>
      <w:r w:rsidR="00501087">
        <w:rPr>
          <w:rFonts w:ascii="Times New Roman" w:hAnsi="Times New Roman"/>
        </w:rPr>
        <w:t xml:space="preserve">has been included providing background to the </w:t>
      </w:r>
      <w:r w:rsidR="00EF4DF7" w:rsidRPr="00175487">
        <w:rPr>
          <w:rFonts w:ascii="Times New Roman" w:hAnsi="Times New Roman"/>
        </w:rPr>
        <w:t xml:space="preserve">ASIC </w:t>
      </w:r>
      <w:r w:rsidR="00C46C28">
        <w:rPr>
          <w:rFonts w:ascii="Times New Roman" w:hAnsi="Times New Roman"/>
        </w:rPr>
        <w:t>C</w:t>
      </w:r>
      <w:r w:rsidR="00EF4DF7" w:rsidRPr="00175487">
        <w:rPr>
          <w:rFonts w:ascii="Times New Roman" w:hAnsi="Times New Roman"/>
        </w:rPr>
        <w:t xml:space="preserve">lass </w:t>
      </w:r>
      <w:r w:rsidR="00C46C28">
        <w:rPr>
          <w:rFonts w:ascii="Times New Roman" w:hAnsi="Times New Roman"/>
        </w:rPr>
        <w:t>O</w:t>
      </w:r>
      <w:r w:rsidR="00EF4DF7" w:rsidRPr="00175487">
        <w:rPr>
          <w:rFonts w:ascii="Times New Roman" w:hAnsi="Times New Roman"/>
        </w:rPr>
        <w:t>rder relief</w:t>
      </w:r>
      <w:r w:rsidR="00F322D9" w:rsidRPr="00175487">
        <w:rPr>
          <w:rFonts w:ascii="Times New Roman" w:hAnsi="Times New Roman"/>
        </w:rPr>
        <w:t xml:space="preserve"> and </w:t>
      </w:r>
      <w:r w:rsidR="00EF4DF7" w:rsidRPr="00175487">
        <w:rPr>
          <w:rFonts w:ascii="Times New Roman" w:hAnsi="Times New Roman"/>
        </w:rPr>
        <w:t>why this is likely to continue unde</w:t>
      </w:r>
      <w:r w:rsidR="00175487" w:rsidRPr="00175487">
        <w:rPr>
          <w:rFonts w:ascii="Times New Roman" w:hAnsi="Times New Roman"/>
        </w:rPr>
        <w:t>r</w:t>
      </w:r>
      <w:r w:rsidR="00EF4DF7" w:rsidRPr="00175487">
        <w:rPr>
          <w:rFonts w:ascii="Times New Roman" w:hAnsi="Times New Roman"/>
        </w:rPr>
        <w:t xml:space="preserve"> the status quo option</w:t>
      </w:r>
      <w:r w:rsidR="00501087">
        <w:rPr>
          <w:rFonts w:ascii="Times New Roman" w:hAnsi="Times New Roman"/>
        </w:rPr>
        <w:t>; and</w:t>
      </w:r>
    </w:p>
    <w:p w14:paraId="63D16060" w14:textId="1560824F" w:rsidR="00F322D9" w:rsidRPr="00175487" w:rsidRDefault="00D433D0" w:rsidP="006275FE">
      <w:pPr>
        <w:pStyle w:val="Bulle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322D9" w:rsidRPr="00175487">
        <w:rPr>
          <w:rFonts w:ascii="Times New Roman" w:hAnsi="Times New Roman"/>
        </w:rPr>
        <w:t xml:space="preserve">he </w:t>
      </w:r>
      <w:r w:rsidR="00175487" w:rsidRPr="00175487">
        <w:rPr>
          <w:rFonts w:ascii="Times New Roman" w:hAnsi="Times New Roman"/>
        </w:rPr>
        <w:t>status of the RIS at each of the major decision points in the policy development process has been included</w:t>
      </w:r>
      <w:r w:rsidR="00E30490">
        <w:rPr>
          <w:rFonts w:ascii="Times New Roman" w:hAnsi="Times New Roman"/>
        </w:rPr>
        <w:t xml:space="preserve"> in Appendix B</w:t>
      </w:r>
      <w:r w:rsidR="00175487" w:rsidRPr="00175487">
        <w:rPr>
          <w:rFonts w:ascii="Times New Roman" w:hAnsi="Times New Roman"/>
        </w:rPr>
        <w:t>.</w:t>
      </w:r>
      <w:r w:rsidR="00F322D9" w:rsidRPr="00175487">
        <w:rPr>
          <w:rFonts w:ascii="Times New Roman" w:hAnsi="Times New Roman"/>
        </w:rPr>
        <w:t xml:space="preserve"> </w:t>
      </w:r>
    </w:p>
    <w:p w14:paraId="6F9A7CFE" w14:textId="31FACF4C" w:rsidR="00F322D9" w:rsidRPr="00175487" w:rsidRDefault="00F322D9" w:rsidP="00F322D9">
      <w:pPr>
        <w:rPr>
          <w:rFonts w:ascii="Times New Roman" w:hAnsi="Times New Roman"/>
          <w:szCs w:val="22"/>
        </w:rPr>
      </w:pPr>
      <w:r w:rsidRPr="00175487">
        <w:rPr>
          <w:rFonts w:ascii="Times New Roman" w:hAnsi="Times New Roman"/>
          <w:szCs w:val="22"/>
        </w:rPr>
        <w:t xml:space="preserve">Accordingly, I am satisfied that the RIS is now consistent with the six principles for Australian Government policy makers as specified in the Australian Government Guide to Regulatory Impact Analysis. </w:t>
      </w:r>
    </w:p>
    <w:p w14:paraId="5F559168" w14:textId="14BA14E9" w:rsidR="00F322D9" w:rsidRPr="00175487" w:rsidRDefault="00F322D9" w:rsidP="00F322D9">
      <w:pPr>
        <w:rPr>
          <w:rFonts w:ascii="Times New Roman" w:hAnsi="Times New Roman"/>
          <w:szCs w:val="22"/>
        </w:rPr>
      </w:pPr>
      <w:r w:rsidRPr="00175487">
        <w:rPr>
          <w:rFonts w:ascii="Times New Roman" w:hAnsi="Times New Roman"/>
          <w:szCs w:val="22"/>
        </w:rPr>
        <w:t>I submit the RIS to the Office of Best Practice Regulation for formal final assessment.</w:t>
      </w:r>
    </w:p>
    <w:p w14:paraId="13CE8683" w14:textId="1890473A" w:rsidR="00B537C0" w:rsidRPr="00175487" w:rsidRDefault="00C83016" w:rsidP="009045C5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/>
      </w:r>
      <w:r w:rsidR="00175487">
        <w:rPr>
          <w:rFonts w:ascii="Times New Roman" w:hAnsi="Times New Roman"/>
          <w:szCs w:val="22"/>
        </w:rPr>
        <w:t>Y</w:t>
      </w:r>
      <w:r w:rsidR="00B537C0" w:rsidRPr="00175487">
        <w:rPr>
          <w:rFonts w:ascii="Times New Roman" w:hAnsi="Times New Roman"/>
          <w:szCs w:val="22"/>
        </w:rPr>
        <w:t>ours sincerely</w:t>
      </w:r>
    </w:p>
    <w:p w14:paraId="2A31CA05" w14:textId="531FF0DD" w:rsidR="009045C5" w:rsidRDefault="009045C5" w:rsidP="009045C5">
      <w:pPr>
        <w:spacing w:after="0"/>
        <w:rPr>
          <w:rFonts w:ascii="Times New Roman" w:hAnsi="Times New Roman"/>
          <w:szCs w:val="22"/>
        </w:rPr>
      </w:pPr>
    </w:p>
    <w:p w14:paraId="0B684054" w14:textId="77777777" w:rsidR="009045C5" w:rsidRDefault="009045C5" w:rsidP="009045C5">
      <w:pPr>
        <w:spacing w:after="0"/>
        <w:rPr>
          <w:rFonts w:ascii="Times New Roman" w:hAnsi="Times New Roman"/>
          <w:szCs w:val="22"/>
        </w:rPr>
      </w:pPr>
    </w:p>
    <w:p w14:paraId="0F99C110" w14:textId="7B6FF378" w:rsidR="00C83016" w:rsidRDefault="00C83016" w:rsidP="00C13FED">
      <w:pPr>
        <w:spacing w:after="0"/>
        <w:rPr>
          <w:rFonts w:ascii="Times New Roman" w:hAnsi="Times New Roman"/>
          <w:szCs w:val="22"/>
        </w:rPr>
      </w:pPr>
    </w:p>
    <w:p w14:paraId="432982DD" w14:textId="5D040740" w:rsidR="00C22746" w:rsidRPr="003A134A" w:rsidRDefault="00C41A65" w:rsidP="00B537C0">
      <w:pPr>
        <w:rPr>
          <w:rFonts w:ascii="Times New Roman" w:hAnsi="Times New Roman"/>
          <w:szCs w:val="22"/>
        </w:rPr>
      </w:pPr>
      <w:r w:rsidRPr="003A134A">
        <w:rPr>
          <w:rFonts w:ascii="Times New Roman" w:hAnsi="Times New Roman"/>
          <w:szCs w:val="22"/>
        </w:rPr>
        <w:t>M</w:t>
      </w:r>
      <w:r w:rsidR="00A4451F" w:rsidRPr="003A134A">
        <w:rPr>
          <w:rFonts w:ascii="Times New Roman" w:hAnsi="Times New Roman"/>
          <w:szCs w:val="22"/>
        </w:rPr>
        <w:t>eghan Quinn</w:t>
      </w:r>
      <w:r w:rsidR="002E3810">
        <w:rPr>
          <w:rFonts w:ascii="Times New Roman" w:hAnsi="Times New Roman"/>
          <w:szCs w:val="22"/>
        </w:rPr>
        <w:t xml:space="preserve"> PSM</w:t>
      </w:r>
      <w:r w:rsidR="00B537C0" w:rsidRPr="003A134A">
        <w:rPr>
          <w:rFonts w:ascii="Times New Roman" w:hAnsi="Times New Roman"/>
          <w:szCs w:val="22"/>
        </w:rPr>
        <w:br/>
        <w:t>Deputy Secretary</w:t>
      </w:r>
      <w:r w:rsidR="00983595">
        <w:rPr>
          <w:rFonts w:ascii="Times New Roman" w:hAnsi="Times New Roman"/>
          <w:szCs w:val="22"/>
        </w:rPr>
        <w:t xml:space="preserve">, </w:t>
      </w:r>
      <w:r w:rsidR="00A4451F" w:rsidRPr="003A134A">
        <w:rPr>
          <w:rFonts w:ascii="Times New Roman" w:hAnsi="Times New Roman"/>
          <w:szCs w:val="22"/>
        </w:rPr>
        <w:t>Markets</w:t>
      </w:r>
      <w:r w:rsidR="00B537C0" w:rsidRPr="003A134A">
        <w:rPr>
          <w:rFonts w:ascii="Times New Roman" w:hAnsi="Times New Roman"/>
          <w:szCs w:val="22"/>
        </w:rPr>
        <w:t xml:space="preserve"> Group</w:t>
      </w:r>
      <w:r w:rsidR="00C22746" w:rsidRPr="003A134A">
        <w:rPr>
          <w:rFonts w:ascii="Times New Roman" w:hAnsi="Times New Roman"/>
          <w:szCs w:val="22"/>
        </w:rPr>
        <w:br/>
      </w:r>
    </w:p>
    <w:sectPr w:rsidR="00C22746" w:rsidRPr="003A134A" w:rsidSect="008F52E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851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60217" w14:textId="77777777" w:rsidR="006275FE" w:rsidRDefault="006275FE">
      <w:r>
        <w:separator/>
      </w:r>
    </w:p>
  </w:endnote>
  <w:endnote w:type="continuationSeparator" w:id="0">
    <w:p w14:paraId="6B57E357" w14:textId="77777777" w:rsidR="006275FE" w:rsidRDefault="006275FE">
      <w:r>
        <w:continuationSeparator/>
      </w:r>
    </w:p>
  </w:endnote>
  <w:endnote w:type="continuationNotice" w:id="1">
    <w:p w14:paraId="539E8FD9" w14:textId="77777777" w:rsidR="006275FE" w:rsidRDefault="006275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868B" w14:textId="33D357DB" w:rsidR="006275FE" w:rsidRDefault="006275FE">
    <w:pPr>
      <w:tabs>
        <w:tab w:val="center" w:pos="4820"/>
      </w:tabs>
      <w:spacing w:before="120" w:after="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1985"/>
      <w:gridCol w:w="1985"/>
      <w:gridCol w:w="1985"/>
      <w:gridCol w:w="1985"/>
    </w:tblGrid>
    <w:tr w:rsidR="006275FE" w14:paraId="13CE8692" w14:textId="77777777">
      <w:trPr>
        <w:cantSplit/>
        <w:hidden w:val="0"/>
      </w:trPr>
      <w:tc>
        <w:tcPr>
          <w:tcW w:w="1985" w:type="dxa"/>
        </w:tcPr>
        <w:p w14:paraId="13CE868D" w14:textId="77777777" w:rsidR="006275FE" w:rsidRDefault="006275FE">
          <w:pPr>
            <w:pStyle w:val="FooterCopies"/>
          </w:pPr>
          <w:r>
            <w:rPr>
              <w:noProof/>
              <w:vanish w:val="0"/>
            </w:rPr>
            <w:drawing>
              <wp:anchor distT="0" distB="0" distL="114300" distR="114300" simplePos="0" relativeHeight="251658240" behindDoc="1" locked="0" layoutInCell="1" allowOverlap="1" wp14:anchorId="13CE8698" wp14:editId="13CE8699">
                <wp:simplePos x="0" y="0"/>
                <wp:positionH relativeFrom="page">
                  <wp:posOffset>-471170</wp:posOffset>
                </wp:positionH>
                <wp:positionV relativeFrom="page">
                  <wp:posOffset>215900</wp:posOffset>
                </wp:positionV>
                <wp:extent cx="7199630" cy="647700"/>
                <wp:effectExtent l="19050" t="0" r="1270" b="0"/>
                <wp:wrapNone/>
                <wp:docPr id="22" name="Picture 1" descr="letterhead_foo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_foo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963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>Copies to:</w:t>
          </w:r>
        </w:p>
      </w:tc>
      <w:tc>
        <w:tcPr>
          <w:tcW w:w="1985" w:type="dxa"/>
        </w:tcPr>
        <w:p w14:paraId="13CE868E" w14:textId="77777777" w:rsidR="006275FE" w:rsidRDefault="006275FE">
          <w:pPr>
            <w:pStyle w:val="FooterCopies"/>
          </w:pPr>
        </w:p>
      </w:tc>
      <w:tc>
        <w:tcPr>
          <w:tcW w:w="1985" w:type="dxa"/>
        </w:tcPr>
        <w:p w14:paraId="13CE868F" w14:textId="77777777" w:rsidR="006275FE" w:rsidRDefault="006275FE">
          <w:pPr>
            <w:pStyle w:val="FooterCopies"/>
          </w:pPr>
        </w:p>
      </w:tc>
      <w:tc>
        <w:tcPr>
          <w:tcW w:w="1985" w:type="dxa"/>
        </w:tcPr>
        <w:p w14:paraId="13CE8690" w14:textId="77777777" w:rsidR="006275FE" w:rsidRDefault="006275FE">
          <w:pPr>
            <w:pStyle w:val="FooterCopies"/>
          </w:pPr>
        </w:p>
      </w:tc>
      <w:tc>
        <w:tcPr>
          <w:tcW w:w="1985" w:type="dxa"/>
        </w:tcPr>
        <w:p w14:paraId="13CE8691" w14:textId="77777777" w:rsidR="006275FE" w:rsidRDefault="006275FE">
          <w:pPr>
            <w:pStyle w:val="FooterCopies"/>
          </w:pPr>
        </w:p>
      </w:tc>
    </w:tr>
  </w:tbl>
  <w:p w14:paraId="13CE8693" w14:textId="77777777" w:rsidR="006275FE" w:rsidRPr="00375CB3" w:rsidRDefault="006275FE" w:rsidP="00A23E22">
    <w:pPr>
      <w:pStyle w:val="FooterAddress"/>
      <w:rPr>
        <w:sz w:val="12"/>
      </w:rPr>
    </w:pPr>
  </w:p>
  <w:p w14:paraId="13CE8694" w14:textId="77777777" w:rsidR="006275FE" w:rsidRPr="00A23E22" w:rsidRDefault="006275FE" w:rsidP="00A23E22">
    <w:pPr>
      <w:pStyle w:val="FooterAddress"/>
      <w:rPr>
        <w:sz w:val="2"/>
      </w:rPr>
    </w:pPr>
  </w:p>
  <w:p w14:paraId="13CE8695" w14:textId="77777777" w:rsidR="006275FE" w:rsidRDefault="006275FE" w:rsidP="00F86FE3">
    <w:pPr>
      <w:pStyle w:val="FooterAddress"/>
    </w:pPr>
    <w:r>
      <w:t>Langton Crescent, PARKES ACT 2600, AUSTRALIA</w:t>
    </w:r>
    <w:r>
      <w:br/>
      <w:t>P:  61 2 6263 2111   F:  61 2 6263 2869</w:t>
    </w:r>
    <w:r>
      <w:br/>
    </w:r>
    <w:r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9E53" w14:textId="77777777" w:rsidR="006275FE" w:rsidRDefault="006275FE">
      <w:r>
        <w:separator/>
      </w:r>
    </w:p>
  </w:footnote>
  <w:footnote w:type="continuationSeparator" w:id="0">
    <w:p w14:paraId="2595B111" w14:textId="77777777" w:rsidR="006275FE" w:rsidRDefault="006275FE">
      <w:r>
        <w:continuationSeparator/>
      </w:r>
    </w:p>
  </w:footnote>
  <w:footnote w:type="continuationNotice" w:id="1">
    <w:p w14:paraId="4CA581A5" w14:textId="77777777" w:rsidR="006275FE" w:rsidRDefault="006275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868A" w14:textId="77777777" w:rsidR="006275FE" w:rsidRDefault="006275FE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868C" w14:textId="77777777" w:rsidR="006275FE" w:rsidRPr="006A320D" w:rsidRDefault="006275FE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13CE8696" wp14:editId="13CE8697">
          <wp:extent cx="2343150" cy="533400"/>
          <wp:effectExtent l="19050" t="0" r="0" b="0"/>
          <wp:docPr id="21" name="Picture 2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232C9"/>
    <w:multiLevelType w:val="multilevel"/>
    <w:tmpl w:val="EB363DD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EA664A"/>
    <w:multiLevelType w:val="hybridMultilevel"/>
    <w:tmpl w:val="FD928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110"/>
    <w:multiLevelType w:val="multilevel"/>
    <w:tmpl w:val="D706944E"/>
    <w:lvl w:ilvl="0">
      <w:start w:val="1"/>
      <w:numFmt w:val="bullet"/>
      <w:lvlText w:val="•"/>
      <w:lvlJc w:val="left"/>
      <w:pPr>
        <w:tabs>
          <w:tab w:val="num" w:pos="661"/>
        </w:tabs>
        <w:ind w:left="661" w:hanging="661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322"/>
        </w:tabs>
        <w:ind w:left="1322" w:hanging="661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983"/>
        </w:tabs>
        <w:ind w:left="1983" w:hanging="661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  <w:docVar w:name="SecurityDLMInHeader" w:val="False"/>
  </w:docVars>
  <w:rsids>
    <w:rsidRoot w:val="00F86FE3"/>
    <w:rsid w:val="00010558"/>
    <w:rsid w:val="00013C16"/>
    <w:rsid w:val="00021A7F"/>
    <w:rsid w:val="00041147"/>
    <w:rsid w:val="00055237"/>
    <w:rsid w:val="000557FC"/>
    <w:rsid w:val="00070A45"/>
    <w:rsid w:val="00090725"/>
    <w:rsid w:val="000918DA"/>
    <w:rsid w:val="000B06B7"/>
    <w:rsid w:val="000B367A"/>
    <w:rsid w:val="000C3D77"/>
    <w:rsid w:val="000C779C"/>
    <w:rsid w:val="000D50C5"/>
    <w:rsid w:val="000E70A5"/>
    <w:rsid w:val="001000C6"/>
    <w:rsid w:val="00101A52"/>
    <w:rsid w:val="001109C5"/>
    <w:rsid w:val="0011207A"/>
    <w:rsid w:val="00133D75"/>
    <w:rsid w:val="001402A4"/>
    <w:rsid w:val="00141997"/>
    <w:rsid w:val="0014432A"/>
    <w:rsid w:val="00145C0E"/>
    <w:rsid w:val="00162F18"/>
    <w:rsid w:val="00166CC3"/>
    <w:rsid w:val="0017146F"/>
    <w:rsid w:val="00175487"/>
    <w:rsid w:val="00197ACF"/>
    <w:rsid w:val="001A36C9"/>
    <w:rsid w:val="001B3586"/>
    <w:rsid w:val="001B738F"/>
    <w:rsid w:val="001C3C2D"/>
    <w:rsid w:val="001D1449"/>
    <w:rsid w:val="001D6E55"/>
    <w:rsid w:val="001E485C"/>
    <w:rsid w:val="001F0103"/>
    <w:rsid w:val="001F4A93"/>
    <w:rsid w:val="001F5439"/>
    <w:rsid w:val="00203775"/>
    <w:rsid w:val="00223F7D"/>
    <w:rsid w:val="00243D9B"/>
    <w:rsid w:val="002554F2"/>
    <w:rsid w:val="00255C51"/>
    <w:rsid w:val="002803D7"/>
    <w:rsid w:val="002951D9"/>
    <w:rsid w:val="002A70BB"/>
    <w:rsid w:val="002B7CF2"/>
    <w:rsid w:val="002D7736"/>
    <w:rsid w:val="002E1C04"/>
    <w:rsid w:val="002E2CE5"/>
    <w:rsid w:val="002E3769"/>
    <w:rsid w:val="002E3810"/>
    <w:rsid w:val="002F0AE9"/>
    <w:rsid w:val="002F767C"/>
    <w:rsid w:val="002F7CE3"/>
    <w:rsid w:val="003018D6"/>
    <w:rsid w:val="0033519A"/>
    <w:rsid w:val="00337317"/>
    <w:rsid w:val="003540D9"/>
    <w:rsid w:val="003616A7"/>
    <w:rsid w:val="00371178"/>
    <w:rsid w:val="00375CB3"/>
    <w:rsid w:val="00377275"/>
    <w:rsid w:val="00390772"/>
    <w:rsid w:val="003933E4"/>
    <w:rsid w:val="00397E57"/>
    <w:rsid w:val="003A134A"/>
    <w:rsid w:val="003A2EDB"/>
    <w:rsid w:val="003A7363"/>
    <w:rsid w:val="003B11AC"/>
    <w:rsid w:val="003B2500"/>
    <w:rsid w:val="003B3513"/>
    <w:rsid w:val="003C003D"/>
    <w:rsid w:val="003C6A6E"/>
    <w:rsid w:val="003C7548"/>
    <w:rsid w:val="003C77EE"/>
    <w:rsid w:val="003E0557"/>
    <w:rsid w:val="003E2CBC"/>
    <w:rsid w:val="003E6BE2"/>
    <w:rsid w:val="003F02C0"/>
    <w:rsid w:val="004017E8"/>
    <w:rsid w:val="00403589"/>
    <w:rsid w:val="004148A4"/>
    <w:rsid w:val="004163A9"/>
    <w:rsid w:val="0041725B"/>
    <w:rsid w:val="004175D6"/>
    <w:rsid w:val="00421CC5"/>
    <w:rsid w:val="0043289E"/>
    <w:rsid w:val="00436CCC"/>
    <w:rsid w:val="0043771F"/>
    <w:rsid w:val="00437881"/>
    <w:rsid w:val="00444ADC"/>
    <w:rsid w:val="004513B9"/>
    <w:rsid w:val="00484E95"/>
    <w:rsid w:val="00485E79"/>
    <w:rsid w:val="004B506D"/>
    <w:rsid w:val="004E09A5"/>
    <w:rsid w:val="004E73BC"/>
    <w:rsid w:val="00501087"/>
    <w:rsid w:val="005039EC"/>
    <w:rsid w:val="005106D0"/>
    <w:rsid w:val="005117FB"/>
    <w:rsid w:val="00521D21"/>
    <w:rsid w:val="0053231A"/>
    <w:rsid w:val="00536667"/>
    <w:rsid w:val="0053677E"/>
    <w:rsid w:val="00547957"/>
    <w:rsid w:val="00554D82"/>
    <w:rsid w:val="005678C7"/>
    <w:rsid w:val="00570B40"/>
    <w:rsid w:val="0058454C"/>
    <w:rsid w:val="00591B3C"/>
    <w:rsid w:val="005D3EE0"/>
    <w:rsid w:val="005D603F"/>
    <w:rsid w:val="005F0131"/>
    <w:rsid w:val="005F01D5"/>
    <w:rsid w:val="005F1AC0"/>
    <w:rsid w:val="005F6F02"/>
    <w:rsid w:val="006275FE"/>
    <w:rsid w:val="00634172"/>
    <w:rsid w:val="00635300"/>
    <w:rsid w:val="00671B6C"/>
    <w:rsid w:val="0068507B"/>
    <w:rsid w:val="006964EF"/>
    <w:rsid w:val="006A1A29"/>
    <w:rsid w:val="006A320D"/>
    <w:rsid w:val="006D335A"/>
    <w:rsid w:val="006D52DA"/>
    <w:rsid w:val="006F2190"/>
    <w:rsid w:val="007232C5"/>
    <w:rsid w:val="00741368"/>
    <w:rsid w:val="00745596"/>
    <w:rsid w:val="00776DB4"/>
    <w:rsid w:val="007A23BC"/>
    <w:rsid w:val="007C4C32"/>
    <w:rsid w:val="007C5F20"/>
    <w:rsid w:val="007F5748"/>
    <w:rsid w:val="008012AE"/>
    <w:rsid w:val="00810DD6"/>
    <w:rsid w:val="008457EF"/>
    <w:rsid w:val="00857F46"/>
    <w:rsid w:val="00862E67"/>
    <w:rsid w:val="00863252"/>
    <w:rsid w:val="00892A3D"/>
    <w:rsid w:val="008B3777"/>
    <w:rsid w:val="008B421B"/>
    <w:rsid w:val="008F52E9"/>
    <w:rsid w:val="008F743F"/>
    <w:rsid w:val="008F751A"/>
    <w:rsid w:val="009045C5"/>
    <w:rsid w:val="009055AE"/>
    <w:rsid w:val="00917559"/>
    <w:rsid w:val="009400AE"/>
    <w:rsid w:val="0094357B"/>
    <w:rsid w:val="0096089B"/>
    <w:rsid w:val="00960920"/>
    <w:rsid w:val="00983595"/>
    <w:rsid w:val="0098490B"/>
    <w:rsid w:val="009A1722"/>
    <w:rsid w:val="009C44FF"/>
    <w:rsid w:val="009D2350"/>
    <w:rsid w:val="009F35E9"/>
    <w:rsid w:val="009F64AF"/>
    <w:rsid w:val="00A02BFB"/>
    <w:rsid w:val="00A0384D"/>
    <w:rsid w:val="00A21456"/>
    <w:rsid w:val="00A23E22"/>
    <w:rsid w:val="00A24F8B"/>
    <w:rsid w:val="00A308FD"/>
    <w:rsid w:val="00A4156C"/>
    <w:rsid w:val="00A4451F"/>
    <w:rsid w:val="00A54439"/>
    <w:rsid w:val="00A60C6A"/>
    <w:rsid w:val="00A67528"/>
    <w:rsid w:val="00A74FCF"/>
    <w:rsid w:val="00A76CE3"/>
    <w:rsid w:val="00A937DB"/>
    <w:rsid w:val="00AA3154"/>
    <w:rsid w:val="00AA601E"/>
    <w:rsid w:val="00AD27D7"/>
    <w:rsid w:val="00AD44A4"/>
    <w:rsid w:val="00AD7E41"/>
    <w:rsid w:val="00AE57E0"/>
    <w:rsid w:val="00AE7031"/>
    <w:rsid w:val="00AF4BCD"/>
    <w:rsid w:val="00B05F4B"/>
    <w:rsid w:val="00B061E3"/>
    <w:rsid w:val="00B112A0"/>
    <w:rsid w:val="00B24C39"/>
    <w:rsid w:val="00B344CE"/>
    <w:rsid w:val="00B34F04"/>
    <w:rsid w:val="00B43818"/>
    <w:rsid w:val="00B537C0"/>
    <w:rsid w:val="00B572FF"/>
    <w:rsid w:val="00B62659"/>
    <w:rsid w:val="00B67115"/>
    <w:rsid w:val="00B7060B"/>
    <w:rsid w:val="00B8256A"/>
    <w:rsid w:val="00B97D5E"/>
    <w:rsid w:val="00BA4937"/>
    <w:rsid w:val="00BC0037"/>
    <w:rsid w:val="00BC6C56"/>
    <w:rsid w:val="00BD2028"/>
    <w:rsid w:val="00BD351F"/>
    <w:rsid w:val="00BE32D6"/>
    <w:rsid w:val="00BF24F1"/>
    <w:rsid w:val="00C07D8E"/>
    <w:rsid w:val="00C13FED"/>
    <w:rsid w:val="00C22746"/>
    <w:rsid w:val="00C3242F"/>
    <w:rsid w:val="00C34603"/>
    <w:rsid w:val="00C41A65"/>
    <w:rsid w:val="00C46C28"/>
    <w:rsid w:val="00C54D4B"/>
    <w:rsid w:val="00C7555C"/>
    <w:rsid w:val="00C83016"/>
    <w:rsid w:val="00C8737E"/>
    <w:rsid w:val="00CA030C"/>
    <w:rsid w:val="00CA2942"/>
    <w:rsid w:val="00CA2F0C"/>
    <w:rsid w:val="00CC35DF"/>
    <w:rsid w:val="00CD1F9F"/>
    <w:rsid w:val="00CF6E5A"/>
    <w:rsid w:val="00D05640"/>
    <w:rsid w:val="00D16372"/>
    <w:rsid w:val="00D433D0"/>
    <w:rsid w:val="00D651C4"/>
    <w:rsid w:val="00D74317"/>
    <w:rsid w:val="00DD2565"/>
    <w:rsid w:val="00E10690"/>
    <w:rsid w:val="00E163A4"/>
    <w:rsid w:val="00E167CF"/>
    <w:rsid w:val="00E217CF"/>
    <w:rsid w:val="00E30490"/>
    <w:rsid w:val="00E51C9D"/>
    <w:rsid w:val="00E55806"/>
    <w:rsid w:val="00E6131F"/>
    <w:rsid w:val="00E8414A"/>
    <w:rsid w:val="00E8715A"/>
    <w:rsid w:val="00E90177"/>
    <w:rsid w:val="00E9548D"/>
    <w:rsid w:val="00EA4219"/>
    <w:rsid w:val="00EC5544"/>
    <w:rsid w:val="00EE187E"/>
    <w:rsid w:val="00EE76EC"/>
    <w:rsid w:val="00EF06A7"/>
    <w:rsid w:val="00EF4DF7"/>
    <w:rsid w:val="00F03507"/>
    <w:rsid w:val="00F04040"/>
    <w:rsid w:val="00F06ACA"/>
    <w:rsid w:val="00F16096"/>
    <w:rsid w:val="00F322D9"/>
    <w:rsid w:val="00F32906"/>
    <w:rsid w:val="00F36FE7"/>
    <w:rsid w:val="00F50F98"/>
    <w:rsid w:val="00F52349"/>
    <w:rsid w:val="00F7715D"/>
    <w:rsid w:val="00F86FE3"/>
    <w:rsid w:val="00F90504"/>
    <w:rsid w:val="00FA6921"/>
    <w:rsid w:val="00FA77E2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3CE866E"/>
  <w15:docId w15:val="{DC385D24-63F8-4C4B-83B2-03996BD8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041147"/>
    <w:rPr>
      <w:rFonts w:ascii="Arial" w:hAnsi="Arial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0C3D77"/>
    <w:rPr>
      <w:rFonts w:ascii="Arial" w:hAnsi="Arial"/>
      <w:b/>
      <w:color w:val="FFFFFF"/>
      <w:sz w:val="16"/>
    </w:rPr>
  </w:style>
  <w:style w:type="paragraph" w:customStyle="1" w:styleId="Bullet">
    <w:name w:val="Bullet"/>
    <w:basedOn w:val="Normal"/>
    <w:link w:val="BulletChar"/>
    <w:rsid w:val="001B3586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1B3586"/>
    <w:rPr>
      <w:rFonts w:ascii="Calibri" w:hAnsi="Calibri"/>
      <w:sz w:val="22"/>
    </w:rPr>
  </w:style>
  <w:style w:type="paragraph" w:customStyle="1" w:styleId="Dash">
    <w:name w:val="Dash"/>
    <w:basedOn w:val="Normal"/>
    <w:link w:val="DashChar"/>
    <w:rsid w:val="001B3586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1B3586"/>
    <w:rPr>
      <w:rFonts w:ascii="Calibri" w:hAnsi="Calibri"/>
      <w:sz w:val="22"/>
    </w:rPr>
  </w:style>
  <w:style w:type="paragraph" w:customStyle="1" w:styleId="DoubleDot">
    <w:name w:val="Double Dot"/>
    <w:basedOn w:val="Normal"/>
    <w:link w:val="DoubleDotChar"/>
    <w:rsid w:val="001B3586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1B3586"/>
    <w:rPr>
      <w:rFonts w:ascii="Calibri" w:hAnsi="Calibri"/>
      <w:sz w:val="22"/>
    </w:rPr>
  </w:style>
  <w:style w:type="character" w:styleId="CommentReference">
    <w:name w:val="annotation reference"/>
    <w:basedOn w:val="DefaultParagraphFont"/>
    <w:rsid w:val="00DD25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5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256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2565"/>
    <w:rPr>
      <w:rFonts w:ascii="Calibri" w:hAnsi="Calibri"/>
      <w:b/>
      <w:bCs/>
    </w:rPr>
  </w:style>
  <w:style w:type="paragraph" w:customStyle="1" w:styleId="CABParaSub">
    <w:name w:val="CAB Para Sub"/>
    <w:basedOn w:val="Normal"/>
    <w:link w:val="CABParaSubChar"/>
    <w:qFormat/>
    <w:rsid w:val="006D335A"/>
    <w:pPr>
      <w:tabs>
        <w:tab w:val="left" w:pos="567"/>
      </w:tabs>
      <w:spacing w:before="120" w:after="120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CABParaSubChar">
    <w:name w:val="CAB Para Sub Char"/>
    <w:basedOn w:val="DefaultParagraphFont"/>
    <w:link w:val="CABParaSub"/>
    <w:rsid w:val="006D335A"/>
    <w:rPr>
      <w:rFonts w:eastAsia="Calibr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52E9"/>
    <w:pPr>
      <w:spacing w:after="0"/>
      <w:ind w:left="720"/>
    </w:pPr>
    <w:rPr>
      <w:rFonts w:eastAsiaTheme="minorHAnsi" w:cs="Calibri"/>
      <w:szCs w:val="22"/>
      <w:lang w:eastAsia="en-US"/>
    </w:rPr>
  </w:style>
  <w:style w:type="paragraph" w:styleId="Revision">
    <w:name w:val="Revision"/>
    <w:hidden/>
    <w:uiPriority w:val="99"/>
    <w:semiHidden/>
    <w:rsid w:val="003A2EDB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source\Workgroup%20Templates\Correspondence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2021FG-265-565</_dlc_DocId>
    <TaxCatchAll xmlns="0f563589-9cf9-4143-b1eb-fb0534803d38">
      <Value>27</Value>
    </TaxCatchAll>
    <_dlc_DocIdUrl xmlns="0f563589-9cf9-4143-b1eb-fb0534803d38">
      <Url>http://tweb/sites/fg/ripd/prudpolicy/_layouts/15/DocIdRedir.aspx?ID=2021FG-265-565</Url>
      <Description>2021FG-265-565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DD727362D85B6345B90E008555382AA3" ma:contentTypeVersion="42097" ma:contentTypeDescription="" ma:contentTypeScope="" ma:versionID="06a102eb738335b535ae84185858f17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ae6044cf372a677145d1886768b8ae34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7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DD000-D3AD-4EE9-9E68-D91B9D29FDBA}">
  <ds:schemaRefs>
    <ds:schemaRef ds:uri="http://purl.org/dc/terms/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infopath/2007/PartnerControls"/>
    <ds:schemaRef ds:uri="e544e5cc-ab70-42e1-849e-1a0f8bb1f4ef"/>
    <ds:schemaRef ds:uri="http://schemas.openxmlformats.org/package/2006/metadata/core-properties"/>
    <ds:schemaRef ds:uri="0f563589-9cf9-4143-b1eb-fb0534803d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46FE34-F337-455B-9901-9D6FB087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D62B6-98E4-4EAE-BBCD-54BC659FD3D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E2726BC-1572-4717-A36D-2D8D791D91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663208-216E-4DD3-8C88-4FF48F7E9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9279E7-2126-4694-9290-BB5C83424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Impact Statement - Early Assessment</vt:lpstr>
    </vt:vector>
  </TitlesOfParts>
  <Company>The Treasury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Impact Statement - Early Assessment</dc:title>
  <dc:creator>John Lonsdale</dc:creator>
  <cp:lastModifiedBy>Przydacz, Jonathan</cp:lastModifiedBy>
  <cp:revision>2</cp:revision>
  <cp:lastPrinted>2021-11-01T07:20:00Z</cp:lastPrinted>
  <dcterms:created xsi:type="dcterms:W3CDTF">2021-11-05T01:45:00Z</dcterms:created>
  <dcterms:modified xsi:type="dcterms:W3CDTF">2021-11-05T01:45:00Z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/>
  </property>
  <property fmtid="{D5CDD505-2E9C-101B-9397-08002B2CF9AE}" pid="3" name="Language">
    <vt:lpwstr>English</vt:lpwstr>
  </property>
  <property fmtid="{D5CDD505-2E9C-101B-9397-08002B2CF9AE}" pid="4" name="DLMSecurityClassification">
    <vt:lpwstr/>
  </property>
  <property fmtid="{D5CDD505-2E9C-101B-9397-08002B2CF9AE}" pid="6" name="_NewReviewCycle">
    <vt:lpwstr/>
  </property>
  <property fmtid="{D5CDD505-2E9C-101B-9397-08002B2CF9AE}" pid="10" name="ContentTypeId">
    <vt:lpwstr>0x010100348D01E61E107C4DA4B97E380EA20D4700DD727362D85B6345B90E008555382AA3</vt:lpwstr>
  </property>
  <property fmtid="{D5CDD505-2E9C-101B-9397-08002B2CF9AE}" pid="11" name="TSYRecordClass">
    <vt:lpwstr>27;#TSY RA-9081 - Retain as national archives|bbf0bcde-1687-4ff2-bc57-f31b5d545d4b</vt:lpwstr>
  </property>
  <property fmtid="{D5CDD505-2E9C-101B-9397-08002B2CF9AE}" pid="12" name="_dlc_DocIdItemGuid">
    <vt:lpwstr>eadfe245-8435-4e0a-87f9-eb213df2a2dc</vt:lpwstr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{b407f66a-2cb1-4241-987e-21ad998a5e3e}</vt:lpwstr>
  </property>
  <property fmtid="{D5CDD505-2E9C-101B-9397-08002B2CF9AE}" pid="15" name="RecordPoint_ActiveItemWebId">
    <vt:lpwstr>{9c6e542a-88f6-4b6a-893c-47bbb35bf1ea}</vt:lpwstr>
  </property>
  <property fmtid="{D5CDD505-2E9C-101B-9397-08002B2CF9AE}" pid="16" name="RecordPoint_ActiveItemSiteId">
    <vt:lpwstr>{a3a280d1-e8f1-4ce7-94f0-aaa2322da0dd}</vt:lpwstr>
  </property>
  <property fmtid="{D5CDD505-2E9C-101B-9397-08002B2CF9AE}" pid="17" name="RecordPoint_ActiveItemListId">
    <vt:lpwstr>{1dd21b60-e87f-4954-afc6-41c506ea60bd}</vt:lpwstr>
  </property>
  <property fmtid="{D5CDD505-2E9C-101B-9397-08002B2CF9AE}" pid="18" name="RecordPoint_RecordNumberSubmitted">
    <vt:lpwstr/>
  </property>
  <property fmtid="{D5CDD505-2E9C-101B-9397-08002B2CF9AE}" pid="19" name="RecordPoint_SubmissionCompleted">
    <vt:lpwstr/>
  </property>
  <property fmtid="{D5CDD505-2E9C-101B-9397-08002B2CF9AE}" pid="20" name="RecordPoint_SubmissionDate">
    <vt:lpwstr/>
  </property>
  <property fmtid="{D5CDD505-2E9C-101B-9397-08002B2CF9AE}" pid="21" name="RecordPoint_ActiveItemMoved">
    <vt:lpwstr/>
  </property>
  <property fmtid="{D5CDD505-2E9C-101B-9397-08002B2CF9AE}" pid="22" name="RecordPoint_RecordFormat">
    <vt:lpwstr/>
  </property>
</Properties>
</file>