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9B0F6" w14:textId="77777777" w:rsidR="001F7BF8" w:rsidRPr="001F7BF8" w:rsidRDefault="006C524A" w:rsidP="006C524A">
      <w:pPr>
        <w:spacing w:before="240"/>
      </w:pPr>
      <w:r>
        <w:t>Mr Jason Lange</w:t>
      </w:r>
      <w:r w:rsidR="00875F6F">
        <w:br/>
      </w:r>
      <w:r>
        <w:t>Executive Director</w:t>
      </w:r>
      <w:r w:rsidR="00875F6F">
        <w:br/>
      </w:r>
      <w:r>
        <w:t>Office of Best Practice Regulation</w:t>
      </w:r>
      <w:r w:rsidR="00875F6F">
        <w:br/>
      </w:r>
      <w:r>
        <w:t>Department of Prime Minister and Cabinet</w:t>
      </w:r>
    </w:p>
    <w:p w14:paraId="04B6AAF5" w14:textId="77777777" w:rsidR="001F7BF8" w:rsidRDefault="0087502F" w:rsidP="00C01315">
      <w:r>
        <w:t>De</w:t>
      </w:r>
      <w:r w:rsidRPr="004F4C94">
        <w:t>a</w:t>
      </w:r>
      <w:r>
        <w:t xml:space="preserve">r </w:t>
      </w:r>
      <w:r w:rsidR="006C524A">
        <w:t>Mr Lange</w:t>
      </w:r>
    </w:p>
    <w:p w14:paraId="6EC92775" w14:textId="77777777" w:rsidR="001F7BF8" w:rsidRPr="007D22C0" w:rsidRDefault="001F7BF8" w:rsidP="007D22C0">
      <w:pPr>
        <w:pStyle w:val="Heading1"/>
      </w:pPr>
      <w:proofErr w:type="spellStart"/>
      <w:r w:rsidRPr="007D22C0">
        <w:t>Su</w:t>
      </w:r>
      <w:r w:rsidR="006C524A">
        <w:t>nsetting</w:t>
      </w:r>
      <w:proofErr w:type="spellEnd"/>
      <w:r w:rsidR="006C524A">
        <w:t xml:space="preserve"> of standards and legislative instruments </w:t>
      </w:r>
      <w:r w:rsidR="006C524A" w:rsidRPr="006C524A">
        <w:t>for human cell and tissue (HCT) products, blood and blood components</w:t>
      </w:r>
    </w:p>
    <w:p w14:paraId="35FBA505" w14:textId="77777777" w:rsidR="007D192C" w:rsidRPr="007D192C" w:rsidRDefault="006C524A" w:rsidP="002D7EFB">
      <w:r w:rsidRPr="007D192C">
        <w:t>I am writing to the Office of Best Practice Regulation (OBPR) regarding the</w:t>
      </w:r>
      <w:r w:rsidR="007D192C" w:rsidRPr="007D192C">
        <w:t xml:space="preserve"> standards and legislative instruments for human cell and tissue (HCT) products, blood and blood components</w:t>
      </w:r>
      <w:r w:rsidR="007A18C5">
        <w:t xml:space="preserve"> that</w:t>
      </w:r>
      <w:r w:rsidR="007D192C" w:rsidRPr="00DF11DC">
        <w:t xml:space="preserve">, </w:t>
      </w:r>
      <w:r w:rsidR="007A18C5">
        <w:t xml:space="preserve">in accordance with </w:t>
      </w:r>
      <w:r w:rsidR="007D192C" w:rsidRPr="00DF11DC">
        <w:t xml:space="preserve">the </w:t>
      </w:r>
      <w:r w:rsidR="007D192C">
        <w:rPr>
          <w:i/>
        </w:rPr>
        <w:t>Legislation</w:t>
      </w:r>
      <w:r w:rsidR="007D192C" w:rsidRPr="00DF11DC">
        <w:rPr>
          <w:i/>
        </w:rPr>
        <w:t xml:space="preserve"> Act 2003</w:t>
      </w:r>
      <w:r w:rsidR="007D192C" w:rsidRPr="00DF11DC">
        <w:t xml:space="preserve">, </w:t>
      </w:r>
      <w:r w:rsidR="007D192C">
        <w:t xml:space="preserve">are </w:t>
      </w:r>
      <w:r w:rsidR="007D192C" w:rsidRPr="00DF11DC">
        <w:t>scheduled to sunset o</w:t>
      </w:r>
      <w:r w:rsidR="007D192C">
        <w:t>n 1 October 2021</w:t>
      </w:r>
      <w:r w:rsidR="007D192C" w:rsidRPr="00384475">
        <w:t xml:space="preserve">. </w:t>
      </w:r>
    </w:p>
    <w:p w14:paraId="11F691DA" w14:textId="77777777" w:rsidR="007D192C" w:rsidRDefault="007D192C" w:rsidP="002D7EFB">
      <w:r>
        <w:t>The relevant Therapeutic Goods Orders (TGOs)</w:t>
      </w:r>
      <w:r w:rsidR="007A18C5">
        <w:t>,</w:t>
      </w:r>
      <w:r>
        <w:t xml:space="preserve"> that </w:t>
      </w:r>
      <w:r w:rsidR="00920160">
        <w:t xml:space="preserve">were </w:t>
      </w:r>
      <w:r w:rsidR="007A18C5">
        <w:t xml:space="preserve">reviewed, </w:t>
      </w:r>
      <w:r>
        <w:t>can be broadly categorised into three groups:</w:t>
      </w:r>
    </w:p>
    <w:p w14:paraId="3B46144A" w14:textId="77777777" w:rsidR="007D192C" w:rsidRDefault="007D192C" w:rsidP="007D192C">
      <w:pPr>
        <w:pStyle w:val="Numberbullet0"/>
      </w:pPr>
      <w:r>
        <w:t>Product-specific standards:</w:t>
      </w:r>
    </w:p>
    <w:p w14:paraId="0A85284A" w14:textId="77777777" w:rsidR="007D192C" w:rsidRDefault="007D192C" w:rsidP="007D192C">
      <w:pPr>
        <w:pStyle w:val="ListBullet3"/>
      </w:pPr>
      <w:r>
        <w:t>TGO 83: Standards for human musculos</w:t>
      </w:r>
      <w:r w:rsidR="004E1AEF">
        <w:t>keletal tissue</w:t>
      </w:r>
    </w:p>
    <w:p w14:paraId="31674459" w14:textId="77777777" w:rsidR="007D192C" w:rsidRDefault="007D192C" w:rsidP="007D192C">
      <w:pPr>
        <w:pStyle w:val="ListBullet3"/>
      </w:pPr>
      <w:r>
        <w:t>TGO 84: Standards for human cardiov</w:t>
      </w:r>
      <w:r w:rsidR="004E1AEF">
        <w:t>ascular tissue</w:t>
      </w:r>
    </w:p>
    <w:p w14:paraId="61B5DD47" w14:textId="77777777" w:rsidR="007D192C" w:rsidRDefault="007D192C" w:rsidP="007D192C">
      <w:pPr>
        <w:pStyle w:val="ListBullet3"/>
      </w:pPr>
      <w:r>
        <w:t>TGO 85: Standards for human</w:t>
      </w:r>
      <w:r w:rsidR="004E1AEF">
        <w:t xml:space="preserve"> ocular tissue</w:t>
      </w:r>
    </w:p>
    <w:p w14:paraId="18F6C98F" w14:textId="77777777" w:rsidR="007D192C" w:rsidRDefault="007D192C" w:rsidP="007D192C">
      <w:pPr>
        <w:pStyle w:val="ListBullet3"/>
      </w:pPr>
      <w:r>
        <w:t xml:space="preserve">TGO 86: Standards </w:t>
      </w:r>
      <w:r w:rsidR="004E1AEF">
        <w:t>for human skin</w:t>
      </w:r>
    </w:p>
    <w:p w14:paraId="4E9F217B" w14:textId="77777777" w:rsidR="007D192C" w:rsidRDefault="007D192C" w:rsidP="007D192C">
      <w:pPr>
        <w:pStyle w:val="Numberbullet0"/>
      </w:pPr>
      <w:r>
        <w:t>Labelling requirements:</w:t>
      </w:r>
    </w:p>
    <w:p w14:paraId="49D43DCE" w14:textId="77777777" w:rsidR="007D192C" w:rsidRDefault="007D192C" w:rsidP="004E1AEF">
      <w:pPr>
        <w:pStyle w:val="ListBullet3"/>
      </w:pPr>
      <w:r>
        <w:t>TGO 87: General requirements for the labelling of bio</w:t>
      </w:r>
      <w:r w:rsidR="004E1AEF">
        <w:t>logicals</w:t>
      </w:r>
    </w:p>
    <w:p w14:paraId="6E53E4AB" w14:textId="77777777" w:rsidR="007D192C" w:rsidRDefault="007D192C" w:rsidP="004E1AEF">
      <w:pPr>
        <w:pStyle w:val="Numberbullet0"/>
      </w:pPr>
      <w:r>
        <w:t>General donor selection and testing requirements:</w:t>
      </w:r>
    </w:p>
    <w:p w14:paraId="23787659" w14:textId="77777777" w:rsidR="007D192C" w:rsidRDefault="007D192C" w:rsidP="004E1AEF">
      <w:pPr>
        <w:pStyle w:val="ListBullet3"/>
      </w:pPr>
      <w:r>
        <w:t>TGO 88: Standards for donor selection, testing, and minimising infectious disease transmission via therapeutic goods that are human blood and blood components, human tissues and human cellular th</w:t>
      </w:r>
      <w:r w:rsidR="004E1AEF">
        <w:t>erapy products</w:t>
      </w:r>
    </w:p>
    <w:p w14:paraId="5F61027B" w14:textId="77777777" w:rsidR="007D192C" w:rsidRDefault="00920160" w:rsidP="002D7EFB">
      <w:r>
        <w:t>Additionally</w:t>
      </w:r>
      <w:r w:rsidR="007A18C5">
        <w:t>,</w:t>
      </w:r>
      <w:r>
        <w:t xml:space="preserve"> t</w:t>
      </w:r>
      <w:r w:rsidR="007D192C">
        <w:t>wo other legislative instruments</w:t>
      </w:r>
      <w:r w:rsidR="007A18C5">
        <w:t>,</w:t>
      </w:r>
      <w:r>
        <w:t xml:space="preserve"> </w:t>
      </w:r>
      <w:r w:rsidR="007A18C5">
        <w:t xml:space="preserve">were </w:t>
      </w:r>
      <w:r>
        <w:t>also</w:t>
      </w:r>
      <w:r w:rsidR="007A18C5">
        <w:t xml:space="preserve"> reviewed</w:t>
      </w:r>
      <w:r w:rsidR="007D192C">
        <w:t>:</w:t>
      </w:r>
    </w:p>
    <w:p w14:paraId="27A913D5" w14:textId="77777777" w:rsidR="007D192C" w:rsidRDefault="007D192C" w:rsidP="00920160">
      <w:pPr>
        <w:pStyle w:val="ListBullet3"/>
      </w:pPr>
      <w:r>
        <w:t>Therapeutic Goods (Things that are not Biologicals) Determination</w:t>
      </w:r>
      <w:r w:rsidR="00920160">
        <w:t xml:space="preserve"> No. 1 of 2011</w:t>
      </w:r>
    </w:p>
    <w:p w14:paraId="1C6AA27B" w14:textId="77777777" w:rsidR="007D192C" w:rsidRDefault="007D192C" w:rsidP="00920160">
      <w:pPr>
        <w:pStyle w:val="ListBullet3"/>
      </w:pPr>
      <w:r>
        <w:t>Therapeutic Goods (Things that are Biologicals) Spec</w:t>
      </w:r>
      <w:r w:rsidR="00920160">
        <w:t>ification 2019</w:t>
      </w:r>
    </w:p>
    <w:p w14:paraId="41E802D4" w14:textId="77777777" w:rsidR="00920160" w:rsidRDefault="00920160" w:rsidP="002D7EFB">
      <w:r>
        <w:t xml:space="preserve">Although TGO 88 does not sunset until </w:t>
      </w:r>
      <w:r w:rsidR="007A18C5">
        <w:t>1 </w:t>
      </w:r>
      <w:r>
        <w:t xml:space="preserve">October 2023, this Order cross-references TGOs 83-87 and so </w:t>
      </w:r>
      <w:r w:rsidR="007A18C5">
        <w:t xml:space="preserve">it was </w:t>
      </w:r>
      <w:r>
        <w:t>reviewed at the same time to provide clarity</w:t>
      </w:r>
      <w:r w:rsidR="007A18C5">
        <w:t xml:space="preserve"> across these HCT-relevant TGOs</w:t>
      </w:r>
      <w:r w:rsidRPr="00384475">
        <w:t xml:space="preserve">, </w:t>
      </w:r>
      <w:r w:rsidRPr="00DF11DC">
        <w:t xml:space="preserve">which, as per the </w:t>
      </w:r>
      <w:r>
        <w:rPr>
          <w:i/>
        </w:rPr>
        <w:t>Legislation</w:t>
      </w:r>
      <w:r w:rsidRPr="00DF11DC">
        <w:rPr>
          <w:i/>
        </w:rPr>
        <w:t xml:space="preserve"> Act 2003</w:t>
      </w:r>
      <w:r w:rsidRPr="00DF11DC">
        <w:t xml:space="preserve">, </w:t>
      </w:r>
      <w:r w:rsidR="007A18C5">
        <w:t xml:space="preserve">are </w:t>
      </w:r>
      <w:r w:rsidRPr="00DF11DC">
        <w:t>scheduled to sunset o</w:t>
      </w:r>
      <w:r w:rsidR="007A18C5">
        <w:t>n 1 October </w:t>
      </w:r>
      <w:r>
        <w:t>2021</w:t>
      </w:r>
      <w:r w:rsidRPr="00384475">
        <w:t>.</w:t>
      </w:r>
    </w:p>
    <w:p w14:paraId="7CC1570E" w14:textId="77777777" w:rsidR="007D192C" w:rsidRDefault="007D192C" w:rsidP="002D7EFB">
      <w:r>
        <w:lastRenderedPageBreak/>
        <w:t>The Australian Government Department</w:t>
      </w:r>
      <w:r w:rsidR="007A18C5">
        <w:t xml:space="preserve"> of Health certifies that </w:t>
      </w:r>
      <w:r w:rsidR="007A18C5" w:rsidRPr="007D192C">
        <w:t xml:space="preserve">the </w:t>
      </w:r>
      <w:r w:rsidR="00812475">
        <w:t>review of</w:t>
      </w:r>
      <w:r w:rsidR="007A18C5">
        <w:t xml:space="preserve"> </w:t>
      </w:r>
      <w:r w:rsidR="00812475">
        <w:t xml:space="preserve">the performance of </w:t>
      </w:r>
      <w:r w:rsidR="007A18C5" w:rsidRPr="007D192C">
        <w:t>standards and legislative instruments for human cell and tissue (HCT) products, blood and blood components</w:t>
      </w:r>
      <w:r w:rsidR="00812475">
        <w:t xml:space="preserve"> found that they are fit for purpose and have operated effectively and efficiently since they came into force. T</w:t>
      </w:r>
      <w:r>
        <w:t>herefore</w:t>
      </w:r>
      <w:r w:rsidR="00812475">
        <w:t>,</w:t>
      </w:r>
      <w:r>
        <w:t xml:space="preserve"> a Regulation Impact St</w:t>
      </w:r>
      <w:r w:rsidR="007A18C5">
        <w:t>atement is not required for the</w:t>
      </w:r>
      <w:r>
        <w:t xml:space="preserve"> instrument</w:t>
      </w:r>
      <w:r w:rsidR="007A18C5">
        <w:t>s</w:t>
      </w:r>
      <w:r>
        <w:t xml:space="preserve"> to be remade.</w:t>
      </w:r>
    </w:p>
    <w:p w14:paraId="20359E56" w14:textId="7043282A" w:rsidR="002D7EFB" w:rsidRDefault="007D192C" w:rsidP="002D7EFB">
      <w:r>
        <w:t xml:space="preserve">The self-assessment was informed by a public consultation process. The proposal to remake </w:t>
      </w:r>
      <w:r w:rsidR="00812475">
        <w:t xml:space="preserve">the </w:t>
      </w:r>
      <w:r w:rsidR="00812475" w:rsidRPr="00812475">
        <w:t xml:space="preserve">standards and legislative instruments for </w:t>
      </w:r>
      <w:bookmarkStart w:id="0" w:name="_Hlk80091403"/>
      <w:r w:rsidR="00812475" w:rsidRPr="00812475">
        <w:t>human cell and tissue (HCT) products, blood and blood components</w:t>
      </w:r>
      <w:bookmarkEnd w:id="0"/>
      <w:r w:rsidR="00812475">
        <w:t xml:space="preserve"> </w:t>
      </w:r>
      <w:r>
        <w:t>without substantially altering the current arrangements was available on the TGA website fo</w:t>
      </w:r>
      <w:r w:rsidR="00812475">
        <w:t xml:space="preserve">r public comment from </w:t>
      </w:r>
      <w:r w:rsidR="00C53CE2">
        <w:t>27 </w:t>
      </w:r>
      <w:r w:rsidR="00812475">
        <w:t xml:space="preserve">May </w:t>
      </w:r>
      <w:r w:rsidR="00926608">
        <w:t xml:space="preserve">2021 </w:t>
      </w:r>
      <w:r w:rsidR="00812475">
        <w:t xml:space="preserve">to </w:t>
      </w:r>
      <w:r w:rsidR="00AA6279">
        <w:t>11 July</w:t>
      </w:r>
      <w:r w:rsidR="00812475">
        <w:t xml:space="preserve"> 2021. </w:t>
      </w:r>
      <w:r w:rsidR="004A0448">
        <w:t xml:space="preserve">33 </w:t>
      </w:r>
      <w:r>
        <w:t>submissions were received during this consultation p</w:t>
      </w:r>
      <w:r w:rsidR="00812475">
        <w:t>eriod. Most considered the standards and legislative instrument</w:t>
      </w:r>
      <w:r>
        <w:t xml:space="preserve"> to be efficient and effective, </w:t>
      </w:r>
      <w:r w:rsidR="00926608">
        <w:t>with only</w:t>
      </w:r>
      <w:r>
        <w:t xml:space="preserve"> </w:t>
      </w:r>
      <w:r w:rsidR="00812475">
        <w:t xml:space="preserve">minor </w:t>
      </w:r>
      <w:r w:rsidR="00926608">
        <w:t>amendments</w:t>
      </w:r>
      <w:r>
        <w:t xml:space="preserve"> requested.</w:t>
      </w:r>
      <w:r w:rsidR="00812475">
        <w:t xml:space="preserve"> </w:t>
      </w:r>
    </w:p>
    <w:p w14:paraId="44089909" w14:textId="6E2B1261" w:rsidR="00306F1A" w:rsidRDefault="002D7EFB" w:rsidP="00BA0CA7">
      <w:r w:rsidRPr="00E5033D">
        <w:t>M</w:t>
      </w:r>
      <w:r w:rsidR="007D192C" w:rsidRPr="00E5033D">
        <w:t>inor amendment</w:t>
      </w:r>
      <w:r w:rsidR="0036727E" w:rsidRPr="00E5033D">
        <w:t>s</w:t>
      </w:r>
      <w:r w:rsidR="007D192C" w:rsidRPr="00E5033D">
        <w:t xml:space="preserve"> will be made</w:t>
      </w:r>
      <w:r w:rsidR="00926608">
        <w:t>, to reflect this feedback and</w:t>
      </w:r>
      <w:r w:rsidR="007D192C" w:rsidRPr="00E5033D">
        <w:t xml:space="preserve"> to</w:t>
      </w:r>
      <w:r w:rsidR="004A0448" w:rsidRPr="00E5033D">
        <w:t xml:space="preserve"> ensure </w:t>
      </w:r>
      <w:r w:rsidR="00926608">
        <w:t xml:space="preserve">that </w:t>
      </w:r>
      <w:r w:rsidR="004A0448" w:rsidRPr="00E5033D">
        <w:t xml:space="preserve">the standards remain fit for </w:t>
      </w:r>
      <w:r w:rsidR="003E4781" w:rsidRPr="00E5033D">
        <w:t>purpose and broadly align</w:t>
      </w:r>
      <w:r w:rsidR="00926608">
        <w:t>ed</w:t>
      </w:r>
      <w:r w:rsidR="003E4781" w:rsidRPr="00E5033D">
        <w:t xml:space="preserve"> with international best practice</w:t>
      </w:r>
      <w:r w:rsidR="0036727E" w:rsidRPr="00E5033D">
        <w:t xml:space="preserve">. </w:t>
      </w:r>
      <w:r w:rsidR="00306F1A">
        <w:t>The</w:t>
      </w:r>
      <w:r w:rsidR="00926608">
        <w:t>se</w:t>
      </w:r>
      <w:r w:rsidR="00306F1A">
        <w:t xml:space="preserve"> amendment</w:t>
      </w:r>
      <w:r w:rsidR="00926608">
        <w:t>s also</w:t>
      </w:r>
      <w:r w:rsidR="00306F1A">
        <w:t xml:space="preserve"> include exemptions from most labelling requirements for biologicals </w:t>
      </w:r>
      <w:r w:rsidR="00926608">
        <w:t xml:space="preserve">that are exported from Australia, </w:t>
      </w:r>
      <w:r w:rsidR="00477E3D">
        <w:t xml:space="preserve">to reflect that the labelling requirements are </w:t>
      </w:r>
      <w:r w:rsidR="00A415FE">
        <w:t xml:space="preserve">only </w:t>
      </w:r>
      <w:r w:rsidR="00477E3D">
        <w:t>designed for biologicals supplied in Australia</w:t>
      </w:r>
      <w:r w:rsidR="00306F1A">
        <w:t xml:space="preserve">. </w:t>
      </w:r>
    </w:p>
    <w:p w14:paraId="08013A0C" w14:textId="1EB0271D" w:rsidR="00BA0CA7" w:rsidRPr="00BA0CA7" w:rsidRDefault="005E5CE1" w:rsidP="00BA0CA7">
      <w:r w:rsidRPr="00E5033D">
        <w:t xml:space="preserve">A 12 month transition period applies </w:t>
      </w:r>
      <w:r w:rsidR="009B78F3">
        <w:t>for</w:t>
      </w:r>
      <w:r w:rsidRPr="00E5033D">
        <w:t xml:space="preserve"> all standards</w:t>
      </w:r>
      <w:r w:rsidR="009B78F3">
        <w:t>,</w:t>
      </w:r>
      <w:r w:rsidRPr="00E5033D">
        <w:t xml:space="preserve"> and an</w:t>
      </w:r>
      <w:r w:rsidR="0036727E" w:rsidRPr="00E5033D">
        <w:t xml:space="preserve"> extended three</w:t>
      </w:r>
      <w:r w:rsidR="005843E0" w:rsidRPr="00E5033D">
        <w:t xml:space="preserve"> </w:t>
      </w:r>
      <w:r w:rsidR="0036727E" w:rsidRPr="00E5033D">
        <w:t xml:space="preserve">year transition period </w:t>
      </w:r>
      <w:r w:rsidR="00107ED3">
        <w:t xml:space="preserve">for </w:t>
      </w:r>
      <w:r w:rsidR="0036727E" w:rsidRPr="00E5033D">
        <w:t>certain</w:t>
      </w:r>
      <w:r w:rsidR="00107ED3">
        <w:t xml:space="preserve"> additional</w:t>
      </w:r>
      <w:r w:rsidR="0036727E" w:rsidRPr="00E5033D">
        <w:t xml:space="preserve"> testing requirements for</w:t>
      </w:r>
      <w:r w:rsidRPr="00E5033D">
        <w:t xml:space="preserve"> ‘cornea only’</w:t>
      </w:r>
      <w:r w:rsidR="0036727E" w:rsidRPr="00E5033D">
        <w:t xml:space="preserve"> ocular tissue products</w:t>
      </w:r>
      <w:r w:rsidR="009B78F3">
        <w:t>,</w:t>
      </w:r>
      <w:r w:rsidR="0036727E" w:rsidRPr="00E5033D">
        <w:t xml:space="preserve"> ha</w:t>
      </w:r>
      <w:r w:rsidR="009B78F3">
        <w:t>ve</w:t>
      </w:r>
      <w:r w:rsidR="0036727E" w:rsidRPr="00E5033D">
        <w:t xml:space="preserve"> been negotiated with affected stakeholders</w:t>
      </w:r>
      <w:r w:rsidR="00BA0CA7" w:rsidRPr="00E5033D">
        <w:t>.</w:t>
      </w:r>
    </w:p>
    <w:p w14:paraId="04BE4AC2" w14:textId="77777777" w:rsidR="007D192C" w:rsidRDefault="007D192C" w:rsidP="002D7EFB">
      <w:r>
        <w:t>I acknowledge that OBPR will publish this letter for transparency purposes.</w:t>
      </w:r>
    </w:p>
    <w:p w14:paraId="1346996B" w14:textId="7C2C997D" w:rsidR="006C524A" w:rsidRPr="00DF11DC" w:rsidRDefault="007D192C" w:rsidP="002D7EFB">
      <w:r>
        <w:t>If you have any queries about this adv</w:t>
      </w:r>
      <w:r w:rsidR="002D7EFB">
        <w:t xml:space="preserve">ice, please contact Dr Jane Cook on 02 6289 </w:t>
      </w:r>
      <w:r w:rsidR="00453945">
        <w:t xml:space="preserve">4210 </w:t>
      </w:r>
      <w:r w:rsidR="002D7EFB">
        <w:t>or via email, jane.cook</w:t>
      </w:r>
      <w:r>
        <w:t>@health.gov.au.</w:t>
      </w:r>
      <w:r w:rsidR="006C524A" w:rsidRPr="00DF11DC">
        <w:t xml:space="preserve"> </w:t>
      </w:r>
    </w:p>
    <w:p w14:paraId="16786668" w14:textId="77777777" w:rsidR="002D7EFB" w:rsidRDefault="002D7EFB" w:rsidP="00251A47">
      <w:pPr>
        <w:spacing w:before="240"/>
      </w:pPr>
      <w:r>
        <w:t>Yours sincerely</w:t>
      </w:r>
    </w:p>
    <w:p w14:paraId="23FD50AA" w14:textId="77777777" w:rsidR="002D7EFB" w:rsidRDefault="002D7EFB" w:rsidP="00251A47">
      <w:pPr>
        <w:spacing w:before="240"/>
      </w:pPr>
    </w:p>
    <w:p w14:paraId="1FC4D41B" w14:textId="77777777" w:rsidR="00453945" w:rsidRDefault="00453945" w:rsidP="00453945">
      <w:r>
        <w:t xml:space="preserve">Adj. Professor John </w:t>
      </w:r>
      <w:proofErr w:type="spellStart"/>
      <w:r>
        <w:t>Skerritt</w:t>
      </w:r>
      <w:proofErr w:type="spellEnd"/>
    </w:p>
    <w:p w14:paraId="5D09D63D" w14:textId="77777777" w:rsidR="00453945" w:rsidRPr="00EC4A7B" w:rsidRDefault="00453945" w:rsidP="00453945">
      <w:r>
        <w:t>Health Products Regulation Group</w:t>
      </w:r>
    </w:p>
    <w:p w14:paraId="5D6CD878" w14:textId="66D93450" w:rsidR="00453945" w:rsidRPr="00EC4A7B" w:rsidRDefault="00453945" w:rsidP="00453945">
      <w:pPr>
        <w:tabs>
          <w:tab w:val="right" w:pos="9072"/>
        </w:tabs>
        <w:spacing w:after="720"/>
      </w:pPr>
      <w:r>
        <w:t xml:space="preserve">     September 2021</w:t>
      </w:r>
    </w:p>
    <w:p w14:paraId="480C5C07" w14:textId="34BA67C0" w:rsidR="00EE583F" w:rsidRDefault="00EE583F" w:rsidP="00453945"/>
    <w:sectPr w:rsidR="00EE583F" w:rsidSect="00CB4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701" w:bottom="1361" w:left="1701" w:header="42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75DC" w14:textId="77777777" w:rsidR="00382153" w:rsidRDefault="00382153" w:rsidP="00C40A36">
      <w:r>
        <w:separator/>
      </w:r>
    </w:p>
  </w:endnote>
  <w:endnote w:type="continuationSeparator" w:id="0">
    <w:p w14:paraId="576C6AD0" w14:textId="77777777" w:rsidR="00382153" w:rsidRDefault="00382153" w:rsidP="00C4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69C1C" w14:textId="77777777" w:rsidR="00600A49" w:rsidRDefault="00600A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96" w:type="dxa"/>
      <w:tblBorders>
        <w:top w:val="single" w:sz="4" w:space="0" w:color="auto"/>
      </w:tblBorders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36"/>
      <w:gridCol w:w="2360"/>
    </w:tblGrid>
    <w:sdt>
      <w:sdtPr>
        <w:rPr>
          <w:rFonts w:ascii="Arial" w:hAnsi="Arial"/>
          <w:sz w:val="17"/>
        </w:rPr>
        <w:id w:val="1335729165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tr w:rsidR="00271BB2" w:rsidRPr="009A6687" w14:paraId="3BB58977" w14:textId="77777777" w:rsidTr="009D6273">
          <w:trPr>
            <w:trHeight w:hRule="exact" w:val="435"/>
          </w:trPr>
          <w:tc>
            <w:tcPr>
              <w:tcW w:w="6636" w:type="dxa"/>
              <w:shd w:val="clear" w:color="auto" w:fill="auto"/>
              <w:vAlign w:val="center"/>
            </w:tcPr>
            <w:p w14:paraId="0C8D78C0" w14:textId="77777777" w:rsidR="00271BB2" w:rsidRPr="009A6687" w:rsidRDefault="00271BB2" w:rsidP="00D62853">
              <w:pPr>
                <w:rPr>
                  <w:lang w:val="fr-FR"/>
                </w:rPr>
              </w:pPr>
            </w:p>
          </w:tc>
          <w:tc>
            <w:tcPr>
              <w:tcW w:w="2360" w:type="dxa"/>
              <w:shd w:val="clear" w:color="auto" w:fill="auto"/>
              <w:vAlign w:val="center"/>
            </w:tcPr>
            <w:p w14:paraId="2A5E180C" w14:textId="00F313F3" w:rsidR="00271BB2" w:rsidRDefault="00271BB2" w:rsidP="00D62853">
              <w:pPr>
                <w:pStyle w:val="Footer"/>
                <w:jc w:val="right"/>
              </w:pPr>
              <w:r w:rsidRPr="0068201D">
                <w:t xml:space="preserve">Page </w:t>
              </w:r>
              <w:r w:rsidR="004F4C94">
                <w:fldChar w:fldCharType="begin"/>
              </w:r>
              <w:r w:rsidR="004F4C94">
                <w:instrText xml:space="preserve"> PAGE </w:instrText>
              </w:r>
              <w:r w:rsidR="004F4C94">
                <w:fldChar w:fldCharType="separate"/>
              </w:r>
              <w:r w:rsidR="00600A49">
                <w:rPr>
                  <w:noProof/>
                </w:rPr>
                <w:t>2</w:t>
              </w:r>
              <w:r w:rsidR="004F4C94">
                <w:rPr>
                  <w:noProof/>
                </w:rPr>
                <w:fldChar w:fldCharType="end"/>
              </w:r>
              <w:r w:rsidRPr="0068201D">
                <w:t xml:space="preserve"> of </w:t>
              </w:r>
              <w:fldSimple w:instr=" NUMPAGES  ">
                <w:r w:rsidR="00600A49">
                  <w:rPr>
                    <w:noProof/>
                  </w:rPr>
                  <w:t>2</w:t>
                </w:r>
              </w:fldSimple>
            </w:p>
            <w:p w14:paraId="76CD43F8" w14:textId="77777777" w:rsidR="00271BB2" w:rsidRPr="009A6687" w:rsidRDefault="00271BB2" w:rsidP="00D62853">
              <w:pPr>
                <w:pStyle w:val="Footer"/>
                <w:jc w:val="right"/>
              </w:pPr>
            </w:p>
          </w:tc>
        </w:tr>
      </w:sdtContent>
    </w:sdt>
  </w:tbl>
  <w:p w14:paraId="3E67642F" w14:textId="77777777" w:rsidR="00271BB2" w:rsidRDefault="00271BB2" w:rsidP="00FC52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F52A" w14:textId="77777777" w:rsidR="00375F1A" w:rsidRDefault="00375F1A" w:rsidP="006C116C">
    <w:pPr>
      <w:spacing w:after="0"/>
    </w:pPr>
  </w:p>
  <w:tbl>
    <w:tblPr>
      <w:tblW w:w="899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636"/>
      <w:gridCol w:w="2360"/>
    </w:tblGrid>
    <w:tr w:rsidR="00271BB2" w:rsidRPr="009A6687" w14:paraId="2748CCED" w14:textId="77777777" w:rsidTr="00715A03">
      <w:trPr>
        <w:trHeight w:hRule="exact" w:val="1006"/>
      </w:trPr>
      <w:tc>
        <w:tcPr>
          <w:tcW w:w="6636" w:type="dxa"/>
          <w:shd w:val="clear" w:color="auto" w:fill="auto"/>
          <w:vAlign w:val="bottom"/>
        </w:tcPr>
        <w:p w14:paraId="1DEC3981" w14:textId="77777777" w:rsidR="00271BB2" w:rsidRPr="007B0408" w:rsidRDefault="00271BB2" w:rsidP="006C116C">
          <w:pPr>
            <w:tabs>
              <w:tab w:val="left" w:pos="3105"/>
            </w:tabs>
            <w:spacing w:before="120" w:after="0"/>
            <w:rPr>
              <w:rFonts w:ascii="Arial" w:hAnsi="Arial" w:cs="Arial"/>
              <w:lang w:val="fr-FR"/>
            </w:rPr>
          </w:pPr>
          <w:bookmarkStart w:id="1" w:name="_GoBack" w:colFirst="0" w:colLast="2"/>
          <w:r w:rsidRPr="007B0408">
            <w:rPr>
              <w:rStyle w:val="FooterChar"/>
              <w:rFonts w:cs="Arial"/>
              <w:noProof/>
              <w:lang w:eastAsia="en-AU"/>
            </w:rPr>
            <w:drawing>
              <wp:anchor distT="0" distB="0" distL="114300" distR="114300" simplePos="0" relativeHeight="251667456" behindDoc="1" locked="1" layoutInCell="1" allowOverlap="1" wp14:anchorId="6FC71385" wp14:editId="5B590F83">
                <wp:simplePos x="0" y="0"/>
                <wp:positionH relativeFrom="column">
                  <wp:posOffset>-1089660</wp:posOffset>
                </wp:positionH>
                <wp:positionV relativeFrom="paragraph">
                  <wp:posOffset>626745</wp:posOffset>
                </wp:positionV>
                <wp:extent cx="7563485" cy="568960"/>
                <wp:effectExtent l="0" t="0" r="0" b="2540"/>
                <wp:wrapNone/>
                <wp:docPr id="29" name="Picture 4" descr="Decorative strip at bottom of page" title="Deco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H_Graphic_2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B0408">
            <w:rPr>
              <w:rStyle w:val="FooterChar"/>
              <w:rFonts w:cs="Arial"/>
            </w:rPr>
            <w:t>PO Box 100  Woden ACT 2606</w:t>
          </w:r>
          <w:r w:rsidRPr="007B0408">
            <w:rPr>
              <w:rFonts w:ascii="Arial" w:hAnsi="Arial" w:cs="Arial"/>
            </w:rPr>
            <w:t xml:space="preserve"> </w:t>
          </w:r>
          <w:r w:rsidRPr="007B0408">
            <w:rPr>
              <w:rStyle w:val="ABN"/>
              <w:rFonts w:cs="Arial"/>
            </w:rPr>
            <w:t xml:space="preserve"> ABN 40 939 406 804</w:t>
          </w:r>
          <w:r w:rsidRPr="007B0408">
            <w:rPr>
              <w:rStyle w:val="ABN"/>
              <w:rFonts w:cs="Arial"/>
            </w:rPr>
            <w:br/>
          </w:r>
          <w:r w:rsidRPr="007B0408">
            <w:rPr>
              <w:rStyle w:val="FooterChar"/>
              <w:rFonts w:cs="Arial"/>
              <w:color w:val="006DA7"/>
            </w:rPr>
            <w:t>Phone:</w:t>
          </w:r>
          <w:r w:rsidRPr="007B0408">
            <w:rPr>
              <w:rStyle w:val="FooterChar"/>
              <w:rFonts w:cs="Arial"/>
            </w:rPr>
            <w:t xml:space="preserve"> </w:t>
          </w:r>
          <w:r w:rsidR="006C116C">
            <w:rPr>
              <w:rStyle w:val="FooterChar"/>
              <w:rFonts w:cs="Arial"/>
            </w:rPr>
            <w:t xml:space="preserve">1800 020 653 or </w:t>
          </w:r>
          <w:r w:rsidRPr="007B0408">
            <w:rPr>
              <w:rStyle w:val="FooterChar"/>
              <w:rFonts w:cs="Arial"/>
            </w:rPr>
            <w:t>02 6232 8</w:t>
          </w:r>
          <w:r w:rsidR="006C116C">
            <w:rPr>
              <w:rStyle w:val="FooterChar"/>
              <w:rFonts w:cs="Arial"/>
            </w:rPr>
            <w:t>6</w:t>
          </w:r>
          <w:r w:rsidRPr="007B0408">
            <w:rPr>
              <w:rStyle w:val="FooterChar"/>
              <w:rFonts w:cs="Arial"/>
            </w:rPr>
            <w:t xml:space="preserve">44  </w:t>
          </w:r>
          <w:r w:rsidRPr="007B0408">
            <w:rPr>
              <w:rStyle w:val="FooterChar"/>
              <w:rFonts w:cs="Arial"/>
              <w:color w:val="006DA7"/>
            </w:rPr>
            <w:t>Fax:</w:t>
          </w:r>
          <w:r w:rsidRPr="007B0408">
            <w:rPr>
              <w:rStyle w:val="FooterChar"/>
              <w:rFonts w:cs="Arial"/>
            </w:rPr>
            <w:t xml:space="preserve"> 02 623</w:t>
          </w:r>
          <w:r w:rsidR="006C116C">
            <w:rPr>
              <w:rStyle w:val="FooterChar"/>
              <w:rFonts w:cs="Arial"/>
            </w:rPr>
            <w:t>2</w:t>
          </w:r>
          <w:r w:rsidRPr="007B0408">
            <w:rPr>
              <w:rStyle w:val="FooterChar"/>
              <w:rFonts w:cs="Arial"/>
            </w:rPr>
            <w:t xml:space="preserve"> </w:t>
          </w:r>
          <w:r w:rsidR="006C116C">
            <w:rPr>
              <w:rStyle w:val="FooterChar"/>
              <w:rFonts w:cs="Arial"/>
            </w:rPr>
            <w:t>8112</w:t>
          </w:r>
          <w:r w:rsidRPr="007B0408">
            <w:rPr>
              <w:rStyle w:val="FooterChar"/>
              <w:rFonts w:cs="Arial"/>
            </w:rPr>
            <w:t xml:space="preserve"> </w:t>
          </w:r>
          <w:r w:rsidR="006C116C">
            <w:rPr>
              <w:rStyle w:val="FooterChar"/>
              <w:rFonts w:cs="Arial"/>
            </w:rPr>
            <w:br/>
          </w:r>
          <w:r w:rsidRPr="007B0408">
            <w:rPr>
              <w:rStyle w:val="FooterChar"/>
              <w:rFonts w:cs="Arial"/>
              <w:color w:val="006DA7"/>
            </w:rPr>
            <w:t xml:space="preserve">Email: </w:t>
          </w:r>
          <w:hyperlink r:id="rId2" w:history="1">
            <w:r w:rsidRPr="007B0408">
              <w:rPr>
                <w:rStyle w:val="FooterChar"/>
                <w:rFonts w:cs="Arial"/>
                <w:color w:val="006DA7"/>
                <w:u w:val="single"/>
              </w:rPr>
              <w:t>info@tga.gov.au</w:t>
            </w:r>
          </w:hyperlink>
          <w:r w:rsidR="006C116C">
            <w:rPr>
              <w:rStyle w:val="FooterChar"/>
              <w:rFonts w:cs="Arial"/>
              <w:color w:val="006DA7"/>
              <w:u w:val="single"/>
            </w:rPr>
            <w:t xml:space="preserve"> </w:t>
          </w:r>
          <w:r w:rsidR="006C116C" w:rsidRPr="006C116C">
            <w:tab/>
          </w:r>
          <w:hyperlink r:id="rId3" w:history="1">
            <w:r w:rsidR="00466C1D" w:rsidRPr="00836862">
              <w:rPr>
                <w:rStyle w:val="Hyperlink"/>
                <w:rFonts w:ascii="Arial" w:hAnsi="Arial" w:cs="Arial"/>
                <w:sz w:val="18"/>
              </w:rPr>
              <w:t>https://www.tga.gov.au</w:t>
            </w:r>
          </w:hyperlink>
        </w:p>
      </w:tc>
      <w:tc>
        <w:tcPr>
          <w:tcW w:w="2360" w:type="dxa"/>
          <w:shd w:val="clear" w:color="auto" w:fill="auto"/>
          <w:vAlign w:val="center"/>
        </w:tcPr>
        <w:p w14:paraId="0A66DD69" w14:textId="77777777" w:rsidR="00271BB2" w:rsidRPr="009A6687" w:rsidRDefault="00271BB2" w:rsidP="006C116C">
          <w:pPr>
            <w:pStyle w:val="Footer"/>
            <w:spacing w:after="0"/>
          </w:pPr>
          <w:r w:rsidRPr="009D6273">
            <w:rPr>
              <w:noProof/>
              <w:lang w:eastAsia="en-AU"/>
            </w:rPr>
            <w:drawing>
              <wp:anchor distT="360045" distB="0" distL="114300" distR="114300" simplePos="0" relativeHeight="251674624" behindDoc="0" locked="0" layoutInCell="1" allowOverlap="1" wp14:anchorId="3FCC2300" wp14:editId="4DED74FA">
                <wp:simplePos x="0" y="0"/>
                <wp:positionH relativeFrom="column">
                  <wp:posOffset>1174</wp:posOffset>
                </wp:positionH>
                <wp:positionV relativeFrom="paragraph">
                  <wp:posOffset>118661</wp:posOffset>
                </wp:positionV>
                <wp:extent cx="1335297" cy="276045"/>
                <wp:effectExtent l="0" t="0" r="0" b="0"/>
                <wp:wrapTight wrapText="bothSides">
                  <wp:wrapPolygon edited="0">
                    <wp:start x="0" y="0"/>
                    <wp:lineTo x="0" y="19410"/>
                    <wp:lineTo x="21271" y="19410"/>
                    <wp:lineTo x="21271" y="0"/>
                    <wp:lineTo x="0" y="0"/>
                  </wp:wrapPolygon>
                </wp:wrapTight>
                <wp:docPr id="30" name="Picture 2" descr="TGA: Health, Safety, Regulation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GA Foot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77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2EEA7A63" w14:textId="77777777" w:rsidR="00271BB2" w:rsidRPr="0068201D" w:rsidRDefault="00271BB2" w:rsidP="006C116C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2714" w14:textId="77777777" w:rsidR="00382153" w:rsidRDefault="00382153" w:rsidP="00C40A36">
      <w:r>
        <w:separator/>
      </w:r>
    </w:p>
  </w:footnote>
  <w:footnote w:type="continuationSeparator" w:id="0">
    <w:p w14:paraId="31258756" w14:textId="77777777" w:rsidR="00382153" w:rsidRDefault="00382153" w:rsidP="00C4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7908" w14:textId="77777777" w:rsidR="00600A49" w:rsidRDefault="00600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6125" w14:textId="77777777" w:rsidR="00600A49" w:rsidRDefault="00600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E482F" w14:textId="77777777" w:rsidR="00271BB2" w:rsidRDefault="00A427AD" w:rsidP="00EA6DF2">
    <w:r w:rsidRPr="00A427AD">
      <w:rPr>
        <w:noProof/>
        <w:lang w:eastAsia="en-AU"/>
      </w:rPr>
      <w:drawing>
        <wp:anchor distT="0" distB="0" distL="114300" distR="114300" simplePos="0" relativeHeight="251676672" behindDoc="0" locked="0" layoutInCell="1" allowOverlap="1" wp14:anchorId="449EFE94" wp14:editId="33EDC27F">
          <wp:simplePos x="0" y="0"/>
          <wp:positionH relativeFrom="column">
            <wp:posOffset>1701165</wp:posOffset>
          </wp:positionH>
          <wp:positionV relativeFrom="page">
            <wp:posOffset>323850</wp:posOffset>
          </wp:positionV>
          <wp:extent cx="2343150" cy="1543050"/>
          <wp:effectExtent l="0" t="0" r="0" b="0"/>
          <wp:wrapTopAndBottom/>
          <wp:docPr id="28" name="Picture 28" descr="Therapeutic Goods Administration" title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\_resources\TGA Vector Graphics\DH&amp;A\New crests Sept 2013\DH-TGA_stacked_black-RGB-10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0683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04AD474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2" w15:restartNumberingAfterBreak="0">
    <w:nsid w:val="FFFFFF89"/>
    <w:multiLevelType w:val="singleLevel"/>
    <w:tmpl w:val="F4085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 w15:restartNumberingAfterBreak="0">
    <w:nsid w:val="168F13E9"/>
    <w:multiLevelType w:val="multilevel"/>
    <w:tmpl w:val="DA360B98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4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4A"/>
    <w:rsid w:val="00002031"/>
    <w:rsid w:val="00004734"/>
    <w:rsid w:val="00006B22"/>
    <w:rsid w:val="0001276A"/>
    <w:rsid w:val="00022A2D"/>
    <w:rsid w:val="00024299"/>
    <w:rsid w:val="000246AE"/>
    <w:rsid w:val="00025C67"/>
    <w:rsid w:val="000521FD"/>
    <w:rsid w:val="0005274D"/>
    <w:rsid w:val="0005559E"/>
    <w:rsid w:val="00077775"/>
    <w:rsid w:val="00086753"/>
    <w:rsid w:val="00090471"/>
    <w:rsid w:val="00090B54"/>
    <w:rsid w:val="000A4024"/>
    <w:rsid w:val="000B2651"/>
    <w:rsid w:val="000B3532"/>
    <w:rsid w:val="000B3A75"/>
    <w:rsid w:val="000B7084"/>
    <w:rsid w:val="000C1BBB"/>
    <w:rsid w:val="000C295E"/>
    <w:rsid w:val="000C3C09"/>
    <w:rsid w:val="000D2443"/>
    <w:rsid w:val="000D391B"/>
    <w:rsid w:val="000D3D6D"/>
    <w:rsid w:val="000D4FC7"/>
    <w:rsid w:val="000F4869"/>
    <w:rsid w:val="000F5B42"/>
    <w:rsid w:val="000F6E6F"/>
    <w:rsid w:val="001003F2"/>
    <w:rsid w:val="0010601F"/>
    <w:rsid w:val="00107ED3"/>
    <w:rsid w:val="00110EA5"/>
    <w:rsid w:val="00111E0E"/>
    <w:rsid w:val="00115240"/>
    <w:rsid w:val="00125318"/>
    <w:rsid w:val="001305A2"/>
    <w:rsid w:val="00133238"/>
    <w:rsid w:val="0014197B"/>
    <w:rsid w:val="001447CD"/>
    <w:rsid w:val="00146F10"/>
    <w:rsid w:val="001516B1"/>
    <w:rsid w:val="00156316"/>
    <w:rsid w:val="00161908"/>
    <w:rsid w:val="00165389"/>
    <w:rsid w:val="0017526B"/>
    <w:rsid w:val="0017693F"/>
    <w:rsid w:val="0018110E"/>
    <w:rsid w:val="00181684"/>
    <w:rsid w:val="001843C6"/>
    <w:rsid w:val="001850E0"/>
    <w:rsid w:val="001A525F"/>
    <w:rsid w:val="001B09F9"/>
    <w:rsid w:val="001B6448"/>
    <w:rsid w:val="001E07CF"/>
    <w:rsid w:val="001E5810"/>
    <w:rsid w:val="001E59F1"/>
    <w:rsid w:val="001F49EB"/>
    <w:rsid w:val="001F6CBA"/>
    <w:rsid w:val="001F7BF8"/>
    <w:rsid w:val="00201D4E"/>
    <w:rsid w:val="00220B8A"/>
    <w:rsid w:val="0022194D"/>
    <w:rsid w:val="002257F3"/>
    <w:rsid w:val="00231436"/>
    <w:rsid w:val="002316FE"/>
    <w:rsid w:val="00232019"/>
    <w:rsid w:val="00233456"/>
    <w:rsid w:val="002339A5"/>
    <w:rsid w:val="00251A47"/>
    <w:rsid w:val="00257848"/>
    <w:rsid w:val="0026430C"/>
    <w:rsid w:val="0027084A"/>
    <w:rsid w:val="00271BB2"/>
    <w:rsid w:val="00286434"/>
    <w:rsid w:val="00286C59"/>
    <w:rsid w:val="002942D1"/>
    <w:rsid w:val="002A0556"/>
    <w:rsid w:val="002B1638"/>
    <w:rsid w:val="002C4547"/>
    <w:rsid w:val="002D0354"/>
    <w:rsid w:val="002D7EFB"/>
    <w:rsid w:val="002E4C9A"/>
    <w:rsid w:val="002E4E7C"/>
    <w:rsid w:val="002E550D"/>
    <w:rsid w:val="002F11F8"/>
    <w:rsid w:val="002F3F56"/>
    <w:rsid w:val="002F44B5"/>
    <w:rsid w:val="00306F1A"/>
    <w:rsid w:val="00311AC0"/>
    <w:rsid w:val="003521E8"/>
    <w:rsid w:val="003664BF"/>
    <w:rsid w:val="0036727E"/>
    <w:rsid w:val="003728F3"/>
    <w:rsid w:val="00375F1A"/>
    <w:rsid w:val="003778AD"/>
    <w:rsid w:val="00382153"/>
    <w:rsid w:val="00387DD0"/>
    <w:rsid w:val="00390900"/>
    <w:rsid w:val="003B7E39"/>
    <w:rsid w:val="003C0A18"/>
    <w:rsid w:val="003C58DC"/>
    <w:rsid w:val="003D4A72"/>
    <w:rsid w:val="003E3208"/>
    <w:rsid w:val="003E37DF"/>
    <w:rsid w:val="003E4781"/>
    <w:rsid w:val="003F0B04"/>
    <w:rsid w:val="003F608F"/>
    <w:rsid w:val="0040134E"/>
    <w:rsid w:val="00403BC9"/>
    <w:rsid w:val="00432436"/>
    <w:rsid w:val="00437194"/>
    <w:rsid w:val="00440A2D"/>
    <w:rsid w:val="0044337B"/>
    <w:rsid w:val="00443C32"/>
    <w:rsid w:val="00453945"/>
    <w:rsid w:val="004564A7"/>
    <w:rsid w:val="004617BF"/>
    <w:rsid w:val="00466C1D"/>
    <w:rsid w:val="00477E3D"/>
    <w:rsid w:val="00494E60"/>
    <w:rsid w:val="004A0448"/>
    <w:rsid w:val="004B7B76"/>
    <w:rsid w:val="004C5ABB"/>
    <w:rsid w:val="004D4103"/>
    <w:rsid w:val="004E1AEF"/>
    <w:rsid w:val="004F0F38"/>
    <w:rsid w:val="004F4C94"/>
    <w:rsid w:val="00501921"/>
    <w:rsid w:val="00501A05"/>
    <w:rsid w:val="005060C8"/>
    <w:rsid w:val="00530354"/>
    <w:rsid w:val="005434C6"/>
    <w:rsid w:val="00543B39"/>
    <w:rsid w:val="00550096"/>
    <w:rsid w:val="00557FF9"/>
    <w:rsid w:val="00571DA2"/>
    <w:rsid w:val="00576378"/>
    <w:rsid w:val="00577E38"/>
    <w:rsid w:val="0058201A"/>
    <w:rsid w:val="005843E0"/>
    <w:rsid w:val="00585322"/>
    <w:rsid w:val="00593AD1"/>
    <w:rsid w:val="005A1131"/>
    <w:rsid w:val="005A3DBA"/>
    <w:rsid w:val="005C5570"/>
    <w:rsid w:val="005C5E62"/>
    <w:rsid w:val="005C79A4"/>
    <w:rsid w:val="005D5442"/>
    <w:rsid w:val="005E5CE1"/>
    <w:rsid w:val="00600A49"/>
    <w:rsid w:val="00630352"/>
    <w:rsid w:val="00640FC3"/>
    <w:rsid w:val="00642020"/>
    <w:rsid w:val="0064475A"/>
    <w:rsid w:val="0065337B"/>
    <w:rsid w:val="0065419D"/>
    <w:rsid w:val="006604D8"/>
    <w:rsid w:val="00664A5B"/>
    <w:rsid w:val="00680C08"/>
    <w:rsid w:val="0068201D"/>
    <w:rsid w:val="0068741A"/>
    <w:rsid w:val="006931B1"/>
    <w:rsid w:val="006935E5"/>
    <w:rsid w:val="006A15C0"/>
    <w:rsid w:val="006B3F5D"/>
    <w:rsid w:val="006C116C"/>
    <w:rsid w:val="006C1F3B"/>
    <w:rsid w:val="006C3684"/>
    <w:rsid w:val="006C3E2A"/>
    <w:rsid w:val="006C524A"/>
    <w:rsid w:val="006C642F"/>
    <w:rsid w:val="006D03E5"/>
    <w:rsid w:val="006D4786"/>
    <w:rsid w:val="006D5D3E"/>
    <w:rsid w:val="006E08B3"/>
    <w:rsid w:val="006E1F61"/>
    <w:rsid w:val="006F19B7"/>
    <w:rsid w:val="006F4785"/>
    <w:rsid w:val="006F572E"/>
    <w:rsid w:val="00703FCD"/>
    <w:rsid w:val="007046D6"/>
    <w:rsid w:val="00705DB0"/>
    <w:rsid w:val="00706AFE"/>
    <w:rsid w:val="007153F8"/>
    <w:rsid w:val="00715A03"/>
    <w:rsid w:val="007403DA"/>
    <w:rsid w:val="007417F3"/>
    <w:rsid w:val="0074253D"/>
    <w:rsid w:val="0074429B"/>
    <w:rsid w:val="00745886"/>
    <w:rsid w:val="007477F8"/>
    <w:rsid w:val="00750D9F"/>
    <w:rsid w:val="00752F3F"/>
    <w:rsid w:val="007615BC"/>
    <w:rsid w:val="00762F05"/>
    <w:rsid w:val="007652FF"/>
    <w:rsid w:val="0077104D"/>
    <w:rsid w:val="00771329"/>
    <w:rsid w:val="007723B6"/>
    <w:rsid w:val="00773EF7"/>
    <w:rsid w:val="00774E1D"/>
    <w:rsid w:val="0077675A"/>
    <w:rsid w:val="00780355"/>
    <w:rsid w:val="00781A90"/>
    <w:rsid w:val="0078393F"/>
    <w:rsid w:val="00785721"/>
    <w:rsid w:val="00793A59"/>
    <w:rsid w:val="007A18C5"/>
    <w:rsid w:val="007A2162"/>
    <w:rsid w:val="007B0408"/>
    <w:rsid w:val="007C0F3D"/>
    <w:rsid w:val="007C1AF7"/>
    <w:rsid w:val="007C1CB8"/>
    <w:rsid w:val="007D192C"/>
    <w:rsid w:val="007D22C0"/>
    <w:rsid w:val="00812475"/>
    <w:rsid w:val="00817260"/>
    <w:rsid w:val="00821776"/>
    <w:rsid w:val="00825D5F"/>
    <w:rsid w:val="00826007"/>
    <w:rsid w:val="008321F5"/>
    <w:rsid w:val="00832369"/>
    <w:rsid w:val="00832DA2"/>
    <w:rsid w:val="00834660"/>
    <w:rsid w:val="00836BC2"/>
    <w:rsid w:val="00844777"/>
    <w:rsid w:val="00846418"/>
    <w:rsid w:val="00855221"/>
    <w:rsid w:val="0085641B"/>
    <w:rsid w:val="00857136"/>
    <w:rsid w:val="0087502F"/>
    <w:rsid w:val="00875F6F"/>
    <w:rsid w:val="008831B7"/>
    <w:rsid w:val="0089465C"/>
    <w:rsid w:val="00896018"/>
    <w:rsid w:val="008A2B9D"/>
    <w:rsid w:val="008A5E0B"/>
    <w:rsid w:val="008A6D59"/>
    <w:rsid w:val="008B4B03"/>
    <w:rsid w:val="008B596F"/>
    <w:rsid w:val="008C159F"/>
    <w:rsid w:val="008C1623"/>
    <w:rsid w:val="008C51A9"/>
    <w:rsid w:val="008D245E"/>
    <w:rsid w:val="008E367D"/>
    <w:rsid w:val="008F1CCC"/>
    <w:rsid w:val="008F2967"/>
    <w:rsid w:val="008F382A"/>
    <w:rsid w:val="009032D7"/>
    <w:rsid w:val="0091093E"/>
    <w:rsid w:val="00920160"/>
    <w:rsid w:val="00920330"/>
    <w:rsid w:val="009219D7"/>
    <w:rsid w:val="00922D53"/>
    <w:rsid w:val="00923B70"/>
    <w:rsid w:val="00925E84"/>
    <w:rsid w:val="00926608"/>
    <w:rsid w:val="00930237"/>
    <w:rsid w:val="00933C60"/>
    <w:rsid w:val="00937DD0"/>
    <w:rsid w:val="00941E4F"/>
    <w:rsid w:val="0094448F"/>
    <w:rsid w:val="00963C08"/>
    <w:rsid w:val="009857B4"/>
    <w:rsid w:val="009A3BBD"/>
    <w:rsid w:val="009A4CED"/>
    <w:rsid w:val="009B1D12"/>
    <w:rsid w:val="009B416B"/>
    <w:rsid w:val="009B78F3"/>
    <w:rsid w:val="009C2765"/>
    <w:rsid w:val="009C4BD5"/>
    <w:rsid w:val="009D6273"/>
    <w:rsid w:val="009D7B77"/>
    <w:rsid w:val="009E0BB0"/>
    <w:rsid w:val="009E3FBB"/>
    <w:rsid w:val="00A14DF7"/>
    <w:rsid w:val="00A221FB"/>
    <w:rsid w:val="00A3246D"/>
    <w:rsid w:val="00A3671F"/>
    <w:rsid w:val="00A36FA7"/>
    <w:rsid w:val="00A415FE"/>
    <w:rsid w:val="00A427AD"/>
    <w:rsid w:val="00A446CC"/>
    <w:rsid w:val="00A475B7"/>
    <w:rsid w:val="00A47AF7"/>
    <w:rsid w:val="00A47C3E"/>
    <w:rsid w:val="00A50226"/>
    <w:rsid w:val="00A60BAD"/>
    <w:rsid w:val="00A73A8D"/>
    <w:rsid w:val="00A9547F"/>
    <w:rsid w:val="00AA200F"/>
    <w:rsid w:val="00AA6279"/>
    <w:rsid w:val="00AC2B40"/>
    <w:rsid w:val="00AC2BB2"/>
    <w:rsid w:val="00AC2C3C"/>
    <w:rsid w:val="00AC7B9E"/>
    <w:rsid w:val="00AE65EB"/>
    <w:rsid w:val="00AE7F88"/>
    <w:rsid w:val="00AF1D94"/>
    <w:rsid w:val="00AF60C5"/>
    <w:rsid w:val="00B009C6"/>
    <w:rsid w:val="00B01548"/>
    <w:rsid w:val="00B21D29"/>
    <w:rsid w:val="00B25034"/>
    <w:rsid w:val="00B33863"/>
    <w:rsid w:val="00B37D17"/>
    <w:rsid w:val="00B40564"/>
    <w:rsid w:val="00B4175E"/>
    <w:rsid w:val="00B472F6"/>
    <w:rsid w:val="00B54C25"/>
    <w:rsid w:val="00B76B91"/>
    <w:rsid w:val="00BA0CA7"/>
    <w:rsid w:val="00BC10A6"/>
    <w:rsid w:val="00BC5B75"/>
    <w:rsid w:val="00BC622A"/>
    <w:rsid w:val="00BD211A"/>
    <w:rsid w:val="00BE037F"/>
    <w:rsid w:val="00BE0A78"/>
    <w:rsid w:val="00BE51A6"/>
    <w:rsid w:val="00BE79F0"/>
    <w:rsid w:val="00BF046D"/>
    <w:rsid w:val="00BF5D04"/>
    <w:rsid w:val="00C01315"/>
    <w:rsid w:val="00C0370E"/>
    <w:rsid w:val="00C06758"/>
    <w:rsid w:val="00C13563"/>
    <w:rsid w:val="00C404A6"/>
    <w:rsid w:val="00C40A36"/>
    <w:rsid w:val="00C44419"/>
    <w:rsid w:val="00C45E7B"/>
    <w:rsid w:val="00C471B1"/>
    <w:rsid w:val="00C53A95"/>
    <w:rsid w:val="00C53CE2"/>
    <w:rsid w:val="00C6316B"/>
    <w:rsid w:val="00C634A9"/>
    <w:rsid w:val="00C772FF"/>
    <w:rsid w:val="00C801AF"/>
    <w:rsid w:val="00C80256"/>
    <w:rsid w:val="00CB1C51"/>
    <w:rsid w:val="00CB463B"/>
    <w:rsid w:val="00CB6BC0"/>
    <w:rsid w:val="00CC1B7C"/>
    <w:rsid w:val="00CC32BD"/>
    <w:rsid w:val="00CC727F"/>
    <w:rsid w:val="00CE5BB0"/>
    <w:rsid w:val="00CF15C3"/>
    <w:rsid w:val="00CF2B6F"/>
    <w:rsid w:val="00D017ED"/>
    <w:rsid w:val="00D024BE"/>
    <w:rsid w:val="00D13405"/>
    <w:rsid w:val="00D153B1"/>
    <w:rsid w:val="00D224FE"/>
    <w:rsid w:val="00D22E51"/>
    <w:rsid w:val="00D27891"/>
    <w:rsid w:val="00D31162"/>
    <w:rsid w:val="00D35202"/>
    <w:rsid w:val="00D40E12"/>
    <w:rsid w:val="00D54C12"/>
    <w:rsid w:val="00D62853"/>
    <w:rsid w:val="00D6493E"/>
    <w:rsid w:val="00D92470"/>
    <w:rsid w:val="00DA1124"/>
    <w:rsid w:val="00DB7B83"/>
    <w:rsid w:val="00DC3AA6"/>
    <w:rsid w:val="00DD75A3"/>
    <w:rsid w:val="00DE02AE"/>
    <w:rsid w:val="00DE092B"/>
    <w:rsid w:val="00DE6A0C"/>
    <w:rsid w:val="00DF1D7F"/>
    <w:rsid w:val="00E02FB4"/>
    <w:rsid w:val="00E20571"/>
    <w:rsid w:val="00E21651"/>
    <w:rsid w:val="00E235F7"/>
    <w:rsid w:val="00E239D4"/>
    <w:rsid w:val="00E40B22"/>
    <w:rsid w:val="00E4588F"/>
    <w:rsid w:val="00E46DA3"/>
    <w:rsid w:val="00E5033D"/>
    <w:rsid w:val="00E82C70"/>
    <w:rsid w:val="00EA406B"/>
    <w:rsid w:val="00EA6DF2"/>
    <w:rsid w:val="00EB0798"/>
    <w:rsid w:val="00EB40AD"/>
    <w:rsid w:val="00EB586E"/>
    <w:rsid w:val="00EB5FC8"/>
    <w:rsid w:val="00ED5A41"/>
    <w:rsid w:val="00EE583F"/>
    <w:rsid w:val="00F033EC"/>
    <w:rsid w:val="00F04F68"/>
    <w:rsid w:val="00F12670"/>
    <w:rsid w:val="00F13A8C"/>
    <w:rsid w:val="00F14B27"/>
    <w:rsid w:val="00F2410C"/>
    <w:rsid w:val="00F25678"/>
    <w:rsid w:val="00F3148D"/>
    <w:rsid w:val="00F35298"/>
    <w:rsid w:val="00F36B0D"/>
    <w:rsid w:val="00F46D8F"/>
    <w:rsid w:val="00F47E37"/>
    <w:rsid w:val="00F56248"/>
    <w:rsid w:val="00F640B6"/>
    <w:rsid w:val="00F80E40"/>
    <w:rsid w:val="00F95D32"/>
    <w:rsid w:val="00FA5B82"/>
    <w:rsid w:val="00FA61F0"/>
    <w:rsid w:val="00FA639E"/>
    <w:rsid w:val="00FC25E4"/>
    <w:rsid w:val="00FC4EF7"/>
    <w:rsid w:val="00FC520A"/>
    <w:rsid w:val="00FE1DEE"/>
    <w:rsid w:val="00FF2126"/>
    <w:rsid w:val="00FF69BE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F158B"/>
  <w15:docId w15:val="{7937908B-02C3-4819-8EFB-09D1499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6F"/>
    <w:pPr>
      <w:spacing w:after="120" w:line="240" w:lineRule="atLeast"/>
    </w:pPr>
    <w:rPr>
      <w:rFonts w:eastAsia="Cambria"/>
    </w:rPr>
  </w:style>
  <w:style w:type="paragraph" w:styleId="Heading1">
    <w:name w:val="heading 1"/>
    <w:basedOn w:val="Normal"/>
    <w:next w:val="Normal"/>
    <w:link w:val="Heading1Char"/>
    <w:rsid w:val="007D22C0"/>
    <w:pPr>
      <w:keepLines/>
      <w:spacing w:before="240" w:after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935E5"/>
    <w:pPr>
      <w:keepNext/>
      <w:keepLines/>
      <w:spacing w:before="480"/>
      <w:outlineLvl w:val="1"/>
    </w:pPr>
    <w:rPr>
      <w:rFonts w:ascii="Arial" w:eastAsia="Times New Roman" w:hAnsi="Arial"/>
      <w:b/>
      <w:bCs/>
      <w:sz w:val="38"/>
      <w:szCs w:val="38"/>
    </w:rPr>
  </w:style>
  <w:style w:type="paragraph" w:styleId="Heading3">
    <w:name w:val="heading 3"/>
    <w:basedOn w:val="Normal"/>
    <w:next w:val="Normal"/>
    <w:link w:val="Heading3Char"/>
    <w:qFormat/>
    <w:rsid w:val="006935E5"/>
    <w:pPr>
      <w:keepNext/>
      <w:keepLines/>
      <w:spacing w:before="480"/>
      <w:outlineLvl w:val="2"/>
    </w:pPr>
    <w:rPr>
      <w:rFonts w:ascii="Arial" w:eastAsia="Times New Roman" w:hAnsi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935E5"/>
    <w:pPr>
      <w:keepNext/>
      <w:keepLines/>
      <w:spacing w:before="360"/>
      <w:outlineLvl w:val="3"/>
    </w:pPr>
    <w:rPr>
      <w:rFonts w:ascii="Arial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rsid w:val="006935E5"/>
    <w:pPr>
      <w:keepNext/>
      <w:keepLines/>
      <w:spacing w:before="240"/>
      <w:outlineLvl w:val="4"/>
    </w:pPr>
    <w:rPr>
      <w:rFonts w:eastAsia="Times New Roman"/>
      <w:b/>
      <w:bCs/>
      <w:color w:val="001523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rsid w:val="006935E5"/>
    <w:pPr>
      <w:keepNext/>
      <w:keepLines/>
      <w:spacing w:before="240"/>
      <w:outlineLvl w:val="5"/>
    </w:pPr>
    <w:rPr>
      <w:rFonts w:eastAsia="Times New Roman"/>
      <w:b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6935E5"/>
    <w:pPr>
      <w:keepNext/>
      <w:keepLines/>
      <w:spacing w:before="240" w:after="60" w:line="180" w:lineRule="atLeast"/>
      <w:outlineLvl w:val="6"/>
    </w:pPr>
    <w:rPr>
      <w:rFonts w:eastAsia="Times New Roma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22C0"/>
    <w:rPr>
      <w:rFonts w:eastAsia="Cambria"/>
      <w:b/>
    </w:rPr>
  </w:style>
  <w:style w:type="character" w:customStyle="1" w:styleId="Heading2Char">
    <w:name w:val="Heading 2 Char"/>
    <w:basedOn w:val="DefaultParagraphFont"/>
    <w:link w:val="Heading2"/>
    <w:rsid w:val="00930237"/>
    <w:rPr>
      <w:rFonts w:ascii="Arial" w:eastAsia="Times New Roman" w:hAnsi="Arial"/>
      <w:b/>
      <w:bCs/>
      <w:sz w:val="38"/>
      <w:szCs w:val="38"/>
    </w:rPr>
  </w:style>
  <w:style w:type="character" w:customStyle="1" w:styleId="Heading3Char">
    <w:name w:val="Heading 3 Char"/>
    <w:basedOn w:val="DefaultParagraphFont"/>
    <w:link w:val="Heading3"/>
    <w:rsid w:val="00025C67"/>
    <w:rPr>
      <w:rFonts w:ascii="Arial" w:eastAsia="Times New Roman" w:hAnsi="Arial"/>
      <w:b/>
      <w:bCs/>
      <w:sz w:val="32"/>
      <w:szCs w:val="32"/>
    </w:rPr>
  </w:style>
  <w:style w:type="paragraph" w:customStyle="1" w:styleId="Headernoline">
    <w:name w:val="Header no line"/>
    <w:basedOn w:val="Header"/>
    <w:rsid w:val="006935E5"/>
    <w:pPr>
      <w:pBdr>
        <w:bottom w:val="none" w:sz="0" w:space="0" w:color="auto"/>
      </w:pBdr>
      <w:spacing w:line="24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8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F2126"/>
    <w:rPr>
      <w:rFonts w:ascii="Arial" w:eastAsia="Cambria" w:hAnsi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314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B0408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B0408"/>
    <w:rPr>
      <w:rFonts w:ascii="Arial" w:eastAsia="Cambria" w:hAnsi="Arial"/>
      <w:sz w:val="18"/>
    </w:rPr>
  </w:style>
  <w:style w:type="paragraph" w:styleId="Header">
    <w:name w:val="header"/>
    <w:basedOn w:val="Normal"/>
    <w:link w:val="HeaderChar"/>
    <w:uiPriority w:val="99"/>
    <w:rsid w:val="006935E5"/>
    <w:pPr>
      <w:pBdr>
        <w:bottom w:val="single" w:sz="4" w:space="3" w:color="auto"/>
      </w:pBdr>
      <w:tabs>
        <w:tab w:val="center" w:pos="4513"/>
        <w:tab w:val="right" w:pos="9026"/>
      </w:tabs>
      <w:spacing w:line="240" w:lineRule="auto"/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F3148D"/>
    <w:rPr>
      <w:rFonts w:eastAsia="Cambria"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sid w:val="00FA639E"/>
    <w:rPr>
      <w:rFonts w:eastAsia="Times New Roman"/>
      <w:b/>
      <w:bCs/>
      <w:color w:val="00152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3148D"/>
    <w:rPr>
      <w:rFonts w:eastAsia="Times New Roman"/>
      <w:b/>
      <w:bCs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F3148D"/>
    <w:rPr>
      <w:rFonts w:eastAsia="Times New Roman"/>
      <w:bCs/>
      <w:i/>
    </w:rPr>
  </w:style>
  <w:style w:type="character" w:styleId="Hyperlink">
    <w:name w:val="Hyperlink"/>
    <w:basedOn w:val="DefaultParagraphFont"/>
    <w:uiPriority w:val="99"/>
    <w:unhideWhenUsed/>
    <w:rsid w:val="006935E5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F3148D"/>
    <w:pPr>
      <w:spacing w:after="0" w:line="240" w:lineRule="auto"/>
    </w:pPr>
    <w:rPr>
      <w:rFonts w:ascii="Cambria" w:eastAsia="Calibri" w:hAnsi="Cambria" w:cs="Times New Roman"/>
      <w:color w:val="943634"/>
      <w:sz w:val="21"/>
      <w:szCs w:val="2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ListBullet">
    <w:name w:val="List Bullet"/>
    <w:basedOn w:val="Normal"/>
    <w:qFormat/>
    <w:rsid w:val="007B0408"/>
    <w:pPr>
      <w:numPr>
        <w:numId w:val="14"/>
      </w:numPr>
      <w:ind w:left="425" w:hanging="425"/>
    </w:pPr>
  </w:style>
  <w:style w:type="paragraph" w:styleId="ListBullet2">
    <w:name w:val="List Bullet 2"/>
    <w:basedOn w:val="Normal"/>
    <w:qFormat/>
    <w:rsid w:val="007B0408"/>
    <w:pPr>
      <w:numPr>
        <w:ilvl w:val="1"/>
        <w:numId w:val="14"/>
      </w:numPr>
      <w:ind w:left="850" w:hanging="425"/>
    </w:pPr>
  </w:style>
  <w:style w:type="paragraph" w:styleId="ListBullet3">
    <w:name w:val="List Bullet 3"/>
    <w:basedOn w:val="Normal"/>
    <w:qFormat/>
    <w:rsid w:val="007B0408"/>
    <w:pPr>
      <w:numPr>
        <w:ilvl w:val="2"/>
        <w:numId w:val="14"/>
      </w:numPr>
      <w:ind w:left="1276" w:hanging="425"/>
    </w:pPr>
  </w:style>
  <w:style w:type="numbering" w:customStyle="1" w:styleId="ListBullets">
    <w:name w:val="ListBullets"/>
    <w:uiPriority w:val="99"/>
    <w:locked/>
    <w:rsid w:val="00F3148D"/>
    <w:pPr>
      <w:numPr>
        <w:numId w:val="3"/>
      </w:numPr>
    </w:pPr>
  </w:style>
  <w:style w:type="table" w:styleId="MediumGrid2-Accent5">
    <w:name w:val="Medium Grid 2 Accent 5"/>
    <w:basedOn w:val="TableNormal"/>
    <w:uiPriority w:val="68"/>
    <w:rsid w:val="00F3148D"/>
    <w:pPr>
      <w:spacing w:after="0" w:line="240" w:lineRule="auto"/>
    </w:pPr>
    <w:rPr>
      <w:rFonts w:ascii="Cambria" w:eastAsia="Times New Roman" w:hAnsi="Cambria" w:cs="Times New Roman"/>
      <w:color w:val="000000"/>
      <w:sz w:val="21"/>
      <w:szCs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umberbullet0">
    <w:name w:val="Number bullet"/>
    <w:basedOn w:val="ListBullet"/>
    <w:qFormat/>
    <w:rsid w:val="006935E5"/>
    <w:pPr>
      <w:numPr>
        <w:numId w:val="17"/>
      </w:numPr>
    </w:pPr>
  </w:style>
  <w:style w:type="paragraph" w:customStyle="1" w:styleId="Numberbullet2">
    <w:name w:val="Number bullet 2"/>
    <w:basedOn w:val="ListBullet2"/>
    <w:qFormat/>
    <w:rsid w:val="006935E5"/>
    <w:pPr>
      <w:numPr>
        <w:numId w:val="17"/>
      </w:numPr>
    </w:pPr>
  </w:style>
  <w:style w:type="paragraph" w:customStyle="1" w:styleId="Numberbullet3">
    <w:name w:val="Number bullet 3"/>
    <w:basedOn w:val="ListBullet3"/>
    <w:qFormat/>
    <w:rsid w:val="006935E5"/>
    <w:pPr>
      <w:numPr>
        <w:numId w:val="17"/>
      </w:numPr>
    </w:pPr>
  </w:style>
  <w:style w:type="numbering" w:customStyle="1" w:styleId="NumberBullet">
    <w:name w:val="NumberBullet"/>
    <w:uiPriority w:val="99"/>
    <w:locked/>
    <w:rsid w:val="00F3148D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F3148D"/>
    <w:rPr>
      <w:color w:val="808080"/>
    </w:rPr>
  </w:style>
  <w:style w:type="table" w:styleId="TableGrid">
    <w:name w:val="Table Grid"/>
    <w:basedOn w:val="TableNormal"/>
    <w:uiPriority w:val="59"/>
    <w:rsid w:val="00F3148D"/>
    <w:pPr>
      <w:spacing w:after="0" w:line="240" w:lineRule="auto"/>
    </w:pPr>
    <w:rPr>
      <w:rFonts w:ascii="Cambria" w:hAnsi="Cambria" w:cs="Times New Roman"/>
      <w:sz w:val="21"/>
      <w:szCs w:val="21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GAblue">
    <w:name w:val="Table TGA blue"/>
    <w:basedOn w:val="TableNormal"/>
    <w:uiPriority w:val="99"/>
    <w:qFormat/>
    <w:rsid w:val="00AA200F"/>
    <w:pPr>
      <w:spacing w:before="180" w:after="180" w:line="240" w:lineRule="auto"/>
    </w:pPr>
    <w:rPr>
      <w:rFonts w:ascii="Cambria" w:hAnsi="Cambria" w:cs="Times New Roman"/>
      <w:color w:val="000000"/>
      <w:szCs w:val="21"/>
      <w:lang w:eastAsia="en-AU"/>
    </w:rPr>
    <w:tblPr>
      <w:tblBorders>
        <w:top w:val="single" w:sz="8" w:space="0" w:color="002C47" w:themeColor="text1"/>
        <w:left w:val="single" w:sz="8" w:space="0" w:color="002C47" w:themeColor="text1"/>
        <w:bottom w:val="single" w:sz="8" w:space="0" w:color="002C47" w:themeColor="text1"/>
        <w:right w:val="single" w:sz="8" w:space="0" w:color="002C47" w:themeColor="text1"/>
        <w:insideH w:val="single" w:sz="8" w:space="0" w:color="002C47" w:themeColor="text1"/>
        <w:insideV w:val="single" w:sz="8" w:space="0" w:color="002C47" w:themeColor="text1"/>
      </w:tblBorders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cantSplit/>
        <w:tblHeader/>
      </w:trPr>
      <w:tcPr>
        <w:tcBorders>
          <w:top w:val="single" w:sz="8" w:space="0" w:color="002C47" w:themeColor="text1"/>
          <w:left w:val="single" w:sz="8" w:space="0" w:color="002C47" w:themeColor="text1"/>
          <w:bottom w:val="single" w:sz="8" w:space="0" w:color="002C47" w:themeColor="text1"/>
          <w:right w:val="single" w:sz="8" w:space="0" w:color="002C47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2">
    <w:name w:val="Table TGA 2"/>
    <w:basedOn w:val="TableNormal"/>
    <w:uiPriority w:val="99"/>
    <w:rsid w:val="00AA200F"/>
    <w:pPr>
      <w:spacing w:before="60" w:after="0" w:line="240" w:lineRule="auto"/>
    </w:pPr>
    <w:rPr>
      <w:rFonts w:ascii="Cambria" w:hAnsi="Cambria" w:cs="Times New Roman"/>
      <w:color w:val="000000"/>
      <w:szCs w:val="21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keepNext/>
        <w:wordWrap/>
      </w:pPr>
      <w:rPr>
        <w:rFonts w:ascii="Cambria" w:hAnsi="Cambria"/>
        <w:b/>
        <w:color w:val="FFFFFF"/>
        <w:sz w:val="22"/>
      </w:rPr>
      <w:tblPr/>
      <w:trPr>
        <w:cantSplit/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22"/>
      </w:r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48D"/>
    <w:pPr>
      <w:spacing w:before="480" w:after="0" w:line="276" w:lineRule="auto"/>
      <w:outlineLvl w:val="9"/>
    </w:pPr>
    <w:rPr>
      <w:color w:val="002035"/>
      <w:sz w:val="28"/>
      <w:lang w:val="en-US"/>
    </w:rPr>
  </w:style>
  <w:style w:type="character" w:customStyle="1" w:styleId="ABN">
    <w:name w:val="ABN"/>
    <w:basedOn w:val="DefaultParagraphFont"/>
    <w:uiPriority w:val="1"/>
    <w:rsid w:val="001F7BF8"/>
    <w:rPr>
      <w:rFonts w:ascii="Arial" w:hAnsi="Arial"/>
      <w:color w:val="002C47"/>
      <w:sz w:val="14"/>
    </w:rPr>
  </w:style>
  <w:style w:type="paragraph" w:styleId="EndnoteText">
    <w:name w:val="endnote text"/>
    <w:basedOn w:val="FootnoteText"/>
    <w:link w:val="EndnoteTextChar"/>
    <w:semiHidden/>
    <w:unhideWhenUsed/>
    <w:rsid w:val="00FC520A"/>
    <w:pPr>
      <w:keepLines/>
      <w:spacing w:line="240" w:lineRule="atLeast"/>
    </w:pPr>
    <w:rPr>
      <w:rFonts w:ascii="Cambria" w:hAnsi="Cambria"/>
      <w:szCs w:val="22"/>
    </w:rPr>
  </w:style>
  <w:style w:type="character" w:customStyle="1" w:styleId="EndnoteTextChar">
    <w:name w:val="Endnote Text Char"/>
    <w:basedOn w:val="DefaultParagraphFont"/>
    <w:link w:val="EndnoteText"/>
    <w:semiHidden/>
    <w:rsid w:val="00E82C70"/>
    <w:rPr>
      <w:rFonts w:ascii="Cambria" w:eastAsia="Cambria" w:hAnsi="Cambr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C7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C70"/>
    <w:rPr>
      <w:rFonts w:eastAsia="Cambria"/>
      <w:sz w:val="20"/>
      <w:szCs w:val="20"/>
    </w:rPr>
  </w:style>
  <w:style w:type="paragraph" w:customStyle="1" w:styleId="Quotation">
    <w:name w:val="Quotation"/>
    <w:basedOn w:val="Normal"/>
    <w:next w:val="Normal"/>
    <w:uiPriority w:val="4"/>
    <w:qFormat/>
    <w:rsid w:val="00C01315"/>
    <w:pPr>
      <w:ind w:left="425"/>
    </w:pPr>
    <w:rPr>
      <w:rFonts w:ascii="Cambria" w:hAnsi="Cambria" w:cs="Times New Roman"/>
      <w:sz w:val="20"/>
      <w:szCs w:val="20"/>
    </w:rPr>
  </w:style>
  <w:style w:type="paragraph" w:customStyle="1" w:styleId="Figuredescription">
    <w:name w:val="Figure description"/>
    <w:basedOn w:val="Normal"/>
    <w:next w:val="Normal"/>
    <w:rsid w:val="00FC520A"/>
    <w:pPr>
      <w:spacing w:after="240" w:line="180" w:lineRule="atLeast"/>
    </w:pPr>
    <w:rPr>
      <w:rFonts w:ascii="Cambria" w:hAnsi="Cambria"/>
      <w:sz w:val="18"/>
    </w:rPr>
  </w:style>
  <w:style w:type="paragraph" w:customStyle="1" w:styleId="Figuretitle">
    <w:name w:val="Figure title"/>
    <w:basedOn w:val="Normal"/>
    <w:next w:val="Normal"/>
    <w:rsid w:val="00FC520A"/>
    <w:pPr>
      <w:outlineLvl w:val="4"/>
    </w:pPr>
    <w:rPr>
      <w:rFonts w:ascii="Cambria" w:hAnsi="Cambria"/>
      <w:b/>
    </w:rPr>
  </w:style>
  <w:style w:type="paragraph" w:customStyle="1" w:styleId="Tabledescription">
    <w:name w:val="Table description"/>
    <w:basedOn w:val="Figuredescription"/>
    <w:next w:val="Normal"/>
    <w:rsid w:val="00FC520A"/>
  </w:style>
  <w:style w:type="paragraph" w:customStyle="1" w:styleId="Tabletitle">
    <w:name w:val="Table title"/>
    <w:basedOn w:val="Normal"/>
    <w:next w:val="Normal"/>
    <w:rsid w:val="00FC520A"/>
    <w:pPr>
      <w:keepNext/>
      <w:outlineLvl w:val="4"/>
    </w:pPr>
    <w:rPr>
      <w:rFonts w:ascii="Cambria" w:hAnsi="Cambria"/>
      <w:b/>
    </w:rPr>
  </w:style>
  <w:style w:type="paragraph" w:customStyle="1" w:styleId="Fromdetails">
    <w:name w:val="From details"/>
    <w:basedOn w:val="Normal"/>
    <w:qFormat/>
    <w:rsid w:val="00FC520A"/>
    <w:pPr>
      <w:spacing w:before="840"/>
      <w:contextualSpacing/>
    </w:pPr>
  </w:style>
  <w:style w:type="paragraph" w:customStyle="1" w:styleId="TableText">
    <w:name w:val="TableText"/>
    <w:basedOn w:val="Normal"/>
    <w:qFormat/>
    <w:rsid w:val="006C524A"/>
    <w:pPr>
      <w:spacing w:before="120" w:line="240" w:lineRule="auto"/>
    </w:pPr>
    <w:rPr>
      <w:rFonts w:ascii="Century Gothic" w:eastAsiaTheme="majorEastAsia" w:hAnsi="Century Gothic" w:cs="Arial"/>
      <w:bCs/>
      <w:sz w:val="20"/>
      <w:szCs w:val="20"/>
    </w:rPr>
  </w:style>
  <w:style w:type="table" w:styleId="LightGrid-Accent2">
    <w:name w:val="Light Grid Accent 2"/>
    <w:basedOn w:val="TableNormal"/>
    <w:uiPriority w:val="62"/>
    <w:rsid w:val="006C524A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A5ABB2" w:themeColor="accent2"/>
        <w:left w:val="single" w:sz="8" w:space="0" w:color="A5ABB2" w:themeColor="accent2"/>
        <w:bottom w:val="single" w:sz="8" w:space="0" w:color="A5ABB2" w:themeColor="accent2"/>
        <w:right w:val="single" w:sz="8" w:space="0" w:color="A5ABB2" w:themeColor="accent2"/>
        <w:insideH w:val="single" w:sz="8" w:space="0" w:color="A5ABB2" w:themeColor="accent2"/>
        <w:insideV w:val="single" w:sz="8" w:space="0" w:color="A5ABB2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B2" w:themeColor="accent2"/>
          <w:left w:val="single" w:sz="8" w:space="0" w:color="A5ABB2" w:themeColor="accent2"/>
          <w:bottom w:val="single" w:sz="8" w:space="0" w:color="A5ABB2" w:themeColor="accent2"/>
          <w:right w:val="single" w:sz="8" w:space="0" w:color="A5ABB2" w:themeColor="accent2"/>
          <w:insideH w:val="nil"/>
          <w:insideV w:val="single" w:sz="8" w:space="0" w:color="A5AB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B2" w:themeColor="accent2"/>
          <w:left w:val="single" w:sz="8" w:space="0" w:color="A5ABB2" w:themeColor="accent2"/>
          <w:bottom w:val="single" w:sz="8" w:space="0" w:color="A5ABB2" w:themeColor="accent2"/>
          <w:right w:val="single" w:sz="8" w:space="0" w:color="A5ABB2" w:themeColor="accent2"/>
        </w:tcBorders>
      </w:tcPr>
    </w:tblStylePr>
    <w:tblStylePr w:type="band2Horz">
      <w:tblPr/>
      <w:tcPr>
        <w:tcBorders>
          <w:top w:val="single" w:sz="8" w:space="0" w:color="A5ABB2" w:themeColor="accent2"/>
          <w:left w:val="single" w:sz="8" w:space="0" w:color="A5ABB2" w:themeColor="accent2"/>
          <w:bottom w:val="single" w:sz="8" w:space="0" w:color="A5ABB2" w:themeColor="accent2"/>
          <w:right w:val="single" w:sz="8" w:space="0" w:color="A5ABB2" w:themeColor="accent2"/>
          <w:insideV w:val="single" w:sz="8" w:space="0" w:color="A5ABB2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2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475"/>
    <w:rPr>
      <w:rFonts w:eastAsia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475"/>
    <w:rPr>
      <w:rFonts w:eastAsia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GA">
  <a:themeElements>
    <a:clrScheme name="TGA Theme">
      <a:dk1>
        <a:srgbClr val="002C47"/>
      </a:dk1>
      <a:lt1>
        <a:srgbClr val="FFFFFF"/>
      </a:lt1>
      <a:dk2>
        <a:srgbClr val="002C47"/>
      </a:dk2>
      <a:lt2>
        <a:srgbClr val="FFFFFF"/>
      </a:lt2>
      <a:accent1>
        <a:srgbClr val="006EA8"/>
      </a:accent1>
      <a:accent2>
        <a:srgbClr val="A5ABB2"/>
      </a:accent2>
      <a:accent3>
        <a:srgbClr val="016665"/>
      </a:accent3>
      <a:accent4>
        <a:srgbClr val="B3C95F"/>
      </a:accent4>
      <a:accent5>
        <a:srgbClr val="274520"/>
      </a:accent5>
      <a:accent6>
        <a:srgbClr val="9A86B7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DADC-02E2-4F1A-AFE9-CB3E50F0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Moya</dc:creator>
  <dc:description/>
  <cp:lastModifiedBy>Tonge, Michael</cp:lastModifiedBy>
  <cp:revision>25</cp:revision>
  <cp:lastPrinted>2014-03-18T05:18:00Z</cp:lastPrinted>
  <dcterms:created xsi:type="dcterms:W3CDTF">2021-06-11T06:04:00Z</dcterms:created>
  <dcterms:modified xsi:type="dcterms:W3CDTF">2021-10-07T00:46:00Z</dcterms:modified>
</cp:coreProperties>
</file>