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289776" w:displacedByCustomXml="next"/>
    <w:bookmarkStart w:id="1" w:name="_Toc19289643" w:displacedByCustomXml="next"/>
    <w:sdt>
      <w:sdtPr>
        <w:rPr>
          <w:rFonts w:ascii="Arial" w:hAnsi="Arial" w:cs="Arial"/>
        </w:rPr>
        <w:id w:val="-2088995269"/>
        <w:docPartObj>
          <w:docPartGallery w:val="Cover Pages"/>
          <w:docPartUnique/>
        </w:docPartObj>
      </w:sdtPr>
      <w:sdtContent>
        <w:bookmarkEnd w:id="1" w:displacedByCustomXml="prev"/>
        <w:bookmarkEnd w:id="0" w:displacedByCustomXml="prev"/>
        <w:p w:rsidR="0061412C" w:rsidRDefault="0061412C" w:rsidP="0057257B">
          <w:pPr>
            <w:spacing w:line="276" w:lineRule="auto"/>
            <w:rPr>
              <w:rFonts w:ascii="Arial" w:hAnsi="Arial" w:cs="Arial"/>
            </w:rPr>
          </w:pPr>
        </w:p>
        <w:p w:rsidR="0061412C" w:rsidRDefault="0061412C" w:rsidP="0057257B">
          <w:pPr>
            <w:spacing w:line="276" w:lineRule="auto"/>
            <w:rPr>
              <w:rFonts w:ascii="Arial" w:hAnsi="Arial" w:cs="Arial"/>
            </w:rPr>
          </w:pPr>
        </w:p>
        <w:p w:rsidR="0061412C" w:rsidRDefault="0061412C" w:rsidP="0057257B">
          <w:pPr>
            <w:spacing w:line="276" w:lineRule="auto"/>
            <w:rPr>
              <w:rFonts w:ascii="Arial" w:hAnsi="Arial" w:cs="Arial"/>
            </w:rPr>
          </w:pPr>
        </w:p>
        <w:p w:rsidR="0061412C" w:rsidRDefault="0061412C" w:rsidP="0057257B">
          <w:pPr>
            <w:spacing w:line="276" w:lineRule="auto"/>
            <w:rPr>
              <w:rFonts w:ascii="Arial" w:hAnsi="Arial" w:cs="Arial"/>
            </w:rPr>
          </w:pPr>
        </w:p>
        <w:p w:rsidR="0068286F" w:rsidRPr="00C21560" w:rsidRDefault="00810822" w:rsidP="0057257B">
          <w:pPr>
            <w:spacing w:line="276" w:lineRule="auto"/>
            <w:rPr>
              <w:color w:val="FFFFFF" w:themeColor="background1"/>
              <w:sz w:val="72"/>
              <w:szCs w:val="72"/>
            </w:rPr>
          </w:pPr>
          <w:r w:rsidRPr="00C21560">
            <w:rPr>
              <w:color w:val="FFFFFF" w:themeColor="background1"/>
              <w:sz w:val="72"/>
              <w:szCs w:val="72"/>
            </w:rPr>
            <w:t xml:space="preserve">Regulatory Impact Statement </w:t>
          </w:r>
        </w:p>
        <w:p w:rsidR="001E3B1F" w:rsidRPr="00C21560" w:rsidRDefault="001E3B1F" w:rsidP="0057257B">
          <w:pPr>
            <w:spacing w:line="276" w:lineRule="auto"/>
            <w:rPr>
              <w:color w:val="FFFFFF" w:themeColor="background1"/>
              <w:sz w:val="72"/>
              <w:szCs w:val="72"/>
            </w:rPr>
          </w:pPr>
          <w:r w:rsidRPr="00C21560">
            <w:rPr>
              <w:color w:val="FFFFFF" w:themeColor="background1"/>
              <w:sz w:val="72"/>
              <w:szCs w:val="72"/>
            </w:rPr>
            <w:t>OBPR Reference 42703</w:t>
          </w:r>
        </w:p>
        <w:p w:rsidR="00697567" w:rsidRPr="00C21560" w:rsidRDefault="00810822" w:rsidP="0057257B">
          <w:pPr>
            <w:spacing w:line="276" w:lineRule="auto"/>
            <w:rPr>
              <w:rFonts w:ascii="Arial" w:hAnsi="Arial" w:cs="Arial"/>
              <w:color w:val="FFFFFF" w:themeColor="background1"/>
              <w:sz w:val="48"/>
              <w:szCs w:val="48"/>
            </w:rPr>
          </w:pPr>
          <w:r w:rsidRPr="00C21560">
            <w:rPr>
              <w:rFonts w:ascii="Arial" w:hAnsi="Arial" w:cs="Arial"/>
              <w:color w:val="FFFFFF" w:themeColor="background1"/>
              <w:sz w:val="48"/>
              <w:szCs w:val="48"/>
            </w:rPr>
            <w:t xml:space="preserve">Offshore </w:t>
          </w:r>
          <w:r w:rsidR="00FB1E6B">
            <w:rPr>
              <w:rFonts w:ascii="Arial" w:hAnsi="Arial" w:cs="Arial"/>
              <w:color w:val="FFFFFF" w:themeColor="background1"/>
              <w:sz w:val="48"/>
              <w:szCs w:val="48"/>
            </w:rPr>
            <w:t>Electricity Infrastructure</w:t>
          </w:r>
          <w:r w:rsidRPr="00C21560">
            <w:rPr>
              <w:rFonts w:ascii="Arial" w:hAnsi="Arial" w:cs="Arial"/>
              <w:color w:val="FFFFFF" w:themeColor="background1"/>
              <w:sz w:val="48"/>
              <w:szCs w:val="48"/>
            </w:rPr>
            <w:t xml:space="preserve"> </w:t>
          </w:r>
          <w:r w:rsidR="001E3B1F" w:rsidRPr="00C21560">
            <w:rPr>
              <w:rFonts w:ascii="Arial" w:hAnsi="Arial" w:cs="Arial"/>
              <w:color w:val="FFFFFF" w:themeColor="background1"/>
              <w:sz w:val="48"/>
              <w:szCs w:val="48"/>
            </w:rPr>
            <w:t>Regulatory Framework</w:t>
          </w:r>
        </w:p>
        <w:p w:rsidR="00697567" w:rsidRPr="0061412C" w:rsidRDefault="00697567" w:rsidP="0057257B">
          <w:pPr>
            <w:spacing w:line="276" w:lineRule="auto"/>
            <w:rPr>
              <w:rFonts w:ascii="Arial" w:hAnsi="Arial" w:cs="Arial"/>
              <w:sz w:val="48"/>
              <w:szCs w:val="48"/>
            </w:rPr>
          </w:pPr>
        </w:p>
        <w:p w:rsidR="0068286F" w:rsidRPr="00275017" w:rsidRDefault="00810822" w:rsidP="0057257B">
          <w:pPr>
            <w:spacing w:line="276" w:lineRule="auto"/>
            <w:rPr>
              <w:rFonts w:ascii="Arial" w:hAnsi="Arial" w:cs="Arial"/>
            </w:rPr>
          </w:pPr>
          <w:r w:rsidRPr="00275017">
            <w:rPr>
              <w:rFonts w:ascii="Arial" w:hAnsi="Arial" w:cs="Arial"/>
            </w:rPr>
            <w:t xml:space="preserve">  </w:t>
          </w:r>
          <w:r w:rsidR="00B5510A">
            <w:rPr>
              <w:rFonts w:ascii="Arial" w:hAnsi="Arial" w:cs="Arial"/>
            </w:rPr>
            <w:t>April 2021</w:t>
          </w:r>
        </w:p>
        <w:p w:rsidR="0068286F" w:rsidRPr="00275017" w:rsidRDefault="0068286F" w:rsidP="0057257B">
          <w:pPr>
            <w:spacing w:line="276" w:lineRule="auto"/>
            <w:rPr>
              <w:rFonts w:ascii="Arial" w:hAnsi="Arial" w:cs="Arial"/>
            </w:rPr>
          </w:pPr>
          <w:r w:rsidRPr="00275017">
            <w:rPr>
              <w:rFonts w:ascii="Arial" w:hAnsi="Arial" w:cs="Arial"/>
            </w:rPr>
            <w:br w:type="page"/>
          </w:r>
        </w:p>
        <w:p w:rsidR="000F2564" w:rsidRPr="00275017" w:rsidRDefault="000F2564" w:rsidP="0057257B">
          <w:pPr>
            <w:spacing w:line="276" w:lineRule="auto"/>
            <w:rPr>
              <w:rStyle w:val="Strong"/>
              <w:rFonts w:ascii="Arial" w:hAnsi="Arial" w:cs="Arial"/>
              <w:b w:val="0"/>
            </w:rPr>
          </w:pPr>
        </w:p>
        <w:p w:rsidR="001D216A" w:rsidRPr="0061412C" w:rsidRDefault="001D216A" w:rsidP="0057257B">
          <w:pPr>
            <w:spacing w:line="276" w:lineRule="auto"/>
            <w:rPr>
              <w:rFonts w:ascii="Arial" w:hAnsi="Arial" w:cs="Arial"/>
              <w:b/>
            </w:rPr>
          </w:pPr>
          <w:bookmarkStart w:id="2" w:name="_Toc19023739"/>
          <w:bookmarkStart w:id="3" w:name="_Toc19289644"/>
          <w:bookmarkStart w:id="4" w:name="_Toc19289777"/>
          <w:r w:rsidRPr="0061412C">
            <w:rPr>
              <w:rFonts w:ascii="Arial" w:hAnsi="Arial" w:cs="Arial"/>
              <w:b/>
            </w:rPr>
            <w:t>Copyright</w:t>
          </w:r>
          <w:bookmarkEnd w:id="2"/>
          <w:bookmarkEnd w:id="3"/>
          <w:bookmarkEnd w:id="4"/>
        </w:p>
        <w:p w:rsidR="0068286F" w:rsidRPr="00275017" w:rsidRDefault="0068286F" w:rsidP="0057257B">
          <w:pPr>
            <w:spacing w:line="276" w:lineRule="auto"/>
            <w:rPr>
              <w:rStyle w:val="Strong"/>
              <w:rFonts w:ascii="Arial" w:hAnsi="Arial" w:cs="Arial"/>
            </w:rPr>
          </w:pPr>
          <w:r w:rsidRPr="00275017">
            <w:rPr>
              <w:rStyle w:val="Strong"/>
              <w:rFonts w:ascii="Arial" w:hAnsi="Arial" w:cs="Arial"/>
            </w:rPr>
            <w:t xml:space="preserve">© Commonwealth of </w:t>
          </w:r>
          <w:r w:rsidR="00B5510A">
            <w:rPr>
              <w:rStyle w:val="Strong"/>
              <w:rFonts w:ascii="Arial" w:hAnsi="Arial" w:cs="Arial"/>
            </w:rPr>
            <w:t>Australia 2021</w:t>
          </w:r>
        </w:p>
        <w:p w:rsidR="0068286F" w:rsidRPr="00275017" w:rsidRDefault="0068286F" w:rsidP="0057257B">
          <w:pPr>
            <w:spacing w:line="276" w:lineRule="auto"/>
            <w:rPr>
              <w:rStyle w:val="Strong"/>
              <w:rFonts w:ascii="Arial" w:hAnsi="Arial" w:cs="Arial"/>
            </w:rPr>
          </w:pPr>
          <w:r w:rsidRPr="00275017">
            <w:rPr>
              <w:rStyle w:val="Strong"/>
              <w:rFonts w:ascii="Arial" w:hAnsi="Arial" w:cs="Arial"/>
            </w:rPr>
            <w:t>Ownership of intellectual property rights</w:t>
          </w:r>
        </w:p>
        <w:p w:rsidR="0068286F" w:rsidRPr="00275017" w:rsidRDefault="0068286F" w:rsidP="0057257B">
          <w:pPr>
            <w:spacing w:line="276" w:lineRule="auto"/>
            <w:rPr>
              <w:rFonts w:ascii="Arial" w:hAnsi="Arial" w:cs="Arial"/>
            </w:rPr>
          </w:pPr>
          <w:r w:rsidRPr="00275017">
            <w:rPr>
              <w:rFonts w:ascii="Arial" w:hAnsi="Arial" w:cs="Arial"/>
            </w:rPr>
            <w:t>Unless otherwise noted, copyright (and any other intellectual property rights, if any) in this publication is owned by the Commonwealth of Australia.</w:t>
          </w:r>
        </w:p>
        <w:p w:rsidR="0068286F" w:rsidRPr="00275017" w:rsidRDefault="0068286F" w:rsidP="0057257B">
          <w:pPr>
            <w:spacing w:line="276" w:lineRule="auto"/>
            <w:rPr>
              <w:rStyle w:val="Strong"/>
              <w:rFonts w:ascii="Arial" w:hAnsi="Arial" w:cs="Arial"/>
            </w:rPr>
          </w:pPr>
          <w:r w:rsidRPr="00275017">
            <w:rPr>
              <w:rStyle w:val="Strong"/>
              <w:rFonts w:ascii="Arial" w:hAnsi="Arial" w:cs="Arial"/>
            </w:rPr>
            <w:t>Creative Commons licence</w:t>
          </w:r>
        </w:p>
        <w:p w:rsidR="001D216A" w:rsidRPr="00275017" w:rsidRDefault="001D216A" w:rsidP="0057257B">
          <w:pPr>
            <w:spacing w:line="276" w:lineRule="auto"/>
            <w:rPr>
              <w:rStyle w:val="Strong"/>
              <w:rFonts w:ascii="Arial" w:hAnsi="Arial" w:cs="Arial"/>
            </w:rPr>
          </w:pPr>
          <w:r w:rsidRPr="00275017">
            <w:rPr>
              <w:rFonts w:ascii="Arial" w:hAnsi="Arial" w:cs="Arial"/>
              <w:b/>
              <w:noProof/>
              <w:lang w:eastAsia="en-AU"/>
            </w:rPr>
            <w:drawing>
              <wp:inline distT="0" distB="0" distL="0" distR="0" wp14:anchorId="59DD9923" wp14:editId="2548CA07">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rsidR="0068286F" w:rsidRPr="00275017" w:rsidRDefault="0068286F" w:rsidP="0057257B">
          <w:pPr>
            <w:spacing w:line="276" w:lineRule="auto"/>
            <w:rPr>
              <w:rStyle w:val="Strong"/>
              <w:rFonts w:ascii="Arial" w:hAnsi="Arial" w:cs="Arial"/>
            </w:rPr>
          </w:pPr>
          <w:r w:rsidRPr="00275017">
            <w:rPr>
              <w:rStyle w:val="Strong"/>
              <w:rFonts w:ascii="Arial" w:hAnsi="Arial" w:cs="Arial"/>
            </w:rPr>
            <w:t xml:space="preserve">Attribution </w:t>
          </w:r>
        </w:p>
        <w:p w:rsidR="0068286F" w:rsidRPr="00275017" w:rsidRDefault="0068286F" w:rsidP="0057257B">
          <w:pPr>
            <w:spacing w:line="276" w:lineRule="auto"/>
            <w:rPr>
              <w:rStyle w:val="Strong"/>
              <w:rFonts w:ascii="Arial" w:hAnsi="Arial" w:cs="Arial"/>
            </w:rPr>
          </w:pPr>
          <w:r w:rsidRPr="00275017">
            <w:rPr>
              <w:rStyle w:val="Strong"/>
              <w:rFonts w:ascii="Arial" w:hAnsi="Arial" w:cs="Arial"/>
            </w:rPr>
            <w:t>CC BY</w:t>
          </w:r>
        </w:p>
        <w:p w:rsidR="0068286F" w:rsidRPr="00275017" w:rsidRDefault="0068286F" w:rsidP="0057257B">
          <w:pPr>
            <w:spacing w:line="276" w:lineRule="auto"/>
            <w:rPr>
              <w:rFonts w:ascii="Arial" w:hAnsi="Arial" w:cs="Arial"/>
            </w:rPr>
          </w:pPr>
          <w:r w:rsidRPr="00275017">
            <w:rPr>
              <w:rFonts w:ascii="Arial" w:hAnsi="Arial" w:cs="Arial"/>
            </w:rP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rsidR="0068286F" w:rsidRPr="00275017" w:rsidRDefault="0068286F" w:rsidP="0057257B">
          <w:pPr>
            <w:spacing w:line="276" w:lineRule="auto"/>
            <w:rPr>
              <w:rFonts w:ascii="Arial" w:hAnsi="Arial" w:cs="Arial"/>
            </w:rPr>
          </w:pPr>
          <w:r w:rsidRPr="00275017">
            <w:rPr>
              <w:rFonts w:ascii="Arial" w:hAnsi="Arial" w:cs="Arial"/>
            </w:rP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3" w:history="1">
            <w:r w:rsidR="001D216A" w:rsidRPr="00275017">
              <w:rPr>
                <w:rStyle w:val="Hyperlink"/>
                <w:rFonts w:ascii="Arial" w:hAnsi="Arial" w:cs="Arial"/>
              </w:rPr>
              <w:t>https://creativecommons.org/licenses/by/4.0/</w:t>
            </w:r>
          </w:hyperlink>
        </w:p>
        <w:p w:rsidR="0068286F" w:rsidRPr="00275017" w:rsidRDefault="0068286F" w:rsidP="0057257B">
          <w:pPr>
            <w:spacing w:line="276" w:lineRule="auto"/>
            <w:rPr>
              <w:rFonts w:ascii="Arial" w:hAnsi="Arial" w:cs="Arial"/>
            </w:rPr>
          </w:pPr>
          <w:r w:rsidRPr="00275017">
            <w:rPr>
              <w:rFonts w:ascii="Arial" w:hAnsi="Arial" w:cs="Arial"/>
            </w:rPr>
            <w:t xml:space="preserve">The full licence terms are available from </w:t>
          </w:r>
          <w:hyperlink r:id="rId14" w:history="1">
            <w:r w:rsidR="001D216A" w:rsidRPr="00275017">
              <w:rPr>
                <w:rStyle w:val="Hyperlink"/>
                <w:rFonts w:ascii="Arial" w:hAnsi="Arial" w:cs="Arial"/>
              </w:rPr>
              <w:t>https://creativecommons.org/licenses/by/4.0/legalcode</w:t>
            </w:r>
          </w:hyperlink>
        </w:p>
        <w:p w:rsidR="0068286F" w:rsidRPr="00275017" w:rsidRDefault="0068286F" w:rsidP="0057257B">
          <w:pPr>
            <w:spacing w:line="276" w:lineRule="auto"/>
            <w:rPr>
              <w:rFonts w:ascii="Arial" w:hAnsi="Arial" w:cs="Arial"/>
            </w:rPr>
          </w:pPr>
          <w:r w:rsidRPr="00275017">
            <w:rPr>
              <w:rFonts w:ascii="Arial" w:hAnsi="Arial" w:cs="Arial"/>
            </w:rPr>
            <w:t xml:space="preserve">Content contained herein should be attributed as </w:t>
          </w:r>
          <w:r w:rsidR="001D216A" w:rsidRPr="00275017">
            <w:rPr>
              <w:rFonts w:ascii="Arial" w:hAnsi="Arial" w:cs="Arial"/>
              <w:i/>
            </w:rPr>
            <w:t>Report</w:t>
          </w:r>
          <w:r w:rsidRPr="00275017">
            <w:rPr>
              <w:rFonts w:ascii="Arial" w:hAnsi="Arial" w:cs="Arial"/>
              <w:i/>
            </w:rPr>
            <w:t xml:space="preserve"> title</w:t>
          </w:r>
          <w:r w:rsidR="001D216A" w:rsidRPr="00275017">
            <w:rPr>
              <w:rFonts w:ascii="Arial" w:hAnsi="Arial" w:cs="Arial"/>
              <w:i/>
            </w:rPr>
            <w:t xml:space="preserve">, Australian Government Department of Industry, </w:t>
          </w:r>
          <w:r w:rsidR="008F5772" w:rsidRPr="00275017">
            <w:rPr>
              <w:rFonts w:ascii="Arial" w:hAnsi="Arial" w:cs="Arial"/>
              <w:i/>
            </w:rPr>
            <w:t>S</w:t>
          </w:r>
          <w:r w:rsidR="001D216A" w:rsidRPr="00275017">
            <w:rPr>
              <w:rFonts w:ascii="Arial" w:hAnsi="Arial" w:cs="Arial"/>
              <w:i/>
            </w:rPr>
            <w:t>cience</w:t>
          </w:r>
          <w:r w:rsidR="00403EAC" w:rsidRPr="00275017">
            <w:rPr>
              <w:rFonts w:ascii="Arial" w:hAnsi="Arial" w:cs="Arial"/>
              <w:i/>
            </w:rPr>
            <w:t>, Energy and Resources</w:t>
          </w:r>
          <w:r w:rsidRPr="00275017">
            <w:rPr>
              <w:rFonts w:ascii="Arial" w:hAnsi="Arial" w:cs="Arial"/>
            </w:rPr>
            <w:t>.</w:t>
          </w:r>
        </w:p>
        <w:p w:rsidR="0068286F" w:rsidRPr="0061412C" w:rsidRDefault="0068286F" w:rsidP="0057257B">
          <w:pPr>
            <w:spacing w:line="276" w:lineRule="auto"/>
            <w:rPr>
              <w:rFonts w:ascii="Arial" w:hAnsi="Arial" w:cs="Arial"/>
              <w:b/>
            </w:rPr>
          </w:pPr>
          <w:bookmarkStart w:id="5" w:name="_Toc19023740"/>
          <w:bookmarkStart w:id="6" w:name="_Toc19289645"/>
          <w:bookmarkStart w:id="7" w:name="_Toc19289778"/>
          <w:r w:rsidRPr="0061412C">
            <w:rPr>
              <w:rFonts w:ascii="Arial" w:hAnsi="Arial" w:cs="Arial"/>
              <w:b/>
            </w:rPr>
            <w:t>Disclaimer</w:t>
          </w:r>
          <w:bookmarkEnd w:id="5"/>
          <w:bookmarkEnd w:id="6"/>
          <w:bookmarkEnd w:id="7"/>
        </w:p>
        <w:p w:rsidR="00810822" w:rsidRPr="00275017" w:rsidRDefault="0068286F" w:rsidP="0057257B">
          <w:pPr>
            <w:spacing w:line="276" w:lineRule="auto"/>
            <w:rPr>
              <w:rFonts w:ascii="Arial" w:hAnsi="Arial" w:cs="Arial"/>
            </w:rPr>
          </w:pPr>
          <w:r w:rsidRPr="00275017">
            <w:rPr>
              <w:rFonts w:ascii="Arial" w:hAnsi="Arial" w:cs="Arial"/>
            </w:rPr>
            <w:t>The Australian Government as represented by the Department of Industry, Science</w:t>
          </w:r>
          <w:r w:rsidR="00403EAC" w:rsidRPr="00275017">
            <w:rPr>
              <w:rFonts w:ascii="Arial" w:hAnsi="Arial" w:cs="Arial"/>
            </w:rPr>
            <w:t>, Energy and Resources</w:t>
          </w:r>
          <w:r w:rsidRPr="00275017">
            <w:rPr>
              <w:rFonts w:ascii="Arial" w:hAnsi="Arial" w:cs="Arial"/>
            </w:rP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sdtContent>
    </w:sdt>
    <w:p w:rsidR="00E3027E" w:rsidRPr="00275017" w:rsidRDefault="000F2564" w:rsidP="0057257B">
      <w:pPr>
        <w:spacing w:line="276" w:lineRule="auto"/>
        <w:rPr>
          <w:rFonts w:ascii="Arial" w:hAnsi="Arial" w:cs="Arial"/>
        </w:rPr>
      </w:pPr>
      <w:r w:rsidRPr="00275017">
        <w:rPr>
          <w:rFonts w:ascii="Arial" w:hAnsi="Arial" w:cs="Arial"/>
        </w:rPr>
        <w:br w:type="page"/>
      </w:r>
    </w:p>
    <w:p w:rsidR="00810822" w:rsidRPr="00275017" w:rsidRDefault="00810822" w:rsidP="0057257B">
      <w:pPr>
        <w:spacing w:line="276" w:lineRule="auto"/>
        <w:rPr>
          <w:rFonts w:ascii="Arial" w:hAnsi="Arial" w:cs="Arial"/>
          <w:sz w:val="32"/>
        </w:rPr>
      </w:pPr>
    </w:p>
    <w:sdt>
      <w:sdtPr>
        <w:rPr>
          <w:rFonts w:ascii="Arial" w:eastAsiaTheme="minorHAnsi" w:hAnsi="Arial" w:cs="Arial"/>
          <w:color w:val="auto"/>
          <w:sz w:val="22"/>
          <w:szCs w:val="22"/>
          <w:lang w:val="en-AU"/>
        </w:rPr>
        <w:id w:val="-1223983856"/>
        <w:docPartObj>
          <w:docPartGallery w:val="Table of Contents"/>
          <w:docPartUnique/>
        </w:docPartObj>
      </w:sdtPr>
      <w:sdtEndPr>
        <w:rPr>
          <w:b/>
          <w:bCs/>
          <w:noProof/>
        </w:rPr>
      </w:sdtEndPr>
      <w:sdtContent>
        <w:p w:rsidR="00810822" w:rsidRPr="00275017" w:rsidRDefault="00810822" w:rsidP="0057257B">
          <w:pPr>
            <w:pStyle w:val="TOCHeading"/>
            <w:spacing w:line="276" w:lineRule="auto"/>
            <w:rPr>
              <w:rFonts w:ascii="Arial" w:hAnsi="Arial" w:cs="Arial"/>
            </w:rPr>
          </w:pPr>
          <w:r w:rsidRPr="00275017">
            <w:rPr>
              <w:rFonts w:ascii="Arial" w:hAnsi="Arial" w:cs="Arial"/>
            </w:rPr>
            <w:t>Contents</w:t>
          </w:r>
        </w:p>
        <w:p w:rsidR="00DD6A2C" w:rsidRDefault="00B32F76">
          <w:pPr>
            <w:pStyle w:val="TOC1"/>
            <w:rPr>
              <w:rFonts w:eastAsiaTheme="minorEastAsia"/>
              <w:noProof/>
              <w:lang w:eastAsia="en-AU"/>
            </w:rPr>
          </w:pPr>
          <w:r>
            <w:rPr>
              <w:b/>
              <w:bCs/>
              <w:noProof/>
            </w:rPr>
            <w:fldChar w:fldCharType="begin"/>
          </w:r>
          <w:r>
            <w:rPr>
              <w:b/>
              <w:bCs/>
              <w:noProof/>
            </w:rPr>
            <w:instrText xml:space="preserve"> TOC \o "1-1" \h \z \u </w:instrText>
          </w:r>
          <w:r>
            <w:rPr>
              <w:b/>
              <w:bCs/>
              <w:noProof/>
            </w:rPr>
            <w:fldChar w:fldCharType="separate"/>
          </w:r>
          <w:hyperlink w:anchor="_Toc69917399" w:history="1">
            <w:r w:rsidR="00DD6A2C" w:rsidRPr="00C3776F">
              <w:rPr>
                <w:rStyle w:val="Hyperlink"/>
                <w:rFonts w:ascii="Arial" w:hAnsi="Arial" w:cs="Arial"/>
                <w:noProof/>
              </w:rPr>
              <w:t>1</w:t>
            </w:r>
            <w:r w:rsidR="00DD6A2C">
              <w:rPr>
                <w:rFonts w:eastAsiaTheme="minorEastAsia"/>
                <w:noProof/>
                <w:lang w:eastAsia="en-AU"/>
              </w:rPr>
              <w:tab/>
            </w:r>
            <w:r w:rsidR="00DD6A2C" w:rsidRPr="00C3776F">
              <w:rPr>
                <w:rStyle w:val="Hyperlink"/>
                <w:rFonts w:ascii="Arial" w:hAnsi="Arial" w:cs="Arial"/>
                <w:noProof/>
              </w:rPr>
              <w:t>Summary</w:t>
            </w:r>
            <w:r w:rsidR="00DD6A2C">
              <w:rPr>
                <w:noProof/>
                <w:webHidden/>
              </w:rPr>
              <w:tab/>
            </w:r>
            <w:r w:rsidR="00DD6A2C">
              <w:rPr>
                <w:noProof/>
                <w:webHidden/>
              </w:rPr>
              <w:fldChar w:fldCharType="begin"/>
            </w:r>
            <w:r w:rsidR="00DD6A2C">
              <w:rPr>
                <w:noProof/>
                <w:webHidden/>
              </w:rPr>
              <w:instrText xml:space="preserve"> PAGEREF _Toc69917399 \h </w:instrText>
            </w:r>
            <w:r w:rsidR="00DD6A2C">
              <w:rPr>
                <w:noProof/>
                <w:webHidden/>
              </w:rPr>
            </w:r>
            <w:r w:rsidR="00DD6A2C">
              <w:rPr>
                <w:noProof/>
                <w:webHidden/>
              </w:rPr>
              <w:fldChar w:fldCharType="separate"/>
            </w:r>
            <w:r w:rsidR="00DD6A2C">
              <w:rPr>
                <w:noProof/>
                <w:webHidden/>
              </w:rPr>
              <w:t>3</w:t>
            </w:r>
            <w:r w:rsidR="00DD6A2C">
              <w:rPr>
                <w:noProof/>
                <w:webHidden/>
              </w:rPr>
              <w:fldChar w:fldCharType="end"/>
            </w:r>
          </w:hyperlink>
        </w:p>
        <w:p w:rsidR="00DD6A2C" w:rsidRDefault="00DD6A2C">
          <w:pPr>
            <w:pStyle w:val="TOC1"/>
            <w:rPr>
              <w:rFonts w:eastAsiaTheme="minorEastAsia"/>
              <w:noProof/>
              <w:lang w:eastAsia="en-AU"/>
            </w:rPr>
          </w:pPr>
          <w:hyperlink w:anchor="_Toc69917400" w:history="1">
            <w:r w:rsidRPr="00C3776F">
              <w:rPr>
                <w:rStyle w:val="Hyperlink"/>
                <w:rFonts w:ascii="Arial" w:hAnsi="Arial" w:cs="Arial"/>
                <w:noProof/>
              </w:rPr>
              <w:t>2</w:t>
            </w:r>
            <w:r>
              <w:rPr>
                <w:rFonts w:eastAsiaTheme="minorEastAsia"/>
                <w:noProof/>
                <w:lang w:eastAsia="en-AU"/>
              </w:rPr>
              <w:tab/>
            </w:r>
            <w:r w:rsidRPr="00C3776F">
              <w:rPr>
                <w:rStyle w:val="Hyperlink"/>
                <w:rFonts w:ascii="Arial" w:hAnsi="Arial" w:cs="Arial"/>
                <w:noProof/>
              </w:rPr>
              <w:t>Background and context</w:t>
            </w:r>
            <w:r>
              <w:rPr>
                <w:noProof/>
                <w:webHidden/>
              </w:rPr>
              <w:tab/>
            </w:r>
            <w:r>
              <w:rPr>
                <w:noProof/>
                <w:webHidden/>
              </w:rPr>
              <w:fldChar w:fldCharType="begin"/>
            </w:r>
            <w:r>
              <w:rPr>
                <w:noProof/>
                <w:webHidden/>
              </w:rPr>
              <w:instrText xml:space="preserve"> PAGEREF _Toc69917400 \h </w:instrText>
            </w:r>
            <w:r>
              <w:rPr>
                <w:noProof/>
                <w:webHidden/>
              </w:rPr>
            </w:r>
            <w:r>
              <w:rPr>
                <w:noProof/>
                <w:webHidden/>
              </w:rPr>
              <w:fldChar w:fldCharType="separate"/>
            </w:r>
            <w:r>
              <w:rPr>
                <w:noProof/>
                <w:webHidden/>
              </w:rPr>
              <w:t>6</w:t>
            </w:r>
            <w:r>
              <w:rPr>
                <w:noProof/>
                <w:webHidden/>
              </w:rPr>
              <w:fldChar w:fldCharType="end"/>
            </w:r>
          </w:hyperlink>
        </w:p>
        <w:p w:rsidR="00DD6A2C" w:rsidRDefault="00DD6A2C">
          <w:pPr>
            <w:pStyle w:val="TOC1"/>
            <w:rPr>
              <w:rFonts w:eastAsiaTheme="minorEastAsia"/>
              <w:noProof/>
              <w:lang w:eastAsia="en-AU"/>
            </w:rPr>
          </w:pPr>
          <w:hyperlink w:anchor="_Toc69917401" w:history="1">
            <w:r w:rsidRPr="00C3776F">
              <w:rPr>
                <w:rStyle w:val="Hyperlink"/>
                <w:rFonts w:ascii="Arial" w:hAnsi="Arial" w:cs="Arial"/>
                <w:noProof/>
              </w:rPr>
              <w:t>3</w:t>
            </w:r>
            <w:r>
              <w:rPr>
                <w:rFonts w:eastAsiaTheme="minorEastAsia"/>
                <w:noProof/>
                <w:lang w:eastAsia="en-AU"/>
              </w:rPr>
              <w:tab/>
            </w:r>
            <w:r w:rsidRPr="00C3776F">
              <w:rPr>
                <w:rStyle w:val="Hyperlink"/>
                <w:rFonts w:ascii="Arial" w:hAnsi="Arial" w:cs="Arial"/>
                <w:noProof/>
              </w:rPr>
              <w:t>Problem definition</w:t>
            </w:r>
            <w:r>
              <w:rPr>
                <w:noProof/>
                <w:webHidden/>
              </w:rPr>
              <w:tab/>
            </w:r>
            <w:r>
              <w:rPr>
                <w:noProof/>
                <w:webHidden/>
              </w:rPr>
              <w:fldChar w:fldCharType="begin"/>
            </w:r>
            <w:r>
              <w:rPr>
                <w:noProof/>
                <w:webHidden/>
              </w:rPr>
              <w:instrText xml:space="preserve"> PAGEREF _Toc69917401 \h </w:instrText>
            </w:r>
            <w:r>
              <w:rPr>
                <w:noProof/>
                <w:webHidden/>
              </w:rPr>
            </w:r>
            <w:r>
              <w:rPr>
                <w:noProof/>
                <w:webHidden/>
              </w:rPr>
              <w:fldChar w:fldCharType="separate"/>
            </w:r>
            <w:r>
              <w:rPr>
                <w:noProof/>
                <w:webHidden/>
              </w:rPr>
              <w:t>11</w:t>
            </w:r>
            <w:r>
              <w:rPr>
                <w:noProof/>
                <w:webHidden/>
              </w:rPr>
              <w:fldChar w:fldCharType="end"/>
            </w:r>
          </w:hyperlink>
        </w:p>
        <w:p w:rsidR="00DD6A2C" w:rsidRDefault="00DD6A2C">
          <w:pPr>
            <w:pStyle w:val="TOC1"/>
            <w:rPr>
              <w:rFonts w:eastAsiaTheme="minorEastAsia"/>
              <w:noProof/>
              <w:lang w:eastAsia="en-AU"/>
            </w:rPr>
          </w:pPr>
          <w:hyperlink w:anchor="_Toc69917402" w:history="1">
            <w:r w:rsidRPr="00C3776F">
              <w:rPr>
                <w:rStyle w:val="Hyperlink"/>
                <w:rFonts w:ascii="Arial" w:hAnsi="Arial" w:cs="Arial"/>
                <w:noProof/>
              </w:rPr>
              <w:t>4</w:t>
            </w:r>
            <w:r>
              <w:rPr>
                <w:rFonts w:eastAsiaTheme="minorEastAsia"/>
                <w:noProof/>
                <w:lang w:eastAsia="en-AU"/>
              </w:rPr>
              <w:tab/>
            </w:r>
            <w:r w:rsidRPr="00C3776F">
              <w:rPr>
                <w:rStyle w:val="Hyperlink"/>
                <w:rFonts w:ascii="Arial" w:hAnsi="Arial" w:cs="Arial"/>
                <w:noProof/>
              </w:rPr>
              <w:t>Policy options and likely net benefit</w:t>
            </w:r>
            <w:r>
              <w:rPr>
                <w:noProof/>
                <w:webHidden/>
              </w:rPr>
              <w:tab/>
            </w:r>
            <w:r>
              <w:rPr>
                <w:noProof/>
                <w:webHidden/>
              </w:rPr>
              <w:fldChar w:fldCharType="begin"/>
            </w:r>
            <w:r>
              <w:rPr>
                <w:noProof/>
                <w:webHidden/>
              </w:rPr>
              <w:instrText xml:space="preserve"> PAGEREF _Toc69917402 \h </w:instrText>
            </w:r>
            <w:r>
              <w:rPr>
                <w:noProof/>
                <w:webHidden/>
              </w:rPr>
            </w:r>
            <w:r>
              <w:rPr>
                <w:noProof/>
                <w:webHidden/>
              </w:rPr>
              <w:fldChar w:fldCharType="separate"/>
            </w:r>
            <w:r>
              <w:rPr>
                <w:noProof/>
                <w:webHidden/>
              </w:rPr>
              <w:t>16</w:t>
            </w:r>
            <w:r>
              <w:rPr>
                <w:noProof/>
                <w:webHidden/>
              </w:rPr>
              <w:fldChar w:fldCharType="end"/>
            </w:r>
          </w:hyperlink>
        </w:p>
        <w:p w:rsidR="00DD6A2C" w:rsidRDefault="00DD6A2C">
          <w:pPr>
            <w:pStyle w:val="TOC1"/>
            <w:rPr>
              <w:rFonts w:eastAsiaTheme="minorEastAsia"/>
              <w:noProof/>
              <w:lang w:eastAsia="en-AU"/>
            </w:rPr>
          </w:pPr>
          <w:hyperlink w:anchor="_Toc69917403" w:history="1">
            <w:r w:rsidRPr="00C3776F">
              <w:rPr>
                <w:rStyle w:val="Hyperlink"/>
                <w:rFonts w:ascii="Arial" w:hAnsi="Arial" w:cs="Arial"/>
                <w:noProof/>
              </w:rPr>
              <w:t>5</w:t>
            </w:r>
            <w:r>
              <w:rPr>
                <w:rFonts w:eastAsiaTheme="minorEastAsia"/>
                <w:noProof/>
                <w:lang w:eastAsia="en-AU"/>
              </w:rPr>
              <w:tab/>
            </w:r>
            <w:r w:rsidRPr="00C3776F">
              <w:rPr>
                <w:rStyle w:val="Hyperlink"/>
                <w:rFonts w:ascii="Arial" w:hAnsi="Arial" w:cs="Arial"/>
                <w:noProof/>
              </w:rPr>
              <w:t>Impact analysis</w:t>
            </w:r>
            <w:r>
              <w:rPr>
                <w:noProof/>
                <w:webHidden/>
              </w:rPr>
              <w:tab/>
            </w:r>
            <w:r>
              <w:rPr>
                <w:noProof/>
                <w:webHidden/>
              </w:rPr>
              <w:fldChar w:fldCharType="begin"/>
            </w:r>
            <w:r>
              <w:rPr>
                <w:noProof/>
                <w:webHidden/>
              </w:rPr>
              <w:instrText xml:space="preserve"> PAGEREF _Toc69917403 \h </w:instrText>
            </w:r>
            <w:r>
              <w:rPr>
                <w:noProof/>
                <w:webHidden/>
              </w:rPr>
            </w:r>
            <w:r>
              <w:rPr>
                <w:noProof/>
                <w:webHidden/>
              </w:rPr>
              <w:fldChar w:fldCharType="separate"/>
            </w:r>
            <w:r>
              <w:rPr>
                <w:noProof/>
                <w:webHidden/>
              </w:rPr>
              <w:t>23</w:t>
            </w:r>
            <w:r>
              <w:rPr>
                <w:noProof/>
                <w:webHidden/>
              </w:rPr>
              <w:fldChar w:fldCharType="end"/>
            </w:r>
          </w:hyperlink>
        </w:p>
        <w:p w:rsidR="00DD6A2C" w:rsidRDefault="00DD6A2C">
          <w:pPr>
            <w:pStyle w:val="TOC1"/>
            <w:rPr>
              <w:rFonts w:eastAsiaTheme="minorEastAsia"/>
              <w:noProof/>
              <w:lang w:eastAsia="en-AU"/>
            </w:rPr>
          </w:pPr>
          <w:hyperlink w:anchor="_Toc69917404" w:history="1">
            <w:r w:rsidRPr="00C3776F">
              <w:rPr>
                <w:rStyle w:val="Hyperlink"/>
                <w:rFonts w:ascii="Arial" w:hAnsi="Arial" w:cs="Arial"/>
                <w:noProof/>
              </w:rPr>
              <w:t>6</w:t>
            </w:r>
            <w:r>
              <w:rPr>
                <w:rFonts w:eastAsiaTheme="minorEastAsia"/>
                <w:noProof/>
                <w:lang w:eastAsia="en-AU"/>
              </w:rPr>
              <w:tab/>
            </w:r>
            <w:r w:rsidRPr="00C3776F">
              <w:rPr>
                <w:rStyle w:val="Hyperlink"/>
                <w:rFonts w:ascii="Arial" w:hAnsi="Arial" w:cs="Arial"/>
                <w:noProof/>
              </w:rPr>
              <w:t>Consultation</w:t>
            </w:r>
            <w:r>
              <w:rPr>
                <w:noProof/>
                <w:webHidden/>
              </w:rPr>
              <w:tab/>
            </w:r>
            <w:r>
              <w:rPr>
                <w:noProof/>
                <w:webHidden/>
              </w:rPr>
              <w:fldChar w:fldCharType="begin"/>
            </w:r>
            <w:r>
              <w:rPr>
                <w:noProof/>
                <w:webHidden/>
              </w:rPr>
              <w:instrText xml:space="preserve"> PAGEREF _Toc69917404 \h </w:instrText>
            </w:r>
            <w:r>
              <w:rPr>
                <w:noProof/>
                <w:webHidden/>
              </w:rPr>
            </w:r>
            <w:r>
              <w:rPr>
                <w:noProof/>
                <w:webHidden/>
              </w:rPr>
              <w:fldChar w:fldCharType="separate"/>
            </w:r>
            <w:r>
              <w:rPr>
                <w:noProof/>
                <w:webHidden/>
              </w:rPr>
              <w:t>31</w:t>
            </w:r>
            <w:r>
              <w:rPr>
                <w:noProof/>
                <w:webHidden/>
              </w:rPr>
              <w:fldChar w:fldCharType="end"/>
            </w:r>
          </w:hyperlink>
        </w:p>
        <w:p w:rsidR="00DD6A2C" w:rsidRDefault="00DD6A2C">
          <w:pPr>
            <w:pStyle w:val="TOC1"/>
            <w:rPr>
              <w:rFonts w:eastAsiaTheme="minorEastAsia"/>
              <w:noProof/>
              <w:lang w:eastAsia="en-AU"/>
            </w:rPr>
          </w:pPr>
          <w:hyperlink w:anchor="_Toc69917405" w:history="1">
            <w:r w:rsidRPr="00C3776F">
              <w:rPr>
                <w:rStyle w:val="Hyperlink"/>
                <w:rFonts w:ascii="Arial" w:hAnsi="Arial" w:cs="Arial"/>
                <w:noProof/>
              </w:rPr>
              <w:t>7</w:t>
            </w:r>
            <w:r>
              <w:rPr>
                <w:rFonts w:eastAsiaTheme="minorEastAsia"/>
                <w:noProof/>
                <w:lang w:eastAsia="en-AU"/>
              </w:rPr>
              <w:tab/>
            </w:r>
            <w:r w:rsidRPr="00C3776F">
              <w:rPr>
                <w:rStyle w:val="Hyperlink"/>
                <w:rFonts w:ascii="Arial" w:hAnsi="Arial" w:cs="Arial"/>
                <w:noProof/>
              </w:rPr>
              <w:t>Preferred Option</w:t>
            </w:r>
            <w:r>
              <w:rPr>
                <w:noProof/>
                <w:webHidden/>
              </w:rPr>
              <w:tab/>
            </w:r>
            <w:r>
              <w:rPr>
                <w:noProof/>
                <w:webHidden/>
              </w:rPr>
              <w:fldChar w:fldCharType="begin"/>
            </w:r>
            <w:r>
              <w:rPr>
                <w:noProof/>
                <w:webHidden/>
              </w:rPr>
              <w:instrText xml:space="preserve"> PAGEREF _Toc69917405 \h </w:instrText>
            </w:r>
            <w:r>
              <w:rPr>
                <w:noProof/>
                <w:webHidden/>
              </w:rPr>
            </w:r>
            <w:r>
              <w:rPr>
                <w:noProof/>
                <w:webHidden/>
              </w:rPr>
              <w:fldChar w:fldCharType="separate"/>
            </w:r>
            <w:r>
              <w:rPr>
                <w:noProof/>
                <w:webHidden/>
              </w:rPr>
              <w:t>35</w:t>
            </w:r>
            <w:r>
              <w:rPr>
                <w:noProof/>
                <w:webHidden/>
              </w:rPr>
              <w:fldChar w:fldCharType="end"/>
            </w:r>
          </w:hyperlink>
        </w:p>
        <w:p w:rsidR="00DD6A2C" w:rsidRDefault="00DD6A2C">
          <w:pPr>
            <w:pStyle w:val="TOC1"/>
            <w:rPr>
              <w:rFonts w:eastAsiaTheme="minorEastAsia"/>
              <w:noProof/>
              <w:lang w:eastAsia="en-AU"/>
            </w:rPr>
          </w:pPr>
          <w:hyperlink w:anchor="_Toc69917406" w:history="1">
            <w:r w:rsidRPr="00C3776F">
              <w:rPr>
                <w:rStyle w:val="Hyperlink"/>
                <w:rFonts w:ascii="Arial" w:hAnsi="Arial" w:cs="Arial"/>
                <w:noProof/>
              </w:rPr>
              <w:t>8</w:t>
            </w:r>
            <w:r>
              <w:rPr>
                <w:rFonts w:eastAsiaTheme="minorEastAsia"/>
                <w:noProof/>
                <w:lang w:eastAsia="en-AU"/>
              </w:rPr>
              <w:tab/>
            </w:r>
            <w:r w:rsidRPr="00C3776F">
              <w:rPr>
                <w:rStyle w:val="Hyperlink"/>
                <w:rFonts w:ascii="Arial" w:hAnsi="Arial" w:cs="Arial"/>
                <w:noProof/>
              </w:rPr>
              <w:t>Implementation</w:t>
            </w:r>
            <w:r>
              <w:rPr>
                <w:noProof/>
                <w:webHidden/>
              </w:rPr>
              <w:tab/>
            </w:r>
            <w:r>
              <w:rPr>
                <w:noProof/>
                <w:webHidden/>
              </w:rPr>
              <w:fldChar w:fldCharType="begin"/>
            </w:r>
            <w:r>
              <w:rPr>
                <w:noProof/>
                <w:webHidden/>
              </w:rPr>
              <w:instrText xml:space="preserve"> PAGEREF _Toc69917406 \h </w:instrText>
            </w:r>
            <w:r>
              <w:rPr>
                <w:noProof/>
                <w:webHidden/>
              </w:rPr>
            </w:r>
            <w:r>
              <w:rPr>
                <w:noProof/>
                <w:webHidden/>
              </w:rPr>
              <w:fldChar w:fldCharType="separate"/>
            </w:r>
            <w:r>
              <w:rPr>
                <w:noProof/>
                <w:webHidden/>
              </w:rPr>
              <w:t>36</w:t>
            </w:r>
            <w:r>
              <w:rPr>
                <w:noProof/>
                <w:webHidden/>
              </w:rPr>
              <w:fldChar w:fldCharType="end"/>
            </w:r>
          </w:hyperlink>
        </w:p>
        <w:p w:rsidR="00810822" w:rsidRPr="00275017" w:rsidRDefault="00B32F76" w:rsidP="0057257B">
          <w:pPr>
            <w:spacing w:line="276" w:lineRule="auto"/>
            <w:rPr>
              <w:rFonts w:ascii="Arial" w:hAnsi="Arial" w:cs="Arial"/>
            </w:rPr>
          </w:pPr>
          <w:r>
            <w:rPr>
              <w:rFonts w:ascii="Arial" w:hAnsi="Arial" w:cs="Arial"/>
              <w:b/>
              <w:bCs/>
              <w:noProof/>
            </w:rPr>
            <w:fldChar w:fldCharType="end"/>
          </w:r>
        </w:p>
      </w:sdtContent>
    </w:sdt>
    <w:p w:rsidR="00810822" w:rsidRPr="00275017" w:rsidRDefault="00810822" w:rsidP="0057257B">
      <w:pPr>
        <w:pStyle w:val="BodyCopy"/>
        <w:spacing w:line="276" w:lineRule="auto"/>
        <w:rPr>
          <w:rFonts w:cs="Arial"/>
        </w:rPr>
      </w:pPr>
      <w:r w:rsidRPr="00275017">
        <w:rPr>
          <w:rFonts w:cs="Arial"/>
        </w:rPr>
        <w:br w:type="page"/>
      </w:r>
    </w:p>
    <w:p w:rsidR="0061412C" w:rsidRDefault="0061412C" w:rsidP="0057257B">
      <w:pPr>
        <w:pStyle w:val="Heading1"/>
        <w:numPr>
          <w:ilvl w:val="0"/>
          <w:numId w:val="11"/>
        </w:numPr>
        <w:spacing w:after="0" w:line="276" w:lineRule="auto"/>
        <w:rPr>
          <w:rFonts w:ascii="Arial" w:hAnsi="Arial" w:cs="Arial"/>
        </w:rPr>
      </w:pPr>
      <w:bookmarkStart w:id="8" w:name="_Toc69917399"/>
      <w:r>
        <w:rPr>
          <w:rFonts w:ascii="Arial" w:hAnsi="Arial" w:cs="Arial"/>
        </w:rPr>
        <w:t>Summary</w:t>
      </w:r>
      <w:bookmarkEnd w:id="8"/>
    </w:p>
    <w:p w:rsidR="0061412C" w:rsidRDefault="0061412C" w:rsidP="0057257B">
      <w:pPr>
        <w:spacing w:line="276" w:lineRule="auto"/>
      </w:pPr>
    </w:p>
    <w:p w:rsidR="00E22729" w:rsidRPr="006D70EA" w:rsidRDefault="00E22729" w:rsidP="0057257B">
      <w:pPr>
        <w:spacing w:line="276" w:lineRule="auto"/>
        <w:rPr>
          <w:rFonts w:ascii="Arial" w:hAnsi="Arial" w:cs="Arial"/>
          <w:b/>
          <w:i/>
          <w:sz w:val="24"/>
          <w:szCs w:val="24"/>
        </w:rPr>
      </w:pPr>
      <w:r w:rsidRPr="006D70EA">
        <w:rPr>
          <w:rFonts w:ascii="Arial" w:hAnsi="Arial" w:cs="Arial"/>
          <w:b/>
          <w:i/>
          <w:sz w:val="24"/>
          <w:szCs w:val="24"/>
        </w:rPr>
        <w:t xml:space="preserve">What technologies </w:t>
      </w:r>
      <w:r w:rsidR="00852666">
        <w:rPr>
          <w:rFonts w:ascii="Arial" w:hAnsi="Arial" w:cs="Arial"/>
          <w:b/>
          <w:i/>
          <w:sz w:val="24"/>
          <w:szCs w:val="24"/>
        </w:rPr>
        <w:t>could</w:t>
      </w:r>
      <w:r w:rsidR="00852666" w:rsidRPr="006D70EA">
        <w:rPr>
          <w:rFonts w:ascii="Arial" w:hAnsi="Arial" w:cs="Arial"/>
          <w:b/>
          <w:i/>
          <w:sz w:val="24"/>
          <w:szCs w:val="24"/>
        </w:rPr>
        <w:t xml:space="preserve"> </w:t>
      </w:r>
      <w:r>
        <w:rPr>
          <w:rFonts w:ascii="Arial" w:hAnsi="Arial" w:cs="Arial"/>
          <w:b/>
          <w:i/>
          <w:sz w:val="24"/>
          <w:szCs w:val="24"/>
        </w:rPr>
        <w:t xml:space="preserve">the </w:t>
      </w:r>
      <w:r w:rsidRPr="006D70EA">
        <w:rPr>
          <w:rFonts w:ascii="Arial" w:hAnsi="Arial" w:cs="Arial"/>
          <w:b/>
          <w:i/>
          <w:sz w:val="24"/>
          <w:szCs w:val="24"/>
        </w:rPr>
        <w:t xml:space="preserve">offshore </w:t>
      </w:r>
      <w:r w:rsidR="00FB1E6B">
        <w:rPr>
          <w:rFonts w:ascii="Arial" w:hAnsi="Arial" w:cs="Arial"/>
          <w:b/>
          <w:i/>
          <w:sz w:val="24"/>
          <w:szCs w:val="24"/>
        </w:rPr>
        <w:t>electricity infrastructure</w:t>
      </w:r>
      <w:r w:rsidRPr="006D70EA">
        <w:rPr>
          <w:rFonts w:ascii="Arial" w:hAnsi="Arial" w:cs="Arial"/>
          <w:b/>
          <w:i/>
          <w:sz w:val="24"/>
          <w:szCs w:val="24"/>
        </w:rPr>
        <w:t xml:space="preserve"> </w:t>
      </w:r>
      <w:r>
        <w:rPr>
          <w:rFonts w:ascii="Arial" w:hAnsi="Arial" w:cs="Arial"/>
          <w:b/>
          <w:i/>
          <w:sz w:val="24"/>
          <w:szCs w:val="24"/>
        </w:rPr>
        <w:t>legislative framework facilitate</w:t>
      </w:r>
      <w:r w:rsidRPr="006D70EA">
        <w:rPr>
          <w:rFonts w:ascii="Arial" w:hAnsi="Arial" w:cs="Arial"/>
          <w:b/>
          <w:i/>
          <w:sz w:val="24"/>
          <w:szCs w:val="24"/>
        </w:rPr>
        <w:t>?</w:t>
      </w:r>
    </w:p>
    <w:p w:rsidR="00E22729" w:rsidRDefault="00E22729" w:rsidP="0057257B">
      <w:pPr>
        <w:pStyle w:val="Bulletlist"/>
        <w:spacing w:line="276" w:lineRule="auto"/>
        <w:ind w:left="714" w:hanging="357"/>
      </w:pPr>
      <w:r w:rsidRPr="00355787">
        <w:t xml:space="preserve">Offshore </w:t>
      </w:r>
      <w:r w:rsidR="00FB1E6B">
        <w:t>electricity infrastructure</w:t>
      </w:r>
      <w:r w:rsidRPr="00355787">
        <w:t xml:space="preserve"> includes offshore </w:t>
      </w:r>
      <w:r w:rsidR="00972B74">
        <w:t xml:space="preserve">transmission infrastructure, </w:t>
      </w:r>
      <w:r w:rsidRPr="00355787">
        <w:t>wind, wave and tidal power</w:t>
      </w:r>
      <w:r w:rsidR="00C843B5">
        <w:t>, and</w:t>
      </w:r>
      <w:r w:rsidRPr="00355787">
        <w:t xml:space="preserve"> emerging technologies </w:t>
      </w:r>
      <w:r w:rsidR="00C843B5">
        <w:t>such as</w:t>
      </w:r>
      <w:r w:rsidRPr="00355787">
        <w:t xml:space="preserve"> ocean thermal energy</w:t>
      </w:r>
      <w:r w:rsidR="00FE5466">
        <w:t xml:space="preserve">. The framework </w:t>
      </w:r>
      <w:r w:rsidR="00852666">
        <w:t xml:space="preserve">would </w:t>
      </w:r>
      <w:r w:rsidR="00FE5466">
        <w:t>apply</w:t>
      </w:r>
      <w:r w:rsidR="001074FF" w:rsidRPr="001074FF">
        <w:t xml:space="preserve"> </w:t>
      </w:r>
      <w:r w:rsidR="001074FF" w:rsidRPr="00FB66FB">
        <w:t xml:space="preserve">in </w:t>
      </w:r>
      <w:r w:rsidR="00715324">
        <w:t>Commonwealth</w:t>
      </w:r>
      <w:r w:rsidR="001074FF" w:rsidRPr="00FB66FB">
        <w:t xml:space="preserve"> waters beyond three nautical miles from the coast to the outer limit of Australia’s Exclusive Economic Zone</w:t>
      </w:r>
      <w:r>
        <w:t>.</w:t>
      </w:r>
      <w:r w:rsidR="00616159">
        <w:t xml:space="preserve"> </w:t>
      </w:r>
    </w:p>
    <w:p w:rsidR="00FC3C41" w:rsidRPr="00FC3C41" w:rsidRDefault="00FC3C41" w:rsidP="00FC3C41">
      <w:pPr>
        <w:pStyle w:val="Bulletlist"/>
        <w:numPr>
          <w:ilvl w:val="0"/>
          <w:numId w:val="0"/>
        </w:numPr>
        <w:spacing w:line="276" w:lineRule="auto"/>
        <w:ind w:left="714"/>
      </w:pPr>
    </w:p>
    <w:p w:rsidR="00E22729" w:rsidRPr="006D70EA" w:rsidRDefault="00E22729" w:rsidP="0057257B">
      <w:pPr>
        <w:autoSpaceDE w:val="0"/>
        <w:autoSpaceDN w:val="0"/>
        <w:adjustRightInd w:val="0"/>
        <w:spacing w:after="0" w:line="276" w:lineRule="auto"/>
        <w:rPr>
          <w:rFonts w:ascii="Arial" w:hAnsi="Arial" w:cs="Arial"/>
          <w:color w:val="424242"/>
          <w:sz w:val="24"/>
          <w:szCs w:val="24"/>
        </w:rPr>
      </w:pPr>
      <w:r w:rsidRPr="00FC3C41">
        <w:rPr>
          <w:rFonts w:ascii="Arial" w:hAnsi="Arial" w:cs="Arial"/>
          <w:b/>
          <w:i/>
          <w:sz w:val="24"/>
          <w:szCs w:val="24"/>
        </w:rPr>
        <w:t>Why implement this legislation now?</w:t>
      </w:r>
    </w:p>
    <w:p w:rsidR="00E22729" w:rsidRDefault="00E22729" w:rsidP="0057257B">
      <w:pPr>
        <w:pStyle w:val="Bulletlist"/>
        <w:spacing w:line="276" w:lineRule="auto"/>
        <w:ind w:left="714" w:hanging="357"/>
      </w:pPr>
      <w:r w:rsidRPr="003A2238">
        <w:t xml:space="preserve">Offshore </w:t>
      </w:r>
      <w:r w:rsidR="00AF7315">
        <w:t>electricity</w:t>
      </w:r>
      <w:r w:rsidR="00AF7315" w:rsidRPr="003A2238">
        <w:t xml:space="preserve"> </w:t>
      </w:r>
      <w:r w:rsidR="00FB1E6B">
        <w:t xml:space="preserve">infrastructure </w:t>
      </w:r>
      <w:r w:rsidRPr="003A2238">
        <w:t>requires long</w:t>
      </w:r>
      <w:r w:rsidR="003278FC">
        <w:t>-</w:t>
      </w:r>
      <w:r w:rsidRPr="003A2238">
        <w:t xml:space="preserve">term planning: </w:t>
      </w:r>
      <w:r w:rsidR="00687B75">
        <w:t xml:space="preserve">the time </w:t>
      </w:r>
      <w:r w:rsidRPr="003A2238">
        <w:t>between pre</w:t>
      </w:r>
      <w:r w:rsidR="003278FC">
        <w:noBreakHyphen/>
      </w:r>
      <w:r w:rsidRPr="003A2238">
        <w:t>assessment a</w:t>
      </w:r>
      <w:r>
        <w:t>n</w:t>
      </w:r>
      <w:r w:rsidRPr="003A2238">
        <w:t>d project commissioning may be in the order of 10 years</w:t>
      </w:r>
      <w:r>
        <w:t>.</w:t>
      </w:r>
    </w:p>
    <w:p w:rsidR="000F085C" w:rsidRDefault="00E22729" w:rsidP="0057257B">
      <w:pPr>
        <w:pStyle w:val="Bulletlist"/>
        <w:spacing w:line="276" w:lineRule="auto"/>
        <w:ind w:left="714" w:hanging="357"/>
      </w:pPr>
      <w:r w:rsidRPr="003A2238">
        <w:t>A relatively modest investment from government to develop</w:t>
      </w:r>
      <w:r w:rsidR="00EF4E81">
        <w:t xml:space="preserve"> the legislative framework</w:t>
      </w:r>
      <w:r w:rsidRPr="003A2238">
        <w:t xml:space="preserve"> may enable billion</w:t>
      </w:r>
      <w:r>
        <w:t>s</w:t>
      </w:r>
      <w:r w:rsidRPr="003A2238">
        <w:t xml:space="preserve"> of dollars of new investment.</w:t>
      </w:r>
    </w:p>
    <w:p w:rsidR="00E22729" w:rsidRPr="003A2238" w:rsidRDefault="000F085C" w:rsidP="0057257B">
      <w:pPr>
        <w:pStyle w:val="Bulletlist"/>
        <w:spacing w:line="276" w:lineRule="auto"/>
        <w:ind w:left="714" w:hanging="357"/>
      </w:pPr>
      <w:r>
        <w:t>If even one of the projects proposed below were to proceed, this would more than cover the relatively limited regulatory development costs</w:t>
      </w:r>
      <w:r w:rsidR="00FB653F">
        <w:t xml:space="preserve"> for government</w:t>
      </w:r>
      <w:r>
        <w:t xml:space="preserve">, and on the basis of basic national cost-benefit assessment, create a strong case for </w:t>
      </w:r>
      <w:r w:rsidR="00FB653F">
        <w:t xml:space="preserve">this investment off-setting any costs to affected industries. </w:t>
      </w:r>
    </w:p>
    <w:p w:rsidR="00E22729" w:rsidRDefault="00E22729" w:rsidP="0057257B">
      <w:pPr>
        <w:spacing w:before="120" w:after="120" w:line="276" w:lineRule="auto"/>
        <w:rPr>
          <w:rFonts w:ascii="Arial" w:hAnsi="Arial" w:cs="Arial"/>
          <w:b/>
          <w:i/>
          <w:sz w:val="24"/>
          <w:szCs w:val="24"/>
        </w:rPr>
      </w:pPr>
    </w:p>
    <w:p w:rsidR="00E22729" w:rsidRPr="006D70EA" w:rsidRDefault="00E22729" w:rsidP="0057257B">
      <w:pPr>
        <w:autoSpaceDE w:val="0"/>
        <w:autoSpaceDN w:val="0"/>
        <w:adjustRightInd w:val="0"/>
        <w:spacing w:after="0" w:line="276" w:lineRule="auto"/>
        <w:rPr>
          <w:rFonts w:ascii="Arial" w:hAnsi="Arial" w:cs="Arial"/>
          <w:color w:val="424242"/>
          <w:sz w:val="24"/>
          <w:szCs w:val="24"/>
        </w:rPr>
      </w:pPr>
      <w:r w:rsidRPr="00FC3C41">
        <w:rPr>
          <w:rFonts w:ascii="Arial" w:hAnsi="Arial" w:cs="Arial"/>
          <w:b/>
          <w:i/>
          <w:sz w:val="24"/>
          <w:szCs w:val="24"/>
        </w:rPr>
        <w:t xml:space="preserve">What projects </w:t>
      </w:r>
      <w:r w:rsidR="00E241A0">
        <w:rPr>
          <w:rFonts w:ascii="Arial" w:hAnsi="Arial" w:cs="Arial"/>
          <w:b/>
          <w:i/>
          <w:sz w:val="24"/>
          <w:szCs w:val="24"/>
        </w:rPr>
        <w:t xml:space="preserve">could </w:t>
      </w:r>
      <w:r w:rsidRPr="00FC3C41">
        <w:rPr>
          <w:rFonts w:ascii="Arial" w:hAnsi="Arial" w:cs="Arial"/>
          <w:b/>
          <w:i/>
          <w:sz w:val="24"/>
          <w:szCs w:val="24"/>
        </w:rPr>
        <w:t>this legislation enable?</w:t>
      </w:r>
    </w:p>
    <w:p w:rsidR="00FB4C42" w:rsidRDefault="00BB0D21" w:rsidP="0057257B">
      <w:pPr>
        <w:pStyle w:val="Bulletlist"/>
        <w:spacing w:line="276" w:lineRule="auto"/>
        <w:ind w:left="714" w:hanging="357"/>
      </w:pPr>
      <w:r>
        <w:t>The</w:t>
      </w:r>
      <w:r w:rsidR="00E22729" w:rsidRPr="00225015">
        <w:t xml:space="preserve"> most high profile projects</w:t>
      </w:r>
      <w:r w:rsidR="00E241A0">
        <w:t xml:space="preserve"> potentially</w:t>
      </w:r>
      <w:r w:rsidR="00E22729" w:rsidRPr="00225015">
        <w:t xml:space="preserve"> enabled by this legislation are</w:t>
      </w:r>
      <w:r w:rsidR="00FB4C42">
        <w:t>:</w:t>
      </w:r>
    </w:p>
    <w:p w:rsidR="006744CF" w:rsidRDefault="00E22729" w:rsidP="00765267">
      <w:pPr>
        <w:pStyle w:val="Bulletlist"/>
        <w:numPr>
          <w:ilvl w:val="1"/>
          <w:numId w:val="35"/>
        </w:numPr>
        <w:spacing w:line="276" w:lineRule="auto"/>
      </w:pPr>
      <w:r w:rsidRPr="00225015">
        <w:t xml:space="preserve">Marinus Link </w:t>
      </w:r>
      <w:r w:rsidR="00FB4C42">
        <w:t>transmission infrastructure between Tasmania and Victoria</w:t>
      </w:r>
      <w:r w:rsidR="00C843B5">
        <w:t>,</w:t>
      </w:r>
      <w:r w:rsidR="00FB4C42">
        <w:t xml:space="preserve"> </w:t>
      </w:r>
      <w:r w:rsidRPr="00225015">
        <w:t>being managed by TasNetworks</w:t>
      </w:r>
      <w:r w:rsidR="00FB4C42">
        <w:t xml:space="preserve">. It </w:t>
      </w:r>
      <w:r w:rsidR="0066069C">
        <w:t>is estimated</w:t>
      </w:r>
      <w:r w:rsidR="008239B8">
        <w:t xml:space="preserve"> to</w:t>
      </w:r>
      <w:r w:rsidR="0066069C">
        <w:t xml:space="preserve"> </w:t>
      </w:r>
      <w:r w:rsidR="00142655">
        <w:t>cost in the order of $3.</w:t>
      </w:r>
      <w:r w:rsidR="00765267">
        <w:t>5 </w:t>
      </w:r>
      <w:r w:rsidR="00142655">
        <w:t xml:space="preserve">billion to construct. </w:t>
      </w:r>
    </w:p>
    <w:p w:rsidR="00FB1E6B" w:rsidRDefault="00FB1E6B" w:rsidP="002D5AC3">
      <w:pPr>
        <w:pStyle w:val="Bulletlist"/>
        <w:numPr>
          <w:ilvl w:val="3"/>
          <w:numId w:val="13"/>
        </w:numPr>
        <w:spacing w:line="276" w:lineRule="auto"/>
      </w:pPr>
      <w:r w:rsidRPr="006C6FD3">
        <w:t>Marinus Link will provide the additional interconnection needed to export the electricity generated by the Battery of the Nation projects to the mainland. In doing so, it will unlock a pipeline of new renewable energy investment, including pumped hydro energy storage</w:t>
      </w:r>
      <w:r>
        <w:t>.</w:t>
      </w:r>
    </w:p>
    <w:p w:rsidR="00FB1E6B" w:rsidRDefault="00FB1E6B" w:rsidP="002D5AC3">
      <w:pPr>
        <w:pStyle w:val="Bulletlist"/>
        <w:numPr>
          <w:ilvl w:val="3"/>
          <w:numId w:val="13"/>
        </w:numPr>
        <w:spacing w:line="276" w:lineRule="auto"/>
      </w:pPr>
      <w:r w:rsidRPr="00D258B0">
        <w:t xml:space="preserve">Marinus Link will enable the export of an additional 1,500 </w:t>
      </w:r>
      <w:r w:rsidR="00824FF0">
        <w:t>megawatts (</w:t>
      </w:r>
      <w:r>
        <w:t>MW</w:t>
      </w:r>
      <w:r w:rsidR="00824FF0">
        <w:t>)</w:t>
      </w:r>
      <w:r w:rsidRPr="00D258B0">
        <w:t xml:space="preserve"> of capacity to the mainland.</w:t>
      </w:r>
    </w:p>
    <w:p w:rsidR="00F857A3" w:rsidRDefault="008D39C4" w:rsidP="00F857A3">
      <w:pPr>
        <w:pStyle w:val="Bulletlist"/>
        <w:numPr>
          <w:ilvl w:val="3"/>
          <w:numId w:val="13"/>
        </w:numPr>
        <w:spacing w:line="276" w:lineRule="auto"/>
      </w:pPr>
      <w:r w:rsidRPr="00D258B0">
        <w:t>The economic benefits of Marinus Link for Tasmania and Victoria are estimated at $2.9 billion.</w:t>
      </w:r>
    </w:p>
    <w:p w:rsidR="00FB4C42" w:rsidRDefault="00790FBF" w:rsidP="00C070EB">
      <w:pPr>
        <w:pStyle w:val="Bulletlist"/>
        <w:numPr>
          <w:ilvl w:val="1"/>
          <w:numId w:val="35"/>
        </w:numPr>
        <w:spacing w:line="276" w:lineRule="auto"/>
      </w:pPr>
      <w:r>
        <w:t xml:space="preserve">The </w:t>
      </w:r>
      <w:r w:rsidR="00055B0C">
        <w:t xml:space="preserve">installation of the </w:t>
      </w:r>
      <w:r>
        <w:t>Bas</w:t>
      </w:r>
      <w:r w:rsidR="00055B0C">
        <w:t xml:space="preserve">slink interconnector </w:t>
      </w:r>
      <w:r>
        <w:t xml:space="preserve">was </w:t>
      </w:r>
      <w:r w:rsidR="00055B0C">
        <w:t>enabled</w:t>
      </w:r>
      <w:r>
        <w:t xml:space="preserve"> under the </w:t>
      </w:r>
      <w:r w:rsidRPr="00B40D58">
        <w:rPr>
          <w:i/>
        </w:rPr>
        <w:t>Sea Installation Act</w:t>
      </w:r>
      <w:r w:rsidR="006A1C73" w:rsidRPr="00D679E4">
        <w:rPr>
          <w:i/>
        </w:rPr>
        <w:t xml:space="preserve"> 1987</w:t>
      </w:r>
      <w:r>
        <w:t>, though the permitting elements of th</w:t>
      </w:r>
      <w:r w:rsidR="00C843B5">
        <w:t>at</w:t>
      </w:r>
      <w:r>
        <w:t xml:space="preserve"> Act were repealed in 2014. </w:t>
      </w:r>
    </w:p>
    <w:p w:rsidR="00FB1E6B" w:rsidRDefault="00FB1E6B" w:rsidP="002D5AC3">
      <w:pPr>
        <w:pStyle w:val="Bulletlist"/>
        <w:numPr>
          <w:ilvl w:val="1"/>
          <w:numId w:val="35"/>
        </w:numPr>
        <w:spacing w:line="276" w:lineRule="auto"/>
      </w:pPr>
      <w:r w:rsidRPr="00225015">
        <w:t xml:space="preserve">Star of the South </w:t>
      </w:r>
      <w:r>
        <w:t>offshore wind farm proposal</w:t>
      </w:r>
      <w:r w:rsidRPr="00225015">
        <w:t xml:space="preserve"> by Copenhagen Infrastructure Partners</w:t>
      </w:r>
      <w:r>
        <w:t>, with development costs in the order of $8-10 billion and an installed capacity of 2 gigawatts</w:t>
      </w:r>
      <w:r w:rsidR="00824FF0">
        <w:t xml:space="preserve"> (GW)</w:t>
      </w:r>
      <w:r>
        <w:t>.</w:t>
      </w:r>
    </w:p>
    <w:p w:rsidR="00EF4E81" w:rsidRPr="00225015" w:rsidRDefault="00EF4E81" w:rsidP="003278FC">
      <w:pPr>
        <w:pStyle w:val="Bulletlist"/>
        <w:numPr>
          <w:ilvl w:val="0"/>
          <w:numId w:val="0"/>
        </w:numPr>
        <w:spacing w:line="276" w:lineRule="auto"/>
        <w:ind w:left="1440"/>
      </w:pPr>
    </w:p>
    <w:p w:rsidR="008A5C1A" w:rsidRDefault="00EF4E81" w:rsidP="0057257B">
      <w:pPr>
        <w:pStyle w:val="Bulletlist"/>
        <w:spacing w:line="276" w:lineRule="auto"/>
        <w:ind w:left="714" w:hanging="357"/>
      </w:pPr>
      <w:r w:rsidRPr="00225015">
        <w:t xml:space="preserve">To date, </w:t>
      </w:r>
      <w:r w:rsidR="00C843B5">
        <w:t xml:space="preserve">the </w:t>
      </w:r>
      <w:r w:rsidR="00824FF0">
        <w:t>Australian G</w:t>
      </w:r>
      <w:r w:rsidR="00782E24">
        <w:t>overnment</w:t>
      </w:r>
      <w:r w:rsidRPr="00225015">
        <w:t xml:space="preserve"> has been approached with </w:t>
      </w:r>
      <w:r w:rsidR="004F1E4C">
        <w:t>nine</w:t>
      </w:r>
      <w:r w:rsidR="004F1E4C" w:rsidRPr="00225015">
        <w:t xml:space="preserve"> </w:t>
      </w:r>
      <w:r w:rsidRPr="00225015">
        <w:t xml:space="preserve">further large scale offshore wind proposals in locations around Australia, </w:t>
      </w:r>
      <w:r w:rsidR="00782E24">
        <w:t xml:space="preserve">including </w:t>
      </w:r>
      <w:r w:rsidRPr="00225015">
        <w:t>the recently announced 1.1 GW offshore off Geraldton in Western Australia by Pilot Energy.</w:t>
      </w:r>
    </w:p>
    <w:p w:rsidR="001E6235" w:rsidRDefault="008A5C1A" w:rsidP="002D5AC3">
      <w:pPr>
        <w:pStyle w:val="Bulletlist"/>
        <w:numPr>
          <w:ilvl w:val="2"/>
          <w:numId w:val="13"/>
        </w:numPr>
        <w:spacing w:line="276" w:lineRule="auto"/>
      </w:pPr>
      <w:r>
        <w:t xml:space="preserve">Due to commercial confidentiality, </w:t>
      </w:r>
      <w:r w:rsidR="00BB0D21">
        <w:t xml:space="preserve">other </w:t>
      </w:r>
      <w:r>
        <w:t xml:space="preserve">projects cannot </w:t>
      </w:r>
      <w:r w:rsidR="00E241A0">
        <w:t xml:space="preserve">be </w:t>
      </w:r>
      <w:r w:rsidR="00FE5466">
        <w:t xml:space="preserve">publically </w:t>
      </w:r>
      <w:r>
        <w:t xml:space="preserve">identified at this stage. </w:t>
      </w:r>
      <w:r w:rsidR="00EF4E81" w:rsidRPr="00225015">
        <w:t xml:space="preserve"> </w:t>
      </w:r>
    </w:p>
    <w:p w:rsidR="00EF4E81" w:rsidRPr="00225015" w:rsidRDefault="001E6235" w:rsidP="002D5AC3">
      <w:pPr>
        <w:pStyle w:val="Bulletlist"/>
        <w:spacing w:line="276" w:lineRule="auto"/>
        <w:ind w:left="714" w:hanging="357"/>
      </w:pPr>
      <w:r>
        <w:t>Without a regulatory framework in place,</w:t>
      </w:r>
      <w:r w:rsidR="00E241A0">
        <w:t xml:space="preserve"> </w:t>
      </w:r>
      <w:r>
        <w:t xml:space="preserve">these </w:t>
      </w:r>
      <w:r w:rsidR="00972B74">
        <w:t xml:space="preserve">transmission and generation </w:t>
      </w:r>
      <w:r>
        <w:t xml:space="preserve">proposals </w:t>
      </w:r>
      <w:r w:rsidR="00EF6E02">
        <w:t xml:space="preserve">may only be possible </w:t>
      </w:r>
      <w:r w:rsidR="00C843B5">
        <w:t>with</w:t>
      </w:r>
      <w:r w:rsidR="00E241A0">
        <w:t xml:space="preserve"> </w:t>
      </w:r>
      <w:r w:rsidR="00EF6E02">
        <w:t>highly uncertain</w:t>
      </w:r>
      <w:r w:rsidR="008D34FA">
        <w:t>,</w:t>
      </w:r>
      <w:r w:rsidR="00EF6E02">
        <w:t xml:space="preserve"> </w:t>
      </w:r>
      <w:r w:rsidR="00E241A0">
        <w:t>protracted and complex bespoke licensing arrangements.</w:t>
      </w:r>
      <w:r>
        <w:t xml:space="preserve"> </w:t>
      </w:r>
      <w:r w:rsidR="00EF4E81" w:rsidRPr="00225015">
        <w:t xml:space="preserve">  </w:t>
      </w:r>
    </w:p>
    <w:p w:rsidR="00E22729" w:rsidRDefault="00E22729" w:rsidP="0057257B">
      <w:pPr>
        <w:spacing w:before="120" w:after="120" w:line="276" w:lineRule="auto"/>
        <w:rPr>
          <w:rFonts w:ascii="Arial" w:hAnsi="Arial" w:cs="Arial"/>
          <w:b/>
          <w:i/>
          <w:sz w:val="24"/>
          <w:szCs w:val="24"/>
        </w:rPr>
      </w:pPr>
    </w:p>
    <w:p w:rsidR="00E22729" w:rsidRPr="006D70EA" w:rsidRDefault="00E22729" w:rsidP="0057257B">
      <w:pPr>
        <w:spacing w:before="120" w:after="120" w:line="276" w:lineRule="auto"/>
        <w:rPr>
          <w:rFonts w:ascii="Arial" w:hAnsi="Arial" w:cs="Arial"/>
          <w:b/>
          <w:i/>
          <w:sz w:val="24"/>
          <w:szCs w:val="24"/>
        </w:rPr>
      </w:pPr>
      <w:r w:rsidRPr="006D70EA">
        <w:rPr>
          <w:rFonts w:ascii="Arial" w:hAnsi="Arial" w:cs="Arial"/>
          <w:b/>
          <w:i/>
          <w:sz w:val="24"/>
          <w:szCs w:val="24"/>
        </w:rPr>
        <w:t>What has changed</w:t>
      </w:r>
      <w:r w:rsidR="00225015">
        <w:rPr>
          <w:rFonts w:ascii="Arial" w:hAnsi="Arial" w:cs="Arial"/>
          <w:b/>
          <w:i/>
          <w:sz w:val="24"/>
          <w:szCs w:val="24"/>
        </w:rPr>
        <w:t xml:space="preserve"> for the offshore </w:t>
      </w:r>
      <w:r w:rsidR="00C070EB">
        <w:rPr>
          <w:rFonts w:ascii="Arial" w:hAnsi="Arial" w:cs="Arial"/>
          <w:b/>
          <w:i/>
          <w:sz w:val="24"/>
          <w:szCs w:val="24"/>
        </w:rPr>
        <w:t xml:space="preserve">electricity </w:t>
      </w:r>
      <w:r w:rsidR="00225015">
        <w:rPr>
          <w:rFonts w:ascii="Arial" w:hAnsi="Arial" w:cs="Arial"/>
          <w:b/>
          <w:i/>
          <w:sz w:val="24"/>
          <w:szCs w:val="24"/>
        </w:rPr>
        <w:t>sector</w:t>
      </w:r>
      <w:r w:rsidRPr="006D70EA">
        <w:rPr>
          <w:rFonts w:ascii="Arial" w:hAnsi="Arial" w:cs="Arial"/>
          <w:b/>
          <w:i/>
          <w:sz w:val="24"/>
          <w:szCs w:val="24"/>
        </w:rPr>
        <w:t>?</w:t>
      </w:r>
    </w:p>
    <w:p w:rsidR="00972B74" w:rsidRDefault="00972B74" w:rsidP="00972B74">
      <w:pPr>
        <w:pStyle w:val="Bulletlist"/>
        <w:spacing w:line="276" w:lineRule="auto"/>
        <w:ind w:left="709" w:hanging="283"/>
      </w:pPr>
      <w:r>
        <w:t>A number of new subsea transmission links have been built or proposed to support improved reliability and access to generation. In Australia Marinus Link will help share reliable</w:t>
      </w:r>
      <w:r>
        <w:t xml:space="preserve"> energy resources between Tasmania and the mainland so as to better </w:t>
      </w:r>
      <w:r w:rsidRPr="005E1E81">
        <w:t xml:space="preserve">manage the impact and rapid uptake </w:t>
      </w:r>
      <w:r w:rsidRPr="003278D0">
        <w:t>of variable wind and solar technologies</w:t>
      </w:r>
      <w:r>
        <w:t xml:space="preserve">. </w:t>
      </w:r>
    </w:p>
    <w:p w:rsidR="00972B74" w:rsidRDefault="00972B74" w:rsidP="00972B74">
      <w:pPr>
        <w:pStyle w:val="Bulletlist"/>
        <w:numPr>
          <w:ilvl w:val="2"/>
          <w:numId w:val="13"/>
        </w:numPr>
        <w:spacing w:line="276" w:lineRule="auto"/>
      </w:pPr>
      <w:r>
        <w:t>Marinus Link was identified by the Australian Energy Market Operator</w:t>
      </w:r>
      <w:r w:rsidR="003278FC">
        <w:t xml:space="preserve"> (AEMO)</w:t>
      </w:r>
      <w:r>
        <w:t xml:space="preserve"> in its 2020 Integrated System Plan </w:t>
      </w:r>
      <w:r w:rsidR="003278FC">
        <w:t xml:space="preserve">(ISP) </w:t>
      </w:r>
      <w:r>
        <w:rPr>
          <w:rFonts w:cs="Arial"/>
        </w:rPr>
        <w:t xml:space="preserve">as a critical part of </w:t>
      </w:r>
      <w:r w:rsidRPr="00850D99">
        <w:rPr>
          <w:rFonts w:cs="Arial"/>
        </w:rPr>
        <w:t>address</w:t>
      </w:r>
      <w:r>
        <w:rPr>
          <w:rFonts w:cs="Arial"/>
        </w:rPr>
        <w:t xml:space="preserve">ing long-term cost, security </w:t>
      </w:r>
      <w:r w:rsidRPr="00850D99">
        <w:rPr>
          <w:rFonts w:cs="Arial"/>
        </w:rPr>
        <w:t>and reliability issues</w:t>
      </w:r>
      <w:r>
        <w:rPr>
          <w:rFonts w:cs="Arial"/>
        </w:rPr>
        <w:t xml:space="preserve"> within the National Electricity Market (NEM).</w:t>
      </w:r>
      <w:r>
        <w:t xml:space="preserve"> </w:t>
      </w:r>
    </w:p>
    <w:p w:rsidR="00972B74" w:rsidRDefault="00972B74" w:rsidP="00972B74">
      <w:pPr>
        <w:pStyle w:val="Bulletlist"/>
        <w:numPr>
          <w:ilvl w:val="2"/>
          <w:numId w:val="13"/>
        </w:numPr>
        <w:spacing w:line="276" w:lineRule="auto"/>
      </w:pPr>
      <w:r>
        <w:t>T</w:t>
      </w:r>
      <w:r w:rsidRPr="003278D0">
        <w:t>he Australian Government has committed to supporting early works</w:t>
      </w:r>
      <w:r>
        <w:t xml:space="preserve"> for major transmission projects, including Marinus Link.</w:t>
      </w:r>
    </w:p>
    <w:p w:rsidR="00C070EB" w:rsidRDefault="00C070EB" w:rsidP="002D5AC3">
      <w:pPr>
        <w:pStyle w:val="Bulletlist"/>
        <w:spacing w:line="276" w:lineRule="auto"/>
        <w:ind w:left="714" w:hanging="357"/>
      </w:pPr>
      <w:r>
        <w:t>There has been in recent years growing investment in offshore wind farms and undersea transmission links, including between different countries or energy markets.</w:t>
      </w:r>
    </w:p>
    <w:p w:rsidR="00E22729" w:rsidRPr="006D70EA" w:rsidRDefault="00E22729" w:rsidP="002D5AC3">
      <w:pPr>
        <w:pStyle w:val="Bulletlist"/>
        <w:spacing w:line="276" w:lineRule="auto"/>
        <w:ind w:left="714" w:hanging="357"/>
      </w:pPr>
      <w:r w:rsidRPr="006D70EA">
        <w:t>The International Energy Agency</w:t>
      </w:r>
      <w:r w:rsidR="006A1C73">
        <w:t xml:space="preserve"> (IEA)</w:t>
      </w:r>
      <w:r w:rsidRPr="006D70EA">
        <w:t xml:space="preserve"> 2019 Offshore Wind Outlook highlighted the rapidly changing nature of the offshore wind sector.</w:t>
      </w:r>
    </w:p>
    <w:p w:rsidR="00E22729" w:rsidRDefault="00E22729" w:rsidP="002D5AC3">
      <w:pPr>
        <w:pStyle w:val="Bulletlist"/>
        <w:numPr>
          <w:ilvl w:val="2"/>
          <w:numId w:val="13"/>
        </w:numPr>
        <w:spacing w:line="276" w:lineRule="auto"/>
      </w:pPr>
      <w:r w:rsidRPr="006D70EA">
        <w:t>The report noted the sector is expected to grow “15 fold by 2040 into a USD</w:t>
      </w:r>
      <w:r w:rsidR="006A1C73">
        <w:t> </w:t>
      </w:r>
      <w:r w:rsidRPr="006D70EA">
        <w:t>1</w:t>
      </w:r>
      <w:r w:rsidR="006A1C73">
        <w:t> </w:t>
      </w:r>
      <w:r w:rsidRPr="006D70EA">
        <w:t>trillion business”.</w:t>
      </w:r>
    </w:p>
    <w:p w:rsidR="00E22729" w:rsidRPr="006D70EA" w:rsidRDefault="00E22729" w:rsidP="002D5AC3">
      <w:pPr>
        <w:pStyle w:val="Bulletlist"/>
        <w:numPr>
          <w:ilvl w:val="2"/>
          <w:numId w:val="13"/>
        </w:numPr>
        <w:spacing w:line="276" w:lineRule="auto"/>
      </w:pPr>
      <w:r>
        <w:t xml:space="preserve">This would see installed </w:t>
      </w:r>
      <w:r w:rsidR="00C843B5">
        <w:t xml:space="preserve">global </w:t>
      </w:r>
      <w:r>
        <w:t xml:space="preserve">capacity rise from around 25 GW in 2019 to </w:t>
      </w:r>
      <w:r>
        <w:br/>
        <w:t>375</w:t>
      </w:r>
      <w:r w:rsidR="006A1C73">
        <w:t> </w:t>
      </w:r>
      <w:r>
        <w:t>GW by 2040.</w:t>
      </w:r>
      <w:r w:rsidRPr="006D70EA">
        <w:t xml:space="preserve"> </w:t>
      </w:r>
    </w:p>
    <w:p w:rsidR="00E22729" w:rsidRPr="006D70EA" w:rsidRDefault="00E241A0" w:rsidP="002D5AC3">
      <w:pPr>
        <w:pStyle w:val="Bulletlist"/>
        <w:spacing w:line="276" w:lineRule="auto"/>
        <w:ind w:left="714" w:hanging="357"/>
      </w:pPr>
      <w:r>
        <w:t xml:space="preserve">There are positive cost implications for </w:t>
      </w:r>
      <w:r w:rsidR="00E22729" w:rsidRPr="006D70EA">
        <w:t>Australia,</w:t>
      </w:r>
      <w:r>
        <w:t xml:space="preserve"> with</w:t>
      </w:r>
      <w:r w:rsidR="00E22729" w:rsidRPr="006D70EA">
        <w:t xml:space="preserve"> much of the new growth </w:t>
      </w:r>
      <w:r w:rsidR="00C843B5">
        <w:t xml:space="preserve">expected </w:t>
      </w:r>
      <w:r>
        <w:t xml:space="preserve">to be </w:t>
      </w:r>
      <w:r w:rsidR="00E22729" w:rsidRPr="006D70EA">
        <w:t>in Asia</w:t>
      </w:r>
      <w:r w:rsidR="00C843B5">
        <w:t xml:space="preserve">. </w:t>
      </w:r>
      <w:r w:rsidR="00E22729" w:rsidRPr="006D70EA">
        <w:t xml:space="preserve">China </w:t>
      </w:r>
      <w:r w:rsidR="00C843B5">
        <w:t xml:space="preserve">is </w:t>
      </w:r>
      <w:r w:rsidR="00E22729" w:rsidRPr="006D70EA">
        <w:t xml:space="preserve">forecast to overtake the UK as holding the highest number of </w:t>
      </w:r>
      <w:r w:rsidR="006B2C04">
        <w:t xml:space="preserve">offshore wind </w:t>
      </w:r>
      <w:r w:rsidR="00E22729" w:rsidRPr="006D70EA">
        <w:t xml:space="preserve">installations. </w:t>
      </w:r>
    </w:p>
    <w:p w:rsidR="00E22729" w:rsidRDefault="00E22729" w:rsidP="002D5AC3">
      <w:pPr>
        <w:pStyle w:val="Bulletlist"/>
        <w:numPr>
          <w:ilvl w:val="2"/>
          <w:numId w:val="13"/>
        </w:numPr>
        <w:spacing w:line="276" w:lineRule="auto"/>
      </w:pPr>
      <w:r w:rsidRPr="006D70EA">
        <w:t xml:space="preserve">Japan, India, Taiwan, and Korea </w:t>
      </w:r>
      <w:r w:rsidR="00E241A0">
        <w:t xml:space="preserve">are </w:t>
      </w:r>
      <w:r w:rsidRPr="006D70EA">
        <w:t>also developing local offshore wind sector</w:t>
      </w:r>
      <w:r w:rsidR="008D34FA">
        <w:t>s</w:t>
      </w:r>
      <w:r w:rsidRPr="006D70EA">
        <w:t xml:space="preserve">, which </w:t>
      </w:r>
      <w:r w:rsidR="008239B8">
        <w:t>could</w:t>
      </w:r>
      <w:r w:rsidR="008239B8" w:rsidRPr="006D70EA">
        <w:t xml:space="preserve"> </w:t>
      </w:r>
      <w:r w:rsidRPr="006D70EA">
        <w:t>further encourage the regional supply chain for components and logistics, creating a more competitive market</w:t>
      </w:r>
      <w:r w:rsidR="00FE5466">
        <w:t>,</w:t>
      </w:r>
      <w:r w:rsidRPr="006D70EA">
        <w:t xml:space="preserve"> </w:t>
      </w:r>
      <w:r w:rsidR="0066069C">
        <w:t xml:space="preserve">and </w:t>
      </w:r>
      <w:r w:rsidR="00A65480">
        <w:t>potentially</w:t>
      </w:r>
      <w:r w:rsidRPr="006D70EA">
        <w:t xml:space="preserve"> reduce local costs.</w:t>
      </w:r>
    </w:p>
    <w:p w:rsidR="001E6235" w:rsidRDefault="001E6235" w:rsidP="002D5AC3">
      <w:pPr>
        <w:pStyle w:val="Bulletlist"/>
        <w:numPr>
          <w:ilvl w:val="2"/>
          <w:numId w:val="13"/>
        </w:numPr>
        <w:spacing w:line="276" w:lineRule="auto"/>
      </w:pPr>
      <w:r>
        <w:t xml:space="preserve">The United States is expecting the offshore wind sector to expand significantly by the end of the decade, with around 15 GW of capacity installed. </w:t>
      </w:r>
      <w:r w:rsidR="00E241A0">
        <w:t>This could also put price pressure on the cost of new offshore wind technologies and installation.</w:t>
      </w:r>
    </w:p>
    <w:p w:rsidR="006B2C04" w:rsidRPr="006D70EA" w:rsidRDefault="006B2C04" w:rsidP="00C070EB">
      <w:pPr>
        <w:pStyle w:val="Bulletlist"/>
        <w:numPr>
          <w:ilvl w:val="0"/>
          <w:numId w:val="0"/>
        </w:numPr>
        <w:spacing w:line="276" w:lineRule="auto"/>
        <w:ind w:left="1452"/>
      </w:pPr>
    </w:p>
    <w:p w:rsidR="00980D0D" w:rsidRDefault="00980D0D" w:rsidP="0057257B">
      <w:pPr>
        <w:spacing w:line="276" w:lineRule="auto"/>
        <w:rPr>
          <w:rFonts w:ascii="Arial" w:hAnsi="Arial" w:cs="Arial"/>
          <w:b/>
          <w:i/>
          <w:sz w:val="24"/>
          <w:szCs w:val="24"/>
        </w:rPr>
      </w:pPr>
    </w:p>
    <w:p w:rsidR="00980D0D" w:rsidRDefault="00980D0D" w:rsidP="0057257B">
      <w:pPr>
        <w:spacing w:line="276" w:lineRule="auto"/>
        <w:rPr>
          <w:rFonts w:ascii="Arial" w:hAnsi="Arial" w:cs="Arial"/>
          <w:b/>
          <w:i/>
          <w:sz w:val="24"/>
          <w:szCs w:val="24"/>
        </w:rPr>
      </w:pPr>
    </w:p>
    <w:p w:rsidR="00E22729" w:rsidRPr="006D70EA" w:rsidRDefault="00E22729" w:rsidP="0057257B">
      <w:pPr>
        <w:spacing w:line="276" w:lineRule="auto"/>
        <w:rPr>
          <w:rFonts w:ascii="Arial" w:hAnsi="Arial" w:cs="Arial"/>
          <w:b/>
          <w:i/>
          <w:sz w:val="24"/>
          <w:szCs w:val="24"/>
        </w:rPr>
      </w:pPr>
      <w:r w:rsidRPr="006D70EA">
        <w:rPr>
          <w:rFonts w:ascii="Arial" w:hAnsi="Arial" w:cs="Arial"/>
          <w:b/>
          <w:i/>
          <w:sz w:val="24"/>
          <w:szCs w:val="24"/>
        </w:rPr>
        <w:t xml:space="preserve">What benefits could offshore </w:t>
      </w:r>
      <w:r w:rsidR="00C070EB">
        <w:rPr>
          <w:rFonts w:ascii="Arial" w:hAnsi="Arial" w:cs="Arial"/>
          <w:b/>
          <w:i/>
          <w:sz w:val="24"/>
          <w:szCs w:val="24"/>
        </w:rPr>
        <w:t>electricity infrastructure</w:t>
      </w:r>
      <w:r w:rsidR="00C070EB" w:rsidRPr="006D70EA">
        <w:rPr>
          <w:rFonts w:ascii="Arial" w:hAnsi="Arial" w:cs="Arial"/>
          <w:b/>
          <w:i/>
          <w:sz w:val="24"/>
          <w:szCs w:val="24"/>
        </w:rPr>
        <w:t xml:space="preserve"> </w:t>
      </w:r>
      <w:r w:rsidRPr="006D70EA">
        <w:rPr>
          <w:rFonts w:ascii="Arial" w:hAnsi="Arial" w:cs="Arial"/>
          <w:b/>
          <w:i/>
          <w:sz w:val="24"/>
          <w:szCs w:val="24"/>
        </w:rPr>
        <w:t>provide Australia?</w:t>
      </w:r>
    </w:p>
    <w:p w:rsidR="00972B74" w:rsidRDefault="00972B74" w:rsidP="002D5AC3">
      <w:pPr>
        <w:pStyle w:val="Bulletlist"/>
        <w:spacing w:line="276" w:lineRule="auto"/>
        <w:ind w:left="714" w:hanging="357"/>
      </w:pPr>
      <w:r>
        <w:t xml:space="preserve">Greater NEM system security and reliability through the construction of the Marinus Link </w:t>
      </w:r>
      <w:r w:rsidRPr="00EA54A5">
        <w:t xml:space="preserve">transmission </w:t>
      </w:r>
      <w:r>
        <w:t>interconnector between Tasmania and Victoria</w:t>
      </w:r>
    </w:p>
    <w:p w:rsidR="00972B74" w:rsidRDefault="00972B74" w:rsidP="00972B74">
      <w:pPr>
        <w:pStyle w:val="Bulletlist"/>
        <w:spacing w:line="276" w:lineRule="auto"/>
        <w:ind w:left="714" w:hanging="357"/>
      </w:pPr>
      <w:r>
        <w:t>Further market competition for new generation capacity, creating downward pressure on wholesale prices</w:t>
      </w:r>
    </w:p>
    <w:p w:rsidR="00972B74" w:rsidRDefault="00972B74" w:rsidP="00972B74">
      <w:pPr>
        <w:pStyle w:val="Bulletlist"/>
        <w:spacing w:line="276" w:lineRule="auto"/>
        <w:ind w:left="714" w:hanging="357"/>
      </w:pPr>
      <w:r w:rsidRPr="00FB118D">
        <w:t>Regional jobs</w:t>
      </w:r>
    </w:p>
    <w:p w:rsidR="00E22729" w:rsidRPr="00EA54A5" w:rsidRDefault="00972B74" w:rsidP="00DC7CE0">
      <w:pPr>
        <w:pStyle w:val="Bulletlist"/>
        <w:spacing w:line="276" w:lineRule="auto"/>
        <w:ind w:left="714" w:hanging="357"/>
      </w:pPr>
      <w:r w:rsidRPr="00FB118D">
        <w:t xml:space="preserve">Significant </w:t>
      </w:r>
      <w:r>
        <w:t xml:space="preserve">new </w:t>
      </w:r>
      <w:r w:rsidRPr="00FB118D">
        <w:t xml:space="preserve">investment </w:t>
      </w:r>
    </w:p>
    <w:p w:rsidR="00E22729" w:rsidRPr="00FB118D" w:rsidRDefault="00E22729" w:rsidP="002D5AC3">
      <w:pPr>
        <w:pStyle w:val="Bulletlist"/>
        <w:spacing w:line="276" w:lineRule="auto"/>
        <w:ind w:left="714" w:hanging="357"/>
      </w:pPr>
      <w:r w:rsidRPr="00FB118D">
        <w:t>Evolving technology</w:t>
      </w:r>
      <w:r w:rsidR="009E4EAD">
        <w:t xml:space="preserve"> providing greater, more cost effective opportunities over time</w:t>
      </w:r>
    </w:p>
    <w:p w:rsidR="009E4EAD" w:rsidRPr="00FB118D" w:rsidRDefault="00972B74" w:rsidP="002D5AC3">
      <w:pPr>
        <w:pStyle w:val="Bulletlist"/>
        <w:spacing w:line="276" w:lineRule="auto"/>
        <w:ind w:left="714" w:hanging="357"/>
      </w:pPr>
      <w:r>
        <w:t>Greater diversification in</w:t>
      </w:r>
      <w:r w:rsidR="00FE5466">
        <w:t xml:space="preserve"> </w:t>
      </w:r>
      <w:r w:rsidR="009E4EAD">
        <w:t xml:space="preserve">energy generation. </w:t>
      </w:r>
    </w:p>
    <w:p w:rsidR="00225015" w:rsidRDefault="00225015" w:rsidP="00957277">
      <w:pPr>
        <w:pStyle w:val="Bulletlist"/>
        <w:numPr>
          <w:ilvl w:val="0"/>
          <w:numId w:val="0"/>
        </w:numPr>
        <w:spacing w:line="276" w:lineRule="auto"/>
      </w:pPr>
    </w:p>
    <w:p w:rsidR="00F972A4" w:rsidRDefault="00F972A4">
      <w:pPr>
        <w:rPr>
          <w:rFonts w:ascii="Arial" w:eastAsiaTheme="majorEastAsia" w:hAnsi="Arial" w:cs="Arial"/>
          <w:color w:val="005677" w:themeColor="text2"/>
          <w:sz w:val="48"/>
          <w:szCs w:val="32"/>
        </w:rPr>
      </w:pPr>
      <w:r>
        <w:rPr>
          <w:rFonts w:ascii="Arial" w:hAnsi="Arial" w:cs="Arial"/>
        </w:rPr>
        <w:br w:type="page"/>
      </w:r>
    </w:p>
    <w:p w:rsidR="00810822" w:rsidRPr="00275017" w:rsidRDefault="00810822" w:rsidP="0057257B">
      <w:pPr>
        <w:pStyle w:val="Heading1"/>
        <w:numPr>
          <w:ilvl w:val="0"/>
          <w:numId w:val="11"/>
        </w:numPr>
        <w:spacing w:after="0" w:line="276" w:lineRule="auto"/>
        <w:rPr>
          <w:rFonts w:ascii="Arial" w:hAnsi="Arial" w:cs="Arial"/>
        </w:rPr>
      </w:pPr>
      <w:bookmarkStart w:id="9" w:name="_Toc69917400"/>
      <w:r w:rsidRPr="00275017">
        <w:rPr>
          <w:rFonts w:ascii="Arial" w:hAnsi="Arial" w:cs="Arial"/>
        </w:rPr>
        <w:t>Background and context</w:t>
      </w:r>
      <w:bookmarkEnd w:id="9"/>
      <w:r w:rsidRPr="00275017">
        <w:rPr>
          <w:rFonts w:ascii="Arial" w:hAnsi="Arial" w:cs="Arial"/>
        </w:rPr>
        <w:t xml:space="preserve"> </w:t>
      </w:r>
    </w:p>
    <w:p w:rsidR="00810822" w:rsidRPr="00275017" w:rsidRDefault="00810822" w:rsidP="0057257B">
      <w:pPr>
        <w:spacing w:line="276" w:lineRule="auto"/>
        <w:rPr>
          <w:rFonts w:ascii="Arial" w:hAnsi="Arial"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Offshore </w:t>
      </w:r>
      <w:r w:rsidR="007F025F">
        <w:rPr>
          <w:rFonts w:ascii="Arial" w:hAnsi="Arial" w:cs="Arial"/>
        </w:rPr>
        <w:t>Electricity</w:t>
      </w:r>
      <w:r w:rsidRPr="00275017">
        <w:rPr>
          <w:rFonts w:ascii="Arial" w:hAnsi="Arial" w:cs="Arial"/>
        </w:rPr>
        <w:t xml:space="preserve"> Infrastructure - The Opportunity  </w:t>
      </w:r>
    </w:p>
    <w:p w:rsidR="00810822" w:rsidRPr="00275017" w:rsidRDefault="00972B74" w:rsidP="0057257B">
      <w:pPr>
        <w:spacing w:line="276" w:lineRule="auto"/>
        <w:rPr>
          <w:rFonts w:ascii="Arial" w:hAnsi="Arial" w:cs="Arial"/>
        </w:rPr>
      </w:pPr>
      <w:r w:rsidRPr="00275017">
        <w:rPr>
          <w:rFonts w:ascii="Arial" w:hAnsi="Arial" w:cs="Arial"/>
        </w:rPr>
        <w:t xml:space="preserve">Offshore </w:t>
      </w:r>
      <w:r>
        <w:rPr>
          <w:rFonts w:ascii="Arial" w:hAnsi="Arial" w:cs="Arial"/>
        </w:rPr>
        <w:t>electricity</w:t>
      </w:r>
      <w:r w:rsidRPr="00275017">
        <w:rPr>
          <w:rFonts w:ascii="Arial" w:hAnsi="Arial" w:cs="Arial"/>
        </w:rPr>
        <w:t xml:space="preserve"> transmission infrastructure such as shore-to-shore cabling, substations, support platforms and </w:t>
      </w:r>
      <w:r>
        <w:rPr>
          <w:rFonts w:ascii="Arial" w:hAnsi="Arial" w:cs="Arial"/>
        </w:rPr>
        <w:t>transmission cables to</w:t>
      </w:r>
      <w:r w:rsidRPr="00275017">
        <w:rPr>
          <w:rFonts w:ascii="Arial" w:hAnsi="Arial" w:cs="Arial"/>
        </w:rPr>
        <w:t xml:space="preserve"> support offshore generation are </w:t>
      </w:r>
      <w:r>
        <w:rPr>
          <w:rFonts w:ascii="Arial" w:hAnsi="Arial" w:cs="Arial"/>
        </w:rPr>
        <w:t xml:space="preserve">essential </w:t>
      </w:r>
      <w:r w:rsidRPr="00275017">
        <w:rPr>
          <w:rFonts w:ascii="Arial" w:hAnsi="Arial" w:cs="Arial"/>
        </w:rPr>
        <w:t>elements of the sector.</w:t>
      </w:r>
      <w:r>
        <w:rPr>
          <w:rFonts w:ascii="Arial" w:hAnsi="Arial" w:cs="Arial"/>
        </w:rPr>
        <w:t xml:space="preserve"> </w:t>
      </w:r>
      <w:r w:rsidR="00810822" w:rsidRPr="00275017">
        <w:rPr>
          <w:rFonts w:ascii="Arial" w:hAnsi="Arial" w:cs="Arial"/>
        </w:rPr>
        <w:t xml:space="preserve">Offshore </w:t>
      </w:r>
      <w:r w:rsidR="007F025F">
        <w:rPr>
          <w:rFonts w:ascii="Arial" w:hAnsi="Arial" w:cs="Arial"/>
        </w:rPr>
        <w:t>electricity generation</w:t>
      </w:r>
      <w:r w:rsidR="00810822" w:rsidRPr="00275017">
        <w:rPr>
          <w:rFonts w:ascii="Arial" w:hAnsi="Arial" w:cs="Arial"/>
        </w:rPr>
        <w:t xml:space="preserve"> covers a range of technology types including offshore wind, wave and tidal generation, </w:t>
      </w:r>
      <w:r w:rsidR="00C843B5">
        <w:rPr>
          <w:rFonts w:ascii="Arial" w:hAnsi="Arial" w:cs="Arial"/>
        </w:rPr>
        <w:t>and</w:t>
      </w:r>
      <w:r w:rsidR="00810822" w:rsidRPr="00275017">
        <w:rPr>
          <w:rFonts w:ascii="Arial" w:hAnsi="Arial" w:cs="Arial"/>
        </w:rPr>
        <w:t xml:space="preserve"> the potential for </w:t>
      </w:r>
      <w:r w:rsidR="008479C7">
        <w:rPr>
          <w:rFonts w:ascii="Arial" w:hAnsi="Arial" w:cs="Arial"/>
        </w:rPr>
        <w:t xml:space="preserve">new </w:t>
      </w:r>
      <w:r w:rsidR="00810822" w:rsidRPr="00275017">
        <w:rPr>
          <w:rFonts w:ascii="Arial" w:hAnsi="Arial" w:cs="Arial"/>
        </w:rPr>
        <w:t xml:space="preserve">offshore </w:t>
      </w:r>
      <w:r w:rsidR="008479C7">
        <w:rPr>
          <w:rFonts w:ascii="Arial" w:hAnsi="Arial" w:cs="Arial"/>
        </w:rPr>
        <w:t>electricity generation technologies</w:t>
      </w:r>
      <w:r w:rsidR="00810822" w:rsidRPr="00275017">
        <w:rPr>
          <w:rFonts w:ascii="Arial" w:hAnsi="Arial" w:cs="Arial"/>
        </w:rPr>
        <w:t xml:space="preserve"> in the longer term. </w:t>
      </w:r>
    </w:p>
    <w:p w:rsidR="00810822" w:rsidRPr="00275017" w:rsidRDefault="00810822" w:rsidP="0057257B">
      <w:pPr>
        <w:spacing w:line="276" w:lineRule="auto"/>
        <w:rPr>
          <w:rFonts w:ascii="Arial" w:hAnsi="Arial" w:cs="Arial"/>
        </w:rPr>
      </w:pPr>
      <w:r w:rsidRPr="00275017">
        <w:rPr>
          <w:rFonts w:ascii="Arial" w:hAnsi="Arial" w:cs="Arial"/>
        </w:rPr>
        <w:t xml:space="preserve">The development of the offshore </w:t>
      </w:r>
      <w:r w:rsidR="007F025F">
        <w:rPr>
          <w:rFonts w:ascii="Arial" w:hAnsi="Arial" w:cs="Arial"/>
        </w:rPr>
        <w:t>electricity</w:t>
      </w:r>
      <w:r w:rsidRPr="00275017">
        <w:rPr>
          <w:rFonts w:ascii="Arial" w:hAnsi="Arial" w:cs="Arial"/>
        </w:rPr>
        <w:t xml:space="preserve"> sector supports the government’s objective to deliver a reliable, secure and affordable energy system</w:t>
      </w:r>
      <w:r w:rsidR="00C843B5">
        <w:rPr>
          <w:rFonts w:ascii="Arial" w:hAnsi="Arial" w:cs="Arial"/>
        </w:rPr>
        <w:t xml:space="preserve"> by</w:t>
      </w:r>
      <w:r w:rsidRPr="00275017">
        <w:rPr>
          <w:rFonts w:ascii="Arial" w:hAnsi="Arial" w:cs="Arial"/>
        </w:rPr>
        <w:t>:</w:t>
      </w:r>
    </w:p>
    <w:p w:rsidR="00810822" w:rsidRPr="00B40D58" w:rsidRDefault="00810822" w:rsidP="002D5AC3">
      <w:pPr>
        <w:pStyle w:val="Bulletlist"/>
        <w:spacing w:line="276" w:lineRule="auto"/>
        <w:ind w:left="714" w:hanging="357"/>
      </w:pPr>
      <w:r w:rsidRPr="00B40D58">
        <w:t>facilitating the growth of new sources of energy supply;</w:t>
      </w:r>
    </w:p>
    <w:p w:rsidR="00972B74" w:rsidRDefault="00972B74" w:rsidP="002D5AC3">
      <w:pPr>
        <w:pStyle w:val="Bulletlist"/>
        <w:spacing w:line="276" w:lineRule="auto"/>
        <w:ind w:left="714" w:hanging="357"/>
      </w:pPr>
      <w:r>
        <w:t>delivering reliability and improved grid security</w:t>
      </w:r>
    </w:p>
    <w:p w:rsidR="00810822" w:rsidRPr="00D679E4" w:rsidRDefault="00810822" w:rsidP="002D5AC3">
      <w:pPr>
        <w:pStyle w:val="Bulletlist"/>
        <w:spacing w:line="276" w:lineRule="auto"/>
        <w:ind w:left="714" w:hanging="357"/>
      </w:pPr>
      <w:r w:rsidRPr="00D679E4">
        <w:t>providing clean and efficient technology; and</w:t>
      </w:r>
    </w:p>
    <w:p w:rsidR="00810822" w:rsidRPr="00831F9B" w:rsidRDefault="00810822" w:rsidP="002D5AC3">
      <w:pPr>
        <w:pStyle w:val="Bulletlist"/>
        <w:spacing w:line="276" w:lineRule="auto"/>
        <w:ind w:left="714" w:hanging="357"/>
      </w:pPr>
      <w:r w:rsidRPr="00831F9B">
        <w:t xml:space="preserve">ensuring the energy sector is well regulated. </w:t>
      </w:r>
    </w:p>
    <w:p w:rsidR="00972B74" w:rsidRPr="009B6F35" w:rsidRDefault="00972B74" w:rsidP="00972B74">
      <w:pPr>
        <w:spacing w:line="276" w:lineRule="auto"/>
        <w:rPr>
          <w:rFonts w:cs="Arial"/>
        </w:rPr>
      </w:pPr>
      <w:r w:rsidRPr="00275017">
        <w:rPr>
          <w:rFonts w:ascii="Arial" w:hAnsi="Arial" w:cs="Arial"/>
        </w:rPr>
        <w:t xml:space="preserve">Offshore </w:t>
      </w:r>
      <w:r>
        <w:rPr>
          <w:rFonts w:ascii="Arial" w:hAnsi="Arial" w:cs="Arial"/>
        </w:rPr>
        <w:t>electricity</w:t>
      </w:r>
      <w:r w:rsidRPr="00275017">
        <w:rPr>
          <w:rFonts w:ascii="Arial" w:hAnsi="Arial" w:cs="Arial"/>
        </w:rPr>
        <w:t xml:space="preserve"> transmission infrastructure</w:t>
      </w:r>
      <w:r w:rsidRPr="00F13720">
        <w:rPr>
          <w:rFonts w:ascii="Arial" w:hAnsi="Arial" w:cs="Arial"/>
        </w:rPr>
        <w:t xml:space="preserve"> that connects regions of the national electricity market, such as the Marinus Link interconnector between Tasmania and Victoria, offer a number of benefits:</w:t>
      </w:r>
    </w:p>
    <w:p w:rsidR="00972B74" w:rsidRDefault="00972B74" w:rsidP="00972B74">
      <w:pPr>
        <w:pStyle w:val="Bulletlist"/>
        <w:spacing w:line="276" w:lineRule="auto"/>
        <w:ind w:left="714" w:hanging="357"/>
      </w:pPr>
      <w:r>
        <w:t>Better m</w:t>
      </w:r>
      <w:r w:rsidRPr="005E1E81">
        <w:t>anag</w:t>
      </w:r>
      <w:r>
        <w:t xml:space="preserve">ement of </w:t>
      </w:r>
      <w:r w:rsidRPr="005E1E81">
        <w:t xml:space="preserve">the impact and rapid uptake </w:t>
      </w:r>
      <w:r w:rsidRPr="003278D0">
        <w:t>of variable wind and solar technologies</w:t>
      </w:r>
      <w:r w:rsidRPr="00B60BC0">
        <w:t xml:space="preserve"> </w:t>
      </w:r>
      <w:r>
        <w:t xml:space="preserve">by </w:t>
      </w:r>
      <w:r w:rsidRPr="00B60BC0">
        <w:t>provid</w:t>
      </w:r>
      <w:r>
        <w:t>ing</w:t>
      </w:r>
      <w:r w:rsidRPr="00B60BC0">
        <w:t xml:space="preserve"> </w:t>
      </w:r>
      <w:r>
        <w:t xml:space="preserve">another source of </w:t>
      </w:r>
      <w:r w:rsidRPr="00B60BC0">
        <w:t>d</w:t>
      </w:r>
      <w:r>
        <w:t>i</w:t>
      </w:r>
      <w:r w:rsidRPr="00B60BC0">
        <w:t xml:space="preserve">spatchable power </w:t>
      </w:r>
      <w:r>
        <w:t>between regions when needed.</w:t>
      </w:r>
    </w:p>
    <w:p w:rsidR="00972B74" w:rsidRPr="00CE577E" w:rsidRDefault="00972B74" w:rsidP="00972B74">
      <w:pPr>
        <w:pStyle w:val="Bulletlist"/>
        <w:spacing w:line="276" w:lineRule="auto"/>
        <w:ind w:left="714" w:hanging="357"/>
      </w:pPr>
      <w:r>
        <w:t>Enhancing competition between generators in the NEM.</w:t>
      </w:r>
    </w:p>
    <w:p w:rsidR="00972B74" w:rsidRPr="005E1E81" w:rsidRDefault="00972B74" w:rsidP="00972B74">
      <w:pPr>
        <w:pStyle w:val="Bulletlist"/>
        <w:spacing w:line="276" w:lineRule="auto"/>
        <w:ind w:left="714" w:hanging="357"/>
      </w:pPr>
      <w:r>
        <w:t xml:space="preserve">Unlocking </w:t>
      </w:r>
      <w:r w:rsidRPr="003278D0">
        <w:t>additional renewable energy investments.</w:t>
      </w:r>
    </w:p>
    <w:p w:rsidR="00972B74" w:rsidRPr="00FB118D" w:rsidRDefault="00972B74" w:rsidP="00972B74">
      <w:pPr>
        <w:pStyle w:val="Bulletlist"/>
        <w:numPr>
          <w:ilvl w:val="2"/>
          <w:numId w:val="13"/>
        </w:numPr>
        <w:spacing w:line="276" w:lineRule="auto"/>
      </w:pPr>
      <w:r w:rsidRPr="005E1E81">
        <w:t xml:space="preserve">Combined with the Battery of the Nation </w:t>
      </w:r>
      <w:r w:rsidRPr="003278D0">
        <w:t xml:space="preserve">projects, </w:t>
      </w:r>
      <w:r>
        <w:t>Marinus Link</w:t>
      </w:r>
      <w:r w:rsidRPr="003278D0">
        <w:t xml:space="preserve"> will provide dispatchable generation capacity to Victoria of up to 1500 MW.</w:t>
      </w:r>
      <w:r w:rsidRPr="0070089B">
        <w:t xml:space="preserve"> </w:t>
      </w:r>
      <w:r>
        <w:t>This will include allowing 4</w:t>
      </w:r>
      <w:r w:rsidRPr="006B6194">
        <w:t xml:space="preserve">00 </w:t>
      </w:r>
      <w:r>
        <w:t>MW</w:t>
      </w:r>
      <w:r w:rsidRPr="00D258B0">
        <w:t xml:space="preserve"> </w:t>
      </w:r>
      <w:r w:rsidRPr="006B6194">
        <w:t>of existing dispatchable generation to be transmitted to Victoria, which, due to limited Bass</w:t>
      </w:r>
      <w:r>
        <w:t>l</w:t>
      </w:r>
      <w:r w:rsidRPr="006B6194">
        <w:t>ink capacity, is currently unavailable.</w:t>
      </w:r>
    </w:p>
    <w:p w:rsidR="00810822" w:rsidRPr="00275017" w:rsidRDefault="00AB5E11" w:rsidP="0057257B">
      <w:pPr>
        <w:spacing w:line="276" w:lineRule="auto"/>
        <w:rPr>
          <w:rFonts w:ascii="Arial" w:hAnsi="Arial" w:cs="Arial"/>
        </w:rPr>
      </w:pPr>
      <w:r>
        <w:rPr>
          <w:rFonts w:ascii="Arial" w:hAnsi="Arial" w:cs="Arial"/>
        </w:rPr>
        <w:t>Broadly, o</w:t>
      </w:r>
      <w:r w:rsidR="00810822" w:rsidRPr="00275017">
        <w:rPr>
          <w:rFonts w:ascii="Arial" w:hAnsi="Arial" w:cs="Arial"/>
        </w:rPr>
        <w:t xml:space="preserve">ffshore </w:t>
      </w:r>
      <w:r w:rsidR="007F025F">
        <w:rPr>
          <w:rFonts w:ascii="Arial" w:hAnsi="Arial" w:cs="Arial"/>
        </w:rPr>
        <w:t>electricity</w:t>
      </w:r>
      <w:r w:rsidR="00810822" w:rsidRPr="00275017">
        <w:rPr>
          <w:rFonts w:ascii="Arial" w:hAnsi="Arial" w:cs="Arial"/>
        </w:rPr>
        <w:t xml:space="preserve"> generation can:</w:t>
      </w:r>
    </w:p>
    <w:p w:rsidR="00810822" w:rsidRPr="00831F9B" w:rsidRDefault="00810822" w:rsidP="002D5AC3">
      <w:pPr>
        <w:pStyle w:val="Bulletlist"/>
        <w:spacing w:line="276" w:lineRule="auto"/>
        <w:ind w:left="714" w:hanging="357"/>
      </w:pPr>
      <w:r w:rsidRPr="00B40D58">
        <w:t>offer large, year-round generation capacity</w:t>
      </w:r>
      <w:r w:rsidR="00AB5E11" w:rsidRPr="00D679E4">
        <w:t>;</w:t>
      </w:r>
    </w:p>
    <w:p w:rsidR="00810822" w:rsidRPr="002D5AC3" w:rsidRDefault="00810822" w:rsidP="002D5AC3">
      <w:pPr>
        <w:pStyle w:val="Bulletlist"/>
        <w:spacing w:line="276" w:lineRule="auto"/>
        <w:ind w:left="714" w:hanging="357"/>
      </w:pPr>
      <w:r w:rsidRPr="002D5AC3">
        <w:t>provide benefits to the electricity network</w:t>
      </w:r>
      <w:r w:rsidR="00AB5E11" w:rsidRPr="002D5AC3">
        <w:t>;</w:t>
      </w:r>
    </w:p>
    <w:p w:rsidR="00810822" w:rsidRPr="002D5AC3" w:rsidRDefault="00810822" w:rsidP="002D5AC3">
      <w:pPr>
        <w:pStyle w:val="Bulletlist"/>
        <w:spacing w:line="276" w:lineRule="auto"/>
        <w:ind w:left="714" w:hanging="357"/>
      </w:pPr>
      <w:r w:rsidRPr="002D5AC3">
        <w:t xml:space="preserve">have less impact on the landscape than other </w:t>
      </w:r>
      <w:r w:rsidR="00AB5E11" w:rsidRPr="002D5AC3">
        <w:t xml:space="preserve">onshore </w:t>
      </w:r>
      <w:r w:rsidRPr="002D5AC3">
        <w:t>energy generation options</w:t>
      </w:r>
      <w:r w:rsidR="00AB5E11" w:rsidRPr="002D5AC3">
        <w:t>;</w:t>
      </w:r>
    </w:p>
    <w:p w:rsidR="00810822" w:rsidRPr="002D5AC3" w:rsidRDefault="00810822" w:rsidP="002D5AC3">
      <w:pPr>
        <w:pStyle w:val="Bulletlist"/>
        <w:spacing w:line="276" w:lineRule="auto"/>
        <w:ind w:left="714" w:hanging="357"/>
      </w:pPr>
      <w:r w:rsidRPr="002D5AC3">
        <w:t>establish new employment opportunities</w:t>
      </w:r>
      <w:r w:rsidR="00AB5E11" w:rsidRPr="002D5AC3">
        <w:t>; and</w:t>
      </w:r>
    </w:p>
    <w:p w:rsidR="00810822" w:rsidRPr="002D5AC3" w:rsidRDefault="00810822" w:rsidP="002D5AC3">
      <w:pPr>
        <w:pStyle w:val="Bulletlist"/>
        <w:spacing w:line="276" w:lineRule="auto"/>
        <w:ind w:left="714" w:hanging="357"/>
      </w:pPr>
      <w:r w:rsidRPr="002D5AC3">
        <w:t>attract significant investment in Australia’s coastal economies</w:t>
      </w:r>
      <w:r w:rsidR="00AB5E11" w:rsidRPr="002D5AC3">
        <w:t>.</w:t>
      </w:r>
    </w:p>
    <w:p w:rsidR="008020CB" w:rsidRDefault="008020CB" w:rsidP="0057257B">
      <w:pPr>
        <w:spacing w:line="276" w:lineRule="auto"/>
        <w:rPr>
          <w:rFonts w:ascii="Arial" w:hAnsi="Arial" w:cs="Arial"/>
        </w:rPr>
      </w:pPr>
      <w:r>
        <w:rPr>
          <w:rFonts w:ascii="Arial" w:hAnsi="Arial" w:cs="Arial"/>
        </w:rPr>
        <w:t>Offshore wind</w:t>
      </w:r>
      <w:r w:rsidR="006A1C73">
        <w:rPr>
          <w:rFonts w:ascii="Arial" w:hAnsi="Arial" w:cs="Arial"/>
        </w:rPr>
        <w:t xml:space="preserve"> is</w:t>
      </w:r>
      <w:r>
        <w:rPr>
          <w:rFonts w:ascii="Arial" w:hAnsi="Arial" w:cs="Arial"/>
        </w:rPr>
        <w:t xml:space="preserve"> the most commercially prospective offshore </w:t>
      </w:r>
      <w:r w:rsidR="004C7B52">
        <w:rPr>
          <w:rFonts w:ascii="Arial" w:hAnsi="Arial" w:cs="Arial"/>
        </w:rPr>
        <w:t>electricity</w:t>
      </w:r>
      <w:r>
        <w:rPr>
          <w:rFonts w:ascii="Arial" w:hAnsi="Arial" w:cs="Arial"/>
        </w:rPr>
        <w:t xml:space="preserve"> technology </w:t>
      </w:r>
      <w:r w:rsidR="006A1C73">
        <w:rPr>
          <w:rFonts w:ascii="Arial" w:hAnsi="Arial" w:cs="Arial"/>
        </w:rPr>
        <w:t xml:space="preserve">and </w:t>
      </w:r>
      <w:r>
        <w:rPr>
          <w:rFonts w:ascii="Arial" w:hAnsi="Arial" w:cs="Arial"/>
        </w:rPr>
        <w:t xml:space="preserve">has a range of </w:t>
      </w:r>
      <w:r w:rsidR="006369BF">
        <w:rPr>
          <w:rFonts w:ascii="Arial" w:hAnsi="Arial" w:cs="Arial"/>
        </w:rPr>
        <w:t xml:space="preserve">specific </w:t>
      </w:r>
      <w:r>
        <w:rPr>
          <w:rFonts w:ascii="Arial" w:hAnsi="Arial" w:cs="Arial"/>
        </w:rPr>
        <w:t>benefits</w:t>
      </w:r>
      <w:r w:rsidR="006369BF">
        <w:rPr>
          <w:rFonts w:ascii="Arial" w:hAnsi="Arial" w:cs="Arial"/>
        </w:rPr>
        <w:t xml:space="preserve"> and opportunities</w:t>
      </w:r>
      <w:r>
        <w:rPr>
          <w:rFonts w:ascii="Arial" w:hAnsi="Arial" w:cs="Arial"/>
        </w:rPr>
        <w:t>:</w:t>
      </w:r>
    </w:p>
    <w:p w:rsidR="008127BD" w:rsidRDefault="008127BD" w:rsidP="002D5AC3">
      <w:pPr>
        <w:pStyle w:val="Bulletlist"/>
        <w:spacing w:line="276" w:lineRule="auto"/>
        <w:ind w:left="714" w:hanging="357"/>
      </w:pPr>
      <w:r w:rsidRPr="00EA54A5">
        <w:t>Diversity of sources of wind resources</w:t>
      </w:r>
    </w:p>
    <w:p w:rsidR="008127BD" w:rsidRPr="00EA54A5" w:rsidRDefault="008127BD" w:rsidP="002D5AC3">
      <w:pPr>
        <w:pStyle w:val="Bulletlist"/>
        <w:numPr>
          <w:ilvl w:val="2"/>
          <w:numId w:val="13"/>
        </w:numPr>
        <w:spacing w:line="276" w:lineRule="auto"/>
      </w:pPr>
      <w:r w:rsidRPr="00EA54A5">
        <w:t>Offshore wind allow</w:t>
      </w:r>
      <w:r w:rsidR="006A1C73">
        <w:t>s</w:t>
      </w:r>
      <w:r w:rsidRPr="00EA54A5">
        <w:t xml:space="preserve"> new wind </w:t>
      </w:r>
      <w:r w:rsidR="00B30B26">
        <w:t>resources</w:t>
      </w:r>
      <w:r w:rsidR="00B30B26" w:rsidRPr="00EA54A5">
        <w:t xml:space="preserve"> </w:t>
      </w:r>
      <w:r w:rsidRPr="00EA54A5">
        <w:t>to be exploited</w:t>
      </w:r>
      <w:r w:rsidR="006A1C73">
        <w:t>.</w:t>
      </w:r>
    </w:p>
    <w:p w:rsidR="008127BD" w:rsidRPr="00EA54A5" w:rsidRDefault="008127BD" w:rsidP="002D5AC3">
      <w:pPr>
        <w:pStyle w:val="Bulletlist"/>
        <w:numPr>
          <w:ilvl w:val="2"/>
          <w:numId w:val="13"/>
        </w:numPr>
        <w:spacing w:line="276" w:lineRule="auto"/>
      </w:pPr>
      <w:r w:rsidRPr="00EA54A5">
        <w:t>Large</w:t>
      </w:r>
      <w:r w:rsidR="00972B74">
        <w:t>r</w:t>
      </w:r>
      <w:r w:rsidRPr="00EA54A5">
        <w:t xml:space="preserve"> cap</w:t>
      </w:r>
      <w:r>
        <w:t>acity factors</w:t>
      </w:r>
      <w:r w:rsidR="00972B74">
        <w:t xml:space="preserve"> than onshore wind</w:t>
      </w:r>
      <w:r w:rsidR="00DC7CE0">
        <w:t>.</w:t>
      </w:r>
      <w:r>
        <w:t xml:space="preserve"> </w:t>
      </w:r>
    </w:p>
    <w:p w:rsidR="008127BD" w:rsidRPr="00EA54A5" w:rsidRDefault="008127BD" w:rsidP="002D5AC3">
      <w:pPr>
        <w:pStyle w:val="Bulletlist"/>
        <w:numPr>
          <w:ilvl w:val="2"/>
          <w:numId w:val="13"/>
        </w:numPr>
        <w:spacing w:line="276" w:lineRule="auto"/>
      </w:pPr>
      <w:r w:rsidRPr="00EA54A5">
        <w:t xml:space="preserve">Less hourly variation and better alignment with demand. </w:t>
      </w:r>
    </w:p>
    <w:p w:rsidR="008127BD" w:rsidRPr="00EA54A5" w:rsidRDefault="008127BD" w:rsidP="002D5AC3">
      <w:pPr>
        <w:pStyle w:val="Bulletlist"/>
        <w:spacing w:line="276" w:lineRule="auto"/>
        <w:ind w:left="714" w:hanging="357"/>
      </w:pPr>
      <w:r w:rsidRPr="00EA54A5">
        <w:t>Utilisation of existing transmission infrastructure</w:t>
      </w:r>
    </w:p>
    <w:p w:rsidR="008127BD" w:rsidRPr="00EA54A5" w:rsidRDefault="008127BD" w:rsidP="00957277">
      <w:pPr>
        <w:pStyle w:val="Bulletlist"/>
        <w:numPr>
          <w:ilvl w:val="2"/>
          <w:numId w:val="13"/>
        </w:numPr>
        <w:spacing w:line="276" w:lineRule="auto"/>
      </w:pPr>
      <w:r w:rsidRPr="00EA54A5">
        <w:t xml:space="preserve">Forecast </w:t>
      </w:r>
      <w:r w:rsidR="00C208A9">
        <w:t xml:space="preserve">transmission infrastructure </w:t>
      </w:r>
      <w:r w:rsidR="00A65480">
        <w:t>capacity in the Lat</w:t>
      </w:r>
      <w:r w:rsidRPr="00EA54A5">
        <w:t xml:space="preserve">robe Valley infrastructure </w:t>
      </w:r>
      <w:r w:rsidR="00C208A9">
        <w:t>could</w:t>
      </w:r>
      <w:r w:rsidR="00C208A9" w:rsidRPr="00EA54A5">
        <w:t xml:space="preserve"> </w:t>
      </w:r>
      <w:r w:rsidRPr="00EA54A5">
        <w:t>be utilised</w:t>
      </w:r>
      <w:r w:rsidR="00C208A9">
        <w:t xml:space="preserve"> for offshore wind projects in the Gippsland region as well as the Marinus Link project</w:t>
      </w:r>
      <w:r w:rsidRPr="00EA54A5">
        <w:t xml:space="preserve">.  </w:t>
      </w:r>
    </w:p>
    <w:p w:rsidR="008127BD" w:rsidRPr="00FB118D" w:rsidRDefault="008127BD" w:rsidP="002D5AC3">
      <w:pPr>
        <w:pStyle w:val="Bulletlist"/>
        <w:spacing w:line="276" w:lineRule="auto"/>
        <w:ind w:left="714" w:hanging="357"/>
      </w:pPr>
      <w:r w:rsidRPr="00FB118D">
        <w:t>Evolving technology</w:t>
      </w:r>
    </w:p>
    <w:p w:rsidR="008127BD" w:rsidRPr="00FB118D" w:rsidRDefault="008127BD" w:rsidP="002D5AC3">
      <w:pPr>
        <w:pStyle w:val="Bulletlist"/>
        <w:numPr>
          <w:ilvl w:val="2"/>
          <w:numId w:val="13"/>
        </w:numPr>
        <w:spacing w:line="276" w:lineRule="auto"/>
      </w:pPr>
      <w:r w:rsidRPr="00FB118D">
        <w:t>Very large turbine capacity, currently up to 12 MW but expected to expand in coming decades. Offshore wind towers are not limited by</w:t>
      </w:r>
      <w:r w:rsidR="006A1C73">
        <w:t xml:space="preserve"> the</w:t>
      </w:r>
      <w:r w:rsidRPr="00FB118D">
        <w:t xml:space="preserve"> noise and transport limitations of onshore wind generation. </w:t>
      </w:r>
    </w:p>
    <w:p w:rsidR="008127BD" w:rsidRPr="00FB118D" w:rsidRDefault="008127BD" w:rsidP="002D5AC3">
      <w:pPr>
        <w:pStyle w:val="Bulletlist"/>
        <w:numPr>
          <w:ilvl w:val="2"/>
          <w:numId w:val="13"/>
        </w:numPr>
        <w:spacing w:line="276" w:lineRule="auto"/>
      </w:pPr>
      <w:r w:rsidRPr="00FB118D">
        <w:t xml:space="preserve">The potential for floating offshore wind to dramatically expand capacity as deeper water sites become accessible. </w:t>
      </w:r>
    </w:p>
    <w:p w:rsidR="008127BD" w:rsidRPr="00FB118D" w:rsidRDefault="008127BD" w:rsidP="002D5AC3">
      <w:pPr>
        <w:pStyle w:val="Bulletlist"/>
        <w:spacing w:line="276" w:lineRule="auto"/>
        <w:ind w:left="714" w:hanging="357"/>
      </w:pPr>
      <w:r w:rsidRPr="00FB118D">
        <w:t xml:space="preserve">Significant investment </w:t>
      </w:r>
    </w:p>
    <w:p w:rsidR="008127BD" w:rsidRDefault="008127BD" w:rsidP="002D5AC3">
      <w:pPr>
        <w:pStyle w:val="Bulletlist"/>
        <w:numPr>
          <w:ilvl w:val="2"/>
          <w:numId w:val="13"/>
        </w:numPr>
        <w:spacing w:line="276" w:lineRule="auto"/>
      </w:pPr>
      <w:r w:rsidRPr="00FB118D">
        <w:t xml:space="preserve">This legislation </w:t>
      </w:r>
      <w:r w:rsidR="0066069C">
        <w:t>could</w:t>
      </w:r>
      <w:r w:rsidR="0066069C" w:rsidRPr="00FB118D">
        <w:t xml:space="preserve"> </w:t>
      </w:r>
      <w:r w:rsidRPr="00FB118D">
        <w:t>enable proj</w:t>
      </w:r>
      <w:r w:rsidR="00781FBA">
        <w:t xml:space="preserve">ects worth between $3-20 </w:t>
      </w:r>
      <w:r w:rsidRPr="00FB118D">
        <w:t>billion</w:t>
      </w:r>
      <w:r>
        <w:t xml:space="preserve"> by 2030</w:t>
      </w:r>
      <w:r w:rsidRPr="00FB118D">
        <w:t>.</w:t>
      </w:r>
    </w:p>
    <w:p w:rsidR="008127BD" w:rsidRPr="00FB118D" w:rsidRDefault="00972B74" w:rsidP="00C22764">
      <w:pPr>
        <w:pStyle w:val="Bulletlist"/>
        <w:spacing w:line="276" w:lineRule="auto"/>
        <w:ind w:left="714" w:hanging="357"/>
      </w:pPr>
      <w:r>
        <w:t>The offshore electricity infrastructure sector – transmission and generation - offers significant e</w:t>
      </w:r>
      <w:r w:rsidR="00FC3C41">
        <w:t xml:space="preserve">mployment </w:t>
      </w:r>
      <w:r w:rsidR="008D5FC4">
        <w:t>opportunities</w:t>
      </w:r>
      <w:r>
        <w:t>, particularly in our regions.</w:t>
      </w:r>
    </w:p>
    <w:p w:rsidR="0095202A" w:rsidRDefault="0095202A" w:rsidP="002D5AC3">
      <w:pPr>
        <w:pStyle w:val="Bulletlist"/>
        <w:numPr>
          <w:ilvl w:val="2"/>
          <w:numId w:val="13"/>
        </w:numPr>
        <w:spacing w:line="276" w:lineRule="auto"/>
      </w:pPr>
      <w:r>
        <w:t>Currently, there are three projects that are adequately progressed to provide job estimates:</w:t>
      </w:r>
    </w:p>
    <w:p w:rsidR="00FC3C41" w:rsidRPr="00D60D88" w:rsidRDefault="00FC3C41" w:rsidP="002D5AC3">
      <w:pPr>
        <w:pStyle w:val="Bulletlist"/>
        <w:numPr>
          <w:ilvl w:val="3"/>
          <w:numId w:val="13"/>
        </w:numPr>
        <w:spacing w:line="276" w:lineRule="auto"/>
      </w:pPr>
      <w:r>
        <w:t>Marinus L</w:t>
      </w:r>
      <w:r w:rsidRPr="00D60D88">
        <w:t xml:space="preserve">ink: </w:t>
      </w:r>
      <w:r>
        <w:t xml:space="preserve">In the construction phase there is the potential for </w:t>
      </w:r>
      <w:r w:rsidRPr="00D60D88">
        <w:t xml:space="preserve">503 direct jobs and 2,283 indirect jobs (2,786 total).The vast majority of jobs </w:t>
      </w:r>
      <w:r w:rsidR="0066069C">
        <w:t>would</w:t>
      </w:r>
      <w:r w:rsidR="0066069C" w:rsidRPr="00D60D88">
        <w:t xml:space="preserve"> </w:t>
      </w:r>
      <w:r w:rsidRPr="00D60D88">
        <w:t xml:space="preserve">be in regional areas (Tasmania and Gippsland). </w:t>
      </w:r>
    </w:p>
    <w:p w:rsidR="00FC3C41" w:rsidRPr="00D60D88" w:rsidRDefault="00FC3C41" w:rsidP="002D5AC3">
      <w:pPr>
        <w:pStyle w:val="Bulletlist"/>
        <w:numPr>
          <w:ilvl w:val="3"/>
          <w:numId w:val="13"/>
        </w:numPr>
        <w:spacing w:line="276" w:lineRule="auto"/>
      </w:pPr>
      <w:r>
        <w:t xml:space="preserve">Star of the South wind farm: In the construction phase potentially </w:t>
      </w:r>
      <w:r w:rsidRPr="00D60D88">
        <w:t>2,280 direct and 5,97</w:t>
      </w:r>
      <w:r>
        <w:t xml:space="preserve">0 indirect jobs (8,250 total). Ongoing operations may create </w:t>
      </w:r>
      <w:r w:rsidRPr="00D60D88">
        <w:t xml:space="preserve">300 direct and 880 indirect jobs (1,180 total). The vast majority of jobs </w:t>
      </w:r>
      <w:r w:rsidR="0066069C">
        <w:t>would</w:t>
      </w:r>
      <w:r w:rsidR="0066069C" w:rsidRPr="00D60D88">
        <w:t xml:space="preserve"> </w:t>
      </w:r>
      <w:r w:rsidRPr="00D60D88">
        <w:t>be located or deployed in regional areas (Gippsland).</w:t>
      </w:r>
    </w:p>
    <w:p w:rsidR="00FC3C41" w:rsidRPr="00D60D88" w:rsidRDefault="00FC3C41" w:rsidP="002D5AC3">
      <w:pPr>
        <w:pStyle w:val="Bulletlist"/>
        <w:numPr>
          <w:ilvl w:val="3"/>
          <w:numId w:val="13"/>
        </w:numPr>
        <w:spacing w:line="276" w:lineRule="auto"/>
      </w:pPr>
      <w:r>
        <w:t xml:space="preserve">Sun Cable: </w:t>
      </w:r>
      <w:r w:rsidRPr="00D60D88">
        <w:t xml:space="preserve">In the construction phase </w:t>
      </w:r>
      <w:r>
        <w:t xml:space="preserve">1,500 direct Australian jobs could be created. Ongoing employment opportunities </w:t>
      </w:r>
      <w:r w:rsidR="00AD6661">
        <w:t xml:space="preserve">could </w:t>
      </w:r>
      <w:r>
        <w:t xml:space="preserve">create </w:t>
      </w:r>
      <w:r w:rsidRPr="00D60D88">
        <w:t xml:space="preserve">350 direct and 12,000 indirect jobs (12,350 total) in Australia. The vast majority of jobs </w:t>
      </w:r>
      <w:r w:rsidR="0066069C">
        <w:t>would</w:t>
      </w:r>
      <w:r w:rsidR="0066069C" w:rsidRPr="00D60D88">
        <w:t xml:space="preserve"> </w:t>
      </w:r>
      <w:r w:rsidRPr="00D60D88">
        <w:t>be located or deployed in regional areas (Tennant Creek NT and Darwin).</w:t>
      </w:r>
    </w:p>
    <w:p w:rsidR="00FC3C41" w:rsidRDefault="00FC3C41" w:rsidP="002D5AC3">
      <w:pPr>
        <w:pStyle w:val="Bulletlist"/>
        <w:numPr>
          <w:ilvl w:val="2"/>
          <w:numId w:val="13"/>
        </w:numPr>
        <w:spacing w:line="276" w:lineRule="auto"/>
      </w:pPr>
      <w:r w:rsidRPr="00D60D88">
        <w:t xml:space="preserve">In total these projects </w:t>
      </w:r>
      <w:r w:rsidR="0066069C">
        <w:t>would</w:t>
      </w:r>
      <w:r w:rsidR="0066069C" w:rsidRPr="00D60D88">
        <w:t xml:space="preserve"> </w:t>
      </w:r>
      <w:r w:rsidRPr="00D60D88">
        <w:t>enable 4,933 direct jobs and 21,133 indirect jobs, with a total of 26,066 construction jobs.</w:t>
      </w:r>
    </w:p>
    <w:p w:rsidR="000D3800" w:rsidRDefault="000D3800" w:rsidP="00E47E7A">
      <w:pPr>
        <w:pStyle w:val="Bulletlist"/>
        <w:numPr>
          <w:ilvl w:val="0"/>
          <w:numId w:val="0"/>
        </w:numPr>
        <w:spacing w:line="276" w:lineRule="auto"/>
        <w:ind w:left="1080"/>
      </w:pPr>
    </w:p>
    <w:p w:rsidR="00810822" w:rsidRPr="00275017" w:rsidRDefault="008020CB" w:rsidP="0057257B">
      <w:pPr>
        <w:pStyle w:val="Heading2"/>
        <w:numPr>
          <w:ilvl w:val="1"/>
          <w:numId w:val="11"/>
        </w:numPr>
        <w:spacing w:after="0" w:line="276" w:lineRule="auto"/>
        <w:rPr>
          <w:rFonts w:ascii="Arial" w:hAnsi="Arial" w:cs="Arial"/>
        </w:rPr>
      </w:pPr>
      <w:r>
        <w:rPr>
          <w:rFonts w:ascii="Arial" w:hAnsi="Arial" w:cs="Arial"/>
        </w:rPr>
        <w:t>International</w:t>
      </w:r>
      <w:r w:rsidR="00810822" w:rsidRPr="00275017">
        <w:rPr>
          <w:rFonts w:ascii="Arial" w:hAnsi="Arial" w:cs="Arial"/>
        </w:rPr>
        <w:t xml:space="preserve"> context</w:t>
      </w:r>
    </w:p>
    <w:p w:rsidR="00810822" w:rsidRDefault="003D3B68" w:rsidP="0057257B">
      <w:pPr>
        <w:spacing w:line="276" w:lineRule="auto"/>
        <w:rPr>
          <w:rFonts w:ascii="Arial" w:hAnsi="Arial" w:cs="Arial"/>
        </w:rPr>
      </w:pPr>
      <w:r>
        <w:rPr>
          <w:rFonts w:ascii="Arial" w:hAnsi="Arial" w:cs="Arial"/>
        </w:rPr>
        <w:t>Compared</w:t>
      </w:r>
      <w:r w:rsidR="00810822" w:rsidRPr="00275017">
        <w:rPr>
          <w:rFonts w:ascii="Arial" w:hAnsi="Arial" w:cs="Arial"/>
        </w:rPr>
        <w:t xml:space="preserve"> to many other </w:t>
      </w:r>
      <w:r>
        <w:rPr>
          <w:rFonts w:ascii="Arial" w:hAnsi="Arial" w:cs="Arial"/>
        </w:rPr>
        <w:t>countries</w:t>
      </w:r>
      <w:r w:rsidR="00810822" w:rsidRPr="00275017">
        <w:rPr>
          <w:rFonts w:ascii="Arial" w:hAnsi="Arial" w:cs="Arial"/>
        </w:rPr>
        <w:t xml:space="preserve">, the Australian offshore </w:t>
      </w:r>
      <w:r w:rsidR="009760F6">
        <w:rPr>
          <w:rFonts w:ascii="Arial" w:hAnsi="Arial" w:cs="Arial"/>
        </w:rPr>
        <w:t>electricity</w:t>
      </w:r>
      <w:r w:rsidR="00810822" w:rsidRPr="00275017">
        <w:rPr>
          <w:rFonts w:ascii="Arial" w:hAnsi="Arial" w:cs="Arial"/>
        </w:rPr>
        <w:t xml:space="preserve"> sector is at an early stage of development. </w:t>
      </w:r>
    </w:p>
    <w:p w:rsidR="00F155B9" w:rsidRPr="00275017" w:rsidRDefault="00F155B9" w:rsidP="0057257B">
      <w:pPr>
        <w:spacing w:line="276" w:lineRule="auto"/>
        <w:rPr>
          <w:rFonts w:ascii="Arial" w:hAnsi="Arial" w:cs="Arial"/>
        </w:rPr>
      </w:pPr>
      <w:r w:rsidRPr="00275017">
        <w:rPr>
          <w:rFonts w:ascii="Arial" w:hAnsi="Arial" w:cs="Arial"/>
        </w:rPr>
        <w:t xml:space="preserve">Offshore wind </w:t>
      </w:r>
      <w:r>
        <w:rPr>
          <w:rFonts w:ascii="Arial" w:hAnsi="Arial" w:cs="Arial"/>
        </w:rPr>
        <w:t>is relatively mature technology internationally</w:t>
      </w:r>
      <w:r w:rsidR="003D3B68">
        <w:rPr>
          <w:rFonts w:ascii="Arial" w:hAnsi="Arial" w:cs="Arial"/>
        </w:rPr>
        <w:t>,</w:t>
      </w:r>
      <w:r>
        <w:rPr>
          <w:rFonts w:ascii="Arial" w:hAnsi="Arial" w:cs="Arial"/>
        </w:rPr>
        <w:t xml:space="preserve"> with around 150 projects underway world-wide and </w:t>
      </w:r>
      <w:r w:rsidR="006369BF">
        <w:rPr>
          <w:rFonts w:ascii="Arial" w:hAnsi="Arial" w:cs="Arial"/>
        </w:rPr>
        <w:t>29</w:t>
      </w:r>
      <w:r>
        <w:rPr>
          <w:rFonts w:ascii="Arial" w:hAnsi="Arial" w:cs="Arial"/>
        </w:rPr>
        <w:t xml:space="preserve"> GW of installed capacity</w:t>
      </w:r>
      <w:r w:rsidR="006369BF">
        <w:rPr>
          <w:rFonts w:ascii="Arial" w:hAnsi="Arial" w:cs="Arial"/>
        </w:rPr>
        <w:t xml:space="preserve"> at the end of 2019</w:t>
      </w:r>
      <w:r>
        <w:rPr>
          <w:rFonts w:ascii="Arial" w:hAnsi="Arial" w:cs="Arial"/>
        </w:rPr>
        <w:t>.</w:t>
      </w:r>
      <w:r w:rsidR="006369BF">
        <w:rPr>
          <w:rStyle w:val="FootnoteReference"/>
          <w:rFonts w:ascii="Arial" w:hAnsi="Arial" w:cs="Arial"/>
        </w:rPr>
        <w:footnoteReference w:id="2"/>
      </w:r>
      <w:r>
        <w:rPr>
          <w:rFonts w:ascii="Arial" w:hAnsi="Arial" w:cs="Arial"/>
        </w:rPr>
        <w:t xml:space="preserve"> Much of this capacity is in Europe, particularly countries close to the </w:t>
      </w:r>
      <w:r w:rsidR="002147C7">
        <w:rPr>
          <w:rFonts w:ascii="Arial" w:hAnsi="Arial" w:cs="Arial"/>
        </w:rPr>
        <w:t>North S</w:t>
      </w:r>
      <w:r>
        <w:rPr>
          <w:rFonts w:ascii="Arial" w:hAnsi="Arial" w:cs="Arial"/>
        </w:rPr>
        <w:t>ea</w:t>
      </w:r>
      <w:r w:rsidR="002147C7">
        <w:rPr>
          <w:rFonts w:ascii="Arial" w:hAnsi="Arial" w:cs="Arial"/>
        </w:rPr>
        <w:t xml:space="preserve">, where high quality wind resources, </w:t>
      </w:r>
      <w:r>
        <w:rPr>
          <w:rFonts w:ascii="Arial" w:hAnsi="Arial" w:cs="Arial"/>
        </w:rPr>
        <w:t>shallow water depth</w:t>
      </w:r>
      <w:r w:rsidR="002147C7">
        <w:rPr>
          <w:rFonts w:ascii="Arial" w:hAnsi="Arial" w:cs="Arial"/>
        </w:rPr>
        <w:t xml:space="preserve"> and long term policy support has driven the sector</w:t>
      </w:r>
      <w:r>
        <w:rPr>
          <w:rFonts w:ascii="Arial" w:hAnsi="Arial" w:cs="Arial"/>
        </w:rPr>
        <w:t xml:space="preserve">. More recently, China has increased capacity significantly, with </w:t>
      </w:r>
      <w:r w:rsidR="00A01F9E">
        <w:rPr>
          <w:rFonts w:ascii="Arial" w:hAnsi="Arial" w:cs="Arial"/>
        </w:rPr>
        <w:t>6 GW</w:t>
      </w:r>
      <w:r>
        <w:rPr>
          <w:rFonts w:ascii="Arial" w:hAnsi="Arial" w:cs="Arial"/>
        </w:rPr>
        <w:t xml:space="preserve"> now </w:t>
      </w:r>
      <w:r w:rsidR="00A01F9E">
        <w:rPr>
          <w:rFonts w:ascii="Arial" w:hAnsi="Arial" w:cs="Arial"/>
        </w:rPr>
        <w:t>installed</w:t>
      </w:r>
      <w:r>
        <w:rPr>
          <w:rFonts w:ascii="Arial" w:hAnsi="Arial" w:cs="Arial"/>
        </w:rPr>
        <w:t xml:space="preserve">.  </w:t>
      </w:r>
    </w:p>
    <w:p w:rsidR="002147C7" w:rsidRPr="00A01F9E" w:rsidRDefault="00A01F9E" w:rsidP="0057257B">
      <w:pPr>
        <w:spacing w:line="276" w:lineRule="auto"/>
        <w:rPr>
          <w:rFonts w:ascii="Arial" w:hAnsi="Arial" w:cs="Arial"/>
        </w:rPr>
      </w:pPr>
      <w:r>
        <w:rPr>
          <w:rFonts w:ascii="Arial" w:hAnsi="Arial" w:cs="Arial"/>
        </w:rPr>
        <w:t>Recent reports have highlight the long term potential for the sector. The</w:t>
      </w:r>
      <w:r w:rsidR="006A1C73">
        <w:rPr>
          <w:rFonts w:ascii="Arial" w:hAnsi="Arial" w:cs="Arial"/>
        </w:rPr>
        <w:t xml:space="preserve"> </w:t>
      </w:r>
      <w:r w:rsidR="005541A5">
        <w:rPr>
          <w:rFonts w:ascii="Arial" w:hAnsi="Arial" w:cs="Arial"/>
        </w:rPr>
        <w:t>IEA’s Offshore Wind Outlook 2019 estimated</w:t>
      </w:r>
      <w:r w:rsidR="00F155B9">
        <w:rPr>
          <w:rFonts w:ascii="Arial" w:hAnsi="Arial" w:cs="Arial"/>
        </w:rPr>
        <w:t xml:space="preserve"> the sector is expected to </w:t>
      </w:r>
      <w:r w:rsidR="002147C7">
        <w:rPr>
          <w:rFonts w:ascii="Arial" w:hAnsi="Arial" w:cs="Arial"/>
        </w:rPr>
        <w:t>grow 15 fold</w:t>
      </w:r>
      <w:r w:rsidR="00AB5E11" w:rsidRPr="00A01F9E">
        <w:rPr>
          <w:rFonts w:ascii="Arial" w:hAnsi="Arial" w:cs="Arial"/>
        </w:rPr>
        <w:t xml:space="preserve"> </w:t>
      </w:r>
      <w:r w:rsidR="002147C7" w:rsidRPr="00A01F9E">
        <w:rPr>
          <w:rFonts w:ascii="Arial" w:hAnsi="Arial" w:cs="Arial"/>
        </w:rPr>
        <w:t>by 2040</w:t>
      </w:r>
      <w:r w:rsidR="00AB5E11" w:rsidRPr="00A01F9E">
        <w:rPr>
          <w:rFonts w:ascii="Arial" w:hAnsi="Arial" w:cs="Arial"/>
        </w:rPr>
        <w:t xml:space="preserve"> </w:t>
      </w:r>
      <w:r w:rsidR="00FE5466">
        <w:rPr>
          <w:rFonts w:ascii="Arial" w:hAnsi="Arial" w:cs="Arial"/>
        </w:rPr>
        <w:t>and be worth</w:t>
      </w:r>
      <w:r w:rsidR="00AB5E11" w:rsidRPr="00A01F9E">
        <w:rPr>
          <w:rFonts w:ascii="Arial" w:hAnsi="Arial" w:cs="Arial"/>
        </w:rPr>
        <w:t xml:space="preserve"> USD</w:t>
      </w:r>
      <w:r w:rsidR="008D34FA">
        <w:rPr>
          <w:rFonts w:ascii="Arial" w:hAnsi="Arial" w:cs="Arial"/>
        </w:rPr>
        <w:t> </w:t>
      </w:r>
      <w:r w:rsidR="00AB5E11" w:rsidRPr="00A01F9E">
        <w:rPr>
          <w:rFonts w:ascii="Arial" w:hAnsi="Arial" w:cs="Arial"/>
        </w:rPr>
        <w:t>1</w:t>
      </w:r>
      <w:r w:rsidR="008D34FA">
        <w:rPr>
          <w:rFonts w:ascii="Arial" w:hAnsi="Arial" w:cs="Arial"/>
        </w:rPr>
        <w:t> </w:t>
      </w:r>
      <w:r w:rsidR="00AB5E11" w:rsidRPr="00A01F9E">
        <w:rPr>
          <w:rFonts w:ascii="Arial" w:hAnsi="Arial" w:cs="Arial"/>
        </w:rPr>
        <w:t>trillion</w:t>
      </w:r>
      <w:r w:rsidR="006B7C54">
        <w:rPr>
          <w:rFonts w:ascii="Arial" w:hAnsi="Arial" w:cs="Arial"/>
        </w:rPr>
        <w:t xml:space="preserve">. </w:t>
      </w:r>
    </w:p>
    <w:p w:rsidR="0089182E" w:rsidRDefault="00BE5B44" w:rsidP="0057257B">
      <w:pPr>
        <w:spacing w:line="276" w:lineRule="auto"/>
        <w:rPr>
          <w:rFonts w:ascii="Arial" w:hAnsi="Arial" w:cs="Arial"/>
        </w:rPr>
      </w:pPr>
      <w:r>
        <w:rPr>
          <w:rFonts w:ascii="Arial" w:hAnsi="Arial" w:cs="Arial"/>
        </w:rPr>
        <w:t xml:space="preserve">Importantly for </w:t>
      </w:r>
      <w:r w:rsidR="00CD0E8F">
        <w:rPr>
          <w:rFonts w:ascii="Arial" w:hAnsi="Arial" w:cs="Arial"/>
        </w:rPr>
        <w:t>potential price reductions in the</w:t>
      </w:r>
      <w:r w:rsidR="002E75B3">
        <w:rPr>
          <w:rFonts w:ascii="Arial" w:hAnsi="Arial" w:cs="Arial"/>
        </w:rPr>
        <w:t xml:space="preserve"> </w:t>
      </w:r>
      <w:r>
        <w:rPr>
          <w:rFonts w:ascii="Arial" w:hAnsi="Arial" w:cs="Arial"/>
        </w:rPr>
        <w:t>Australia</w:t>
      </w:r>
      <w:r w:rsidR="002E75B3">
        <w:rPr>
          <w:rFonts w:ascii="Arial" w:hAnsi="Arial" w:cs="Arial"/>
        </w:rPr>
        <w:t>n market</w:t>
      </w:r>
      <w:r>
        <w:rPr>
          <w:rFonts w:ascii="Arial" w:hAnsi="Arial" w:cs="Arial"/>
        </w:rPr>
        <w:t xml:space="preserve">, much of the new growth will be in Asia, with China forecast to overtake the UK as holding the highest </w:t>
      </w:r>
      <w:r w:rsidR="00CE155C">
        <w:rPr>
          <w:rFonts w:ascii="Arial" w:hAnsi="Arial" w:cs="Arial"/>
        </w:rPr>
        <w:t xml:space="preserve">number of installations. Japan, India, Taiwan, and Korea </w:t>
      </w:r>
      <w:r w:rsidR="00FE5466">
        <w:rPr>
          <w:rFonts w:ascii="Arial" w:hAnsi="Arial" w:cs="Arial"/>
        </w:rPr>
        <w:t xml:space="preserve">are </w:t>
      </w:r>
      <w:r w:rsidR="00CE155C">
        <w:rPr>
          <w:rFonts w:ascii="Arial" w:hAnsi="Arial" w:cs="Arial"/>
        </w:rPr>
        <w:t>also developing local offshore wind sector</w:t>
      </w:r>
      <w:r w:rsidR="00FE5466">
        <w:rPr>
          <w:rFonts w:ascii="Arial" w:hAnsi="Arial" w:cs="Arial"/>
        </w:rPr>
        <w:t>s</w:t>
      </w:r>
      <w:r w:rsidR="00CE155C">
        <w:rPr>
          <w:rFonts w:ascii="Arial" w:hAnsi="Arial" w:cs="Arial"/>
        </w:rPr>
        <w:t>, w</w:t>
      </w:r>
      <w:r w:rsidR="00FE5466">
        <w:rPr>
          <w:rFonts w:ascii="Arial" w:hAnsi="Arial" w:cs="Arial"/>
        </w:rPr>
        <w:t>h</w:t>
      </w:r>
      <w:r w:rsidR="00CE155C">
        <w:rPr>
          <w:rFonts w:ascii="Arial" w:hAnsi="Arial" w:cs="Arial"/>
        </w:rPr>
        <w:t>i</w:t>
      </w:r>
      <w:r w:rsidR="00FE5466">
        <w:rPr>
          <w:rFonts w:ascii="Arial" w:hAnsi="Arial" w:cs="Arial"/>
        </w:rPr>
        <w:t>ch</w:t>
      </w:r>
      <w:r w:rsidR="00CE155C">
        <w:rPr>
          <w:rFonts w:ascii="Arial" w:hAnsi="Arial" w:cs="Arial"/>
        </w:rPr>
        <w:t xml:space="preserve"> will further encourage regional supply chain</w:t>
      </w:r>
      <w:r w:rsidR="008D34FA">
        <w:rPr>
          <w:rFonts w:ascii="Arial" w:hAnsi="Arial" w:cs="Arial"/>
        </w:rPr>
        <w:t>s</w:t>
      </w:r>
      <w:r w:rsidR="00CE155C">
        <w:rPr>
          <w:rFonts w:ascii="Arial" w:hAnsi="Arial" w:cs="Arial"/>
        </w:rPr>
        <w:t xml:space="preserve"> for components and manufacturing</w:t>
      </w:r>
      <w:r w:rsidR="00030CF3">
        <w:rPr>
          <w:rFonts w:ascii="Arial" w:hAnsi="Arial" w:cs="Arial"/>
        </w:rPr>
        <w:t xml:space="preserve">, create a more competitive market </w:t>
      </w:r>
      <w:r w:rsidR="00A82A4E">
        <w:rPr>
          <w:rFonts w:ascii="Arial" w:hAnsi="Arial" w:cs="Arial"/>
        </w:rPr>
        <w:t>and</w:t>
      </w:r>
      <w:r w:rsidR="00030CF3">
        <w:rPr>
          <w:rFonts w:ascii="Arial" w:hAnsi="Arial" w:cs="Arial"/>
        </w:rPr>
        <w:t xml:space="preserve"> reduce local costs</w:t>
      </w:r>
      <w:r w:rsidR="00CE155C">
        <w:rPr>
          <w:rFonts w:ascii="Arial" w:hAnsi="Arial" w:cs="Arial"/>
        </w:rPr>
        <w:t xml:space="preserve">. </w:t>
      </w:r>
    </w:p>
    <w:p w:rsidR="00CE0D25" w:rsidRDefault="00CE0D25" w:rsidP="0057257B">
      <w:pPr>
        <w:spacing w:line="276" w:lineRule="auto"/>
        <w:rPr>
          <w:rFonts w:ascii="Arial" w:hAnsi="Arial" w:cs="Arial"/>
        </w:rPr>
      </w:pPr>
    </w:p>
    <w:p w:rsidR="00CE155C" w:rsidRDefault="00CE155C" w:rsidP="0057257B">
      <w:pPr>
        <w:pStyle w:val="Heading2"/>
        <w:numPr>
          <w:ilvl w:val="1"/>
          <w:numId w:val="11"/>
        </w:numPr>
        <w:spacing w:line="276" w:lineRule="auto"/>
      </w:pPr>
      <w:r>
        <w:t>Australian Market</w:t>
      </w:r>
    </w:p>
    <w:p w:rsidR="00972B74" w:rsidRPr="00A9606E" w:rsidRDefault="00972B74" w:rsidP="00C22764">
      <w:pPr>
        <w:spacing w:line="276" w:lineRule="auto"/>
        <w:rPr>
          <w:rFonts w:cs="Arial"/>
        </w:rPr>
      </w:pPr>
      <w:r w:rsidRPr="00972B74">
        <w:rPr>
          <w:rFonts w:ascii="Arial" w:hAnsi="Arial" w:cs="Arial"/>
        </w:rPr>
        <w:t>Marinus Link as a critical part of addressing long-term cost, security and reliability issues within the NEM.</w:t>
      </w:r>
      <w:r>
        <w:rPr>
          <w:rFonts w:ascii="Arial" w:hAnsi="Arial" w:cs="Arial"/>
        </w:rPr>
        <w:t xml:space="preserve"> The project will </w:t>
      </w:r>
      <w:r w:rsidRPr="00972B74">
        <w:rPr>
          <w:rFonts w:ascii="Arial" w:hAnsi="Arial" w:cs="Arial"/>
        </w:rPr>
        <w:t xml:space="preserve">facilitate greater energy transmission between Tasmania and Victoria, </w:t>
      </w:r>
      <w:r>
        <w:rPr>
          <w:rFonts w:ascii="Arial" w:hAnsi="Arial" w:cs="Arial"/>
        </w:rPr>
        <w:t>and has been</w:t>
      </w:r>
      <w:r w:rsidRPr="00972B74">
        <w:rPr>
          <w:rFonts w:ascii="Arial" w:hAnsi="Arial" w:cs="Arial"/>
        </w:rPr>
        <w:t xml:space="preserve"> identified as an Actionable Integrated System Plan (ISP) project by the Australian Energy Market Operator (AEMO). </w:t>
      </w:r>
      <w:r w:rsidRPr="00C22764">
        <w:rPr>
          <w:rFonts w:ascii="Arial" w:hAnsi="Arial" w:cs="Arial"/>
        </w:rPr>
        <w:t>The economic benefits of Marinus Link for Tasmania and Victoria are estimated at $2.9 billion</w:t>
      </w:r>
      <w:r>
        <w:rPr>
          <w:rFonts w:ascii="Arial" w:hAnsi="Arial" w:cs="Arial"/>
        </w:rPr>
        <w:t xml:space="preserve">, with </w:t>
      </w:r>
      <w:r w:rsidRPr="003278FC">
        <w:rPr>
          <w:rFonts w:ascii="Arial" w:hAnsi="Arial" w:cs="Arial"/>
        </w:rPr>
        <w:t xml:space="preserve">2,786 </w:t>
      </w:r>
      <w:r>
        <w:rPr>
          <w:rFonts w:ascii="Arial" w:hAnsi="Arial" w:cs="Arial"/>
        </w:rPr>
        <w:t>direct and indirect jobs</w:t>
      </w:r>
      <w:r w:rsidRPr="00C22764">
        <w:rPr>
          <w:rFonts w:ascii="Arial" w:hAnsi="Arial" w:cs="Arial"/>
        </w:rPr>
        <w:t>.</w:t>
      </w:r>
    </w:p>
    <w:p w:rsidR="00972B74" w:rsidRPr="00972B74" w:rsidRDefault="00972B74" w:rsidP="00972B74">
      <w:pPr>
        <w:spacing w:line="276" w:lineRule="auto"/>
        <w:rPr>
          <w:rFonts w:ascii="Arial" w:hAnsi="Arial" w:cs="Arial"/>
        </w:rPr>
      </w:pPr>
      <w:r w:rsidRPr="00972B74">
        <w:rPr>
          <w:rFonts w:ascii="Arial" w:hAnsi="Arial" w:cs="Arial"/>
        </w:rPr>
        <w:t>In December 2020, the Australian and Tasmanian Governments signed the Commonwealth-Tasmania Bilateral Energy and Emissions Reduction Agreement, committing both to complete Marinus Link’s Design and Approvals phase (early project works) by 2024.</w:t>
      </w:r>
    </w:p>
    <w:p w:rsidR="00810822" w:rsidRPr="00275017" w:rsidRDefault="00943A93" w:rsidP="0057257B">
      <w:pPr>
        <w:spacing w:line="276" w:lineRule="auto"/>
        <w:rPr>
          <w:rFonts w:ascii="Arial" w:hAnsi="Arial" w:cs="Arial"/>
        </w:rPr>
      </w:pPr>
      <w:r>
        <w:rPr>
          <w:rFonts w:ascii="Arial" w:hAnsi="Arial" w:cs="Arial"/>
        </w:rPr>
        <w:t>T</w:t>
      </w:r>
      <w:r w:rsidR="00B94146">
        <w:rPr>
          <w:rFonts w:ascii="Arial" w:hAnsi="Arial" w:cs="Arial"/>
        </w:rPr>
        <w:t>he</w:t>
      </w:r>
      <w:r w:rsidR="0010473A">
        <w:rPr>
          <w:rFonts w:ascii="Arial" w:hAnsi="Arial" w:cs="Arial"/>
        </w:rPr>
        <w:t xml:space="preserve">re is currently no offshore wind generation in Australia. </w:t>
      </w:r>
      <w:r w:rsidR="000F3426">
        <w:rPr>
          <w:rFonts w:ascii="Arial" w:hAnsi="Arial" w:cs="Arial"/>
        </w:rPr>
        <w:t xml:space="preserve">Australia has a range of commercially competitive onshore renewable energy technologies, as well as non-renewable energy sources that will </w:t>
      </w:r>
      <w:r w:rsidR="00854676">
        <w:rPr>
          <w:rFonts w:ascii="Arial" w:hAnsi="Arial" w:cs="Arial"/>
        </w:rPr>
        <w:t xml:space="preserve">compete with </w:t>
      </w:r>
      <w:r w:rsidR="000F3426">
        <w:rPr>
          <w:rFonts w:ascii="Arial" w:hAnsi="Arial" w:cs="Arial"/>
        </w:rPr>
        <w:t>offshore renewable energy.</w:t>
      </w:r>
      <w:r w:rsidR="0010473A">
        <w:rPr>
          <w:rFonts w:ascii="Arial" w:hAnsi="Arial" w:cs="Arial"/>
        </w:rPr>
        <w:t xml:space="preserve"> The commerciality of offshore wind energy in Australia is not yet proven, although the </w:t>
      </w:r>
      <w:r w:rsidR="00044FD0">
        <w:rPr>
          <w:rFonts w:ascii="Arial" w:hAnsi="Arial" w:cs="Arial"/>
        </w:rPr>
        <w:t>c</w:t>
      </w:r>
      <w:r w:rsidR="00030CF3">
        <w:rPr>
          <w:rFonts w:ascii="Arial" w:hAnsi="Arial" w:cs="Arial"/>
        </w:rPr>
        <w:t>ost</w:t>
      </w:r>
      <w:r w:rsidR="00044FD0">
        <w:rPr>
          <w:rFonts w:ascii="Arial" w:hAnsi="Arial" w:cs="Arial"/>
        </w:rPr>
        <w:t>s</w:t>
      </w:r>
      <w:r w:rsidR="00030CF3">
        <w:rPr>
          <w:rFonts w:ascii="Arial" w:hAnsi="Arial" w:cs="Arial"/>
        </w:rPr>
        <w:t xml:space="preserve"> are expected to fall dramatically by the end of the decade</w:t>
      </w:r>
      <w:r w:rsidR="0010473A">
        <w:rPr>
          <w:rFonts w:ascii="Arial" w:hAnsi="Arial" w:cs="Arial"/>
        </w:rPr>
        <w:t xml:space="preserve">. </w:t>
      </w:r>
      <w:r w:rsidR="0074014A">
        <w:rPr>
          <w:rFonts w:ascii="Arial" w:hAnsi="Arial" w:cs="Arial"/>
        </w:rPr>
        <w:t xml:space="preserve"> </w:t>
      </w:r>
      <w:r>
        <w:rPr>
          <w:rFonts w:ascii="Arial" w:hAnsi="Arial" w:cs="Arial"/>
        </w:rPr>
        <w:t xml:space="preserve"> </w:t>
      </w:r>
    </w:p>
    <w:p w:rsidR="00810822" w:rsidRPr="00275017" w:rsidRDefault="00810822" w:rsidP="0057257B">
      <w:pPr>
        <w:spacing w:line="276" w:lineRule="auto"/>
        <w:rPr>
          <w:rFonts w:ascii="Arial" w:hAnsi="Arial" w:cs="Arial"/>
        </w:rPr>
      </w:pPr>
      <w:r w:rsidRPr="00275017">
        <w:rPr>
          <w:rFonts w:ascii="Arial" w:hAnsi="Arial" w:cs="Arial"/>
        </w:rPr>
        <w:t xml:space="preserve">Beyond offshore wind, other offshore </w:t>
      </w:r>
      <w:r w:rsidR="009760F6">
        <w:rPr>
          <w:rFonts w:ascii="Arial" w:hAnsi="Arial" w:cs="Arial"/>
        </w:rPr>
        <w:t>electricity</w:t>
      </w:r>
      <w:r w:rsidRPr="00275017">
        <w:rPr>
          <w:rFonts w:ascii="Arial" w:hAnsi="Arial" w:cs="Arial"/>
        </w:rPr>
        <w:t xml:space="preserve"> </w:t>
      </w:r>
      <w:r w:rsidR="009760F6">
        <w:rPr>
          <w:rFonts w:ascii="Arial" w:hAnsi="Arial" w:cs="Arial"/>
        </w:rPr>
        <w:t xml:space="preserve">generation </w:t>
      </w:r>
      <w:r w:rsidRPr="00275017">
        <w:rPr>
          <w:rFonts w:ascii="Arial" w:hAnsi="Arial" w:cs="Arial"/>
        </w:rPr>
        <w:t xml:space="preserve">technologies have received </w:t>
      </w:r>
      <w:r w:rsidR="00A65647">
        <w:rPr>
          <w:rFonts w:ascii="Arial" w:hAnsi="Arial" w:cs="Arial"/>
        </w:rPr>
        <w:t xml:space="preserve">development support from government, and are still in the </w:t>
      </w:r>
      <w:r w:rsidRPr="00275017">
        <w:rPr>
          <w:rFonts w:ascii="Arial" w:hAnsi="Arial" w:cs="Arial"/>
        </w:rPr>
        <w:t xml:space="preserve">early stage development. For example, a number of wave and tidal based technologies have been developed to prototype stage </w:t>
      </w:r>
      <w:r w:rsidRPr="00BF577C">
        <w:rPr>
          <w:rFonts w:ascii="Arial" w:hAnsi="Arial" w:cs="Arial"/>
        </w:rPr>
        <w:t>(noting tidal energy typically occurs closer to shore and subsequently falls within State waters).</w:t>
      </w:r>
      <w:r w:rsidRPr="00275017">
        <w:rPr>
          <w:rFonts w:ascii="Arial" w:hAnsi="Arial" w:cs="Arial"/>
        </w:rPr>
        <w:t xml:space="preserve"> Other emerging forms of offshore </w:t>
      </w:r>
      <w:r w:rsidR="009760F6">
        <w:rPr>
          <w:rFonts w:ascii="Arial" w:hAnsi="Arial" w:cs="Arial"/>
        </w:rPr>
        <w:t>electricity</w:t>
      </w:r>
      <w:r w:rsidRPr="00275017">
        <w:rPr>
          <w:rFonts w:ascii="Arial" w:hAnsi="Arial" w:cs="Arial"/>
        </w:rPr>
        <w:t xml:space="preserve"> technology</w:t>
      </w:r>
      <w:r w:rsidR="00A40270">
        <w:rPr>
          <w:rFonts w:ascii="Arial" w:hAnsi="Arial" w:cs="Arial"/>
        </w:rPr>
        <w:t xml:space="preserve">, such as </w:t>
      </w:r>
      <w:r w:rsidRPr="00275017">
        <w:rPr>
          <w:rFonts w:ascii="Arial" w:hAnsi="Arial" w:cs="Arial"/>
        </w:rPr>
        <w:t>floating solar</w:t>
      </w:r>
      <w:r w:rsidR="00A40270">
        <w:rPr>
          <w:rFonts w:ascii="Arial" w:hAnsi="Arial" w:cs="Arial"/>
        </w:rPr>
        <w:t>,</w:t>
      </w:r>
      <w:r w:rsidRPr="00275017">
        <w:rPr>
          <w:rFonts w:ascii="Arial" w:hAnsi="Arial" w:cs="Arial"/>
        </w:rPr>
        <w:t xml:space="preserve"> </w:t>
      </w:r>
      <w:r w:rsidR="00A40270">
        <w:rPr>
          <w:rFonts w:ascii="Arial" w:hAnsi="Arial" w:cs="Arial"/>
        </w:rPr>
        <w:t>would be enabled by the legislation</w:t>
      </w:r>
      <w:r w:rsidR="00A40270" w:rsidRPr="00275017">
        <w:rPr>
          <w:rFonts w:ascii="Arial" w:hAnsi="Arial" w:cs="Arial"/>
        </w:rPr>
        <w:t xml:space="preserve"> </w:t>
      </w:r>
      <w:r w:rsidR="00A40270">
        <w:rPr>
          <w:rFonts w:ascii="Arial" w:hAnsi="Arial" w:cs="Arial"/>
        </w:rPr>
        <w:t xml:space="preserve">even though they are currently </w:t>
      </w:r>
      <w:r w:rsidR="00BC41FD">
        <w:rPr>
          <w:rFonts w:ascii="Arial" w:hAnsi="Arial" w:cs="Arial"/>
        </w:rPr>
        <w:t xml:space="preserve">less prospective in Australia. </w:t>
      </w:r>
    </w:p>
    <w:p w:rsidR="00810822" w:rsidRDefault="00810822" w:rsidP="0057257B">
      <w:pPr>
        <w:spacing w:line="276" w:lineRule="auto"/>
        <w:rPr>
          <w:rFonts w:ascii="Arial" w:hAnsi="Arial"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Role of the Commonwealth </w:t>
      </w:r>
    </w:p>
    <w:p w:rsidR="00810822" w:rsidRPr="00275017" w:rsidRDefault="00BA56F0" w:rsidP="0057257B">
      <w:pPr>
        <w:spacing w:line="276" w:lineRule="auto"/>
        <w:rPr>
          <w:rFonts w:ascii="Arial" w:hAnsi="Arial" w:cs="Arial"/>
        </w:rPr>
      </w:pPr>
      <w:r w:rsidRPr="00275017">
        <w:rPr>
          <w:rFonts w:ascii="Arial" w:hAnsi="Arial" w:cs="Arial"/>
        </w:rPr>
        <w:t>T</w:t>
      </w:r>
      <w:r w:rsidR="00810822" w:rsidRPr="00275017">
        <w:rPr>
          <w:rFonts w:ascii="Arial" w:hAnsi="Arial" w:cs="Arial"/>
        </w:rPr>
        <w:t xml:space="preserve">he Commonwealth’s broad policy intent </w:t>
      </w:r>
      <w:r w:rsidRPr="00275017">
        <w:rPr>
          <w:rFonts w:ascii="Arial" w:hAnsi="Arial" w:cs="Arial"/>
        </w:rPr>
        <w:t xml:space="preserve">is </w:t>
      </w:r>
      <w:r w:rsidR="0010473A">
        <w:rPr>
          <w:rFonts w:ascii="Arial" w:hAnsi="Arial" w:cs="Arial"/>
        </w:rPr>
        <w:t xml:space="preserve">to remove regulatory barriers to new entrants to the market. </w:t>
      </w:r>
      <w:r w:rsidRPr="00275017">
        <w:rPr>
          <w:rFonts w:ascii="Arial" w:hAnsi="Arial" w:cs="Arial"/>
        </w:rPr>
        <w:t xml:space="preserve"> I</w:t>
      </w:r>
      <w:r w:rsidR="00810822" w:rsidRPr="00275017">
        <w:rPr>
          <w:rFonts w:ascii="Arial" w:hAnsi="Arial" w:cs="Arial"/>
        </w:rPr>
        <w:t xml:space="preserve">n the short term </w:t>
      </w:r>
      <w:r w:rsidR="0010473A">
        <w:rPr>
          <w:rFonts w:ascii="Arial" w:hAnsi="Arial" w:cs="Arial"/>
        </w:rPr>
        <w:t xml:space="preserve">it is </w:t>
      </w:r>
      <w:r w:rsidR="00810822" w:rsidRPr="00275017">
        <w:rPr>
          <w:rFonts w:ascii="Arial" w:hAnsi="Arial" w:cs="Arial"/>
        </w:rPr>
        <w:t>anticipate</w:t>
      </w:r>
      <w:r w:rsidR="0010473A">
        <w:rPr>
          <w:rFonts w:ascii="Arial" w:hAnsi="Arial" w:cs="Arial"/>
        </w:rPr>
        <w:t xml:space="preserve">d </w:t>
      </w:r>
      <w:r w:rsidR="00810822" w:rsidRPr="00275017">
        <w:rPr>
          <w:rFonts w:ascii="Arial" w:hAnsi="Arial" w:cs="Arial"/>
        </w:rPr>
        <w:t xml:space="preserve">the sector </w:t>
      </w:r>
      <w:r w:rsidR="0066069C">
        <w:rPr>
          <w:rFonts w:ascii="Arial" w:hAnsi="Arial" w:cs="Arial"/>
        </w:rPr>
        <w:t xml:space="preserve">would </w:t>
      </w:r>
      <w:r w:rsidR="00810822" w:rsidRPr="00275017">
        <w:rPr>
          <w:rFonts w:ascii="Arial" w:hAnsi="Arial" w:cs="Arial"/>
        </w:rPr>
        <w:t>consist of strong commercial interest from a limited number of large scale offshore wind proposals</w:t>
      </w:r>
      <w:r w:rsidR="00972B74">
        <w:rPr>
          <w:rFonts w:ascii="Arial" w:hAnsi="Arial" w:cs="Arial"/>
        </w:rPr>
        <w:t xml:space="preserve"> and critical transmission projects</w:t>
      </w:r>
      <w:r w:rsidR="0010473A">
        <w:rPr>
          <w:rFonts w:ascii="Arial" w:hAnsi="Arial" w:cs="Arial"/>
        </w:rPr>
        <w:t xml:space="preserve">. There are </w:t>
      </w:r>
      <w:r w:rsidR="00810822" w:rsidRPr="00275017">
        <w:rPr>
          <w:rFonts w:ascii="Arial" w:hAnsi="Arial" w:cs="Arial"/>
        </w:rPr>
        <w:t xml:space="preserve">a similar number of smaller scale operators undertaking exploration focused activities or seeking to deploy experimental devices, and a comparable number of transmission focused projects.  </w:t>
      </w:r>
    </w:p>
    <w:p w:rsidR="00810822" w:rsidRPr="00275017" w:rsidRDefault="00972B74" w:rsidP="0057257B">
      <w:pPr>
        <w:spacing w:line="276" w:lineRule="auto"/>
        <w:rPr>
          <w:rFonts w:ascii="Arial" w:hAnsi="Arial" w:cs="Arial"/>
        </w:rPr>
      </w:pPr>
      <w:r>
        <w:rPr>
          <w:rFonts w:ascii="Arial" w:hAnsi="Arial" w:cs="Arial"/>
        </w:rPr>
        <w:t>T</w:t>
      </w:r>
      <w:r w:rsidR="00810822" w:rsidRPr="00275017">
        <w:rPr>
          <w:rFonts w:ascii="Arial" w:hAnsi="Arial" w:cs="Arial"/>
        </w:rPr>
        <w:t xml:space="preserve">he establishment of an offshore </w:t>
      </w:r>
      <w:r w:rsidR="008F10E1">
        <w:rPr>
          <w:rFonts w:ascii="Arial" w:hAnsi="Arial" w:cs="Arial"/>
        </w:rPr>
        <w:t>electricity</w:t>
      </w:r>
      <w:r w:rsidR="00810822" w:rsidRPr="00275017">
        <w:rPr>
          <w:rFonts w:ascii="Arial" w:hAnsi="Arial" w:cs="Arial"/>
        </w:rPr>
        <w:t xml:space="preserve"> sector in Australia </w:t>
      </w:r>
      <w:r w:rsidR="0010473A">
        <w:rPr>
          <w:rFonts w:ascii="Arial" w:hAnsi="Arial" w:cs="Arial"/>
        </w:rPr>
        <w:t>c</w:t>
      </w:r>
      <w:r w:rsidR="00810822" w:rsidRPr="00275017">
        <w:rPr>
          <w:rFonts w:ascii="Arial" w:hAnsi="Arial" w:cs="Arial"/>
        </w:rPr>
        <w:t>ould offer broader opportunities</w:t>
      </w:r>
      <w:r w:rsidR="002440DC">
        <w:rPr>
          <w:rFonts w:ascii="Arial" w:hAnsi="Arial" w:cs="Arial"/>
        </w:rPr>
        <w:t xml:space="preserve"> in the </w:t>
      </w:r>
      <w:r w:rsidR="0095202A">
        <w:rPr>
          <w:rFonts w:ascii="Arial" w:hAnsi="Arial" w:cs="Arial"/>
        </w:rPr>
        <w:t>‘</w:t>
      </w:r>
      <w:r w:rsidR="002440DC">
        <w:rPr>
          <w:rFonts w:ascii="Arial" w:hAnsi="Arial" w:cs="Arial"/>
        </w:rPr>
        <w:t>national interest</w:t>
      </w:r>
      <w:r w:rsidR="0095202A">
        <w:rPr>
          <w:rFonts w:ascii="Arial" w:hAnsi="Arial" w:cs="Arial"/>
        </w:rPr>
        <w:t>’</w:t>
      </w:r>
      <w:r w:rsidR="00810822" w:rsidRPr="00275017">
        <w:rPr>
          <w:rFonts w:ascii="Arial" w:hAnsi="Arial" w:cs="Arial"/>
        </w:rPr>
        <w:t>, including e</w:t>
      </w:r>
      <w:r w:rsidR="002440DC">
        <w:rPr>
          <w:rFonts w:ascii="Arial" w:hAnsi="Arial" w:cs="Arial"/>
        </w:rPr>
        <w:t xml:space="preserve">mployment, regional development, </w:t>
      </w:r>
      <w:r w:rsidR="00810822" w:rsidRPr="00275017">
        <w:rPr>
          <w:rFonts w:ascii="Arial" w:hAnsi="Arial" w:cs="Arial"/>
        </w:rPr>
        <w:t xml:space="preserve">manufacturing </w:t>
      </w:r>
      <w:r w:rsidR="002440DC">
        <w:rPr>
          <w:rFonts w:ascii="Arial" w:hAnsi="Arial" w:cs="Arial"/>
        </w:rPr>
        <w:t xml:space="preserve">and economic development of the offshore environment. </w:t>
      </w:r>
    </w:p>
    <w:p w:rsidR="00810822" w:rsidRPr="00275017" w:rsidRDefault="00810822" w:rsidP="0057257B">
      <w:pPr>
        <w:spacing w:line="276" w:lineRule="auto"/>
        <w:rPr>
          <w:rFonts w:ascii="Arial" w:hAnsi="Arial" w:cs="Arial"/>
        </w:rPr>
      </w:pPr>
      <w:r w:rsidRPr="00275017">
        <w:rPr>
          <w:rFonts w:ascii="Arial" w:hAnsi="Arial" w:cs="Arial"/>
        </w:rPr>
        <w:t>The Australian Government’s interest in a regulatory framework relates to:</w:t>
      </w:r>
    </w:p>
    <w:p w:rsidR="00810822" w:rsidRPr="00831F9B" w:rsidRDefault="00810822" w:rsidP="002D5AC3">
      <w:pPr>
        <w:pStyle w:val="Bulletlist"/>
        <w:spacing w:line="276" w:lineRule="auto"/>
        <w:ind w:left="714" w:hanging="357"/>
      </w:pPr>
      <w:r w:rsidRPr="00B40D58">
        <w:t>Oversight of the offshore environment beyond three nautical miles</w:t>
      </w:r>
      <w:r w:rsidR="00217D3A" w:rsidRPr="00D679E4">
        <w:t>.</w:t>
      </w:r>
    </w:p>
    <w:p w:rsidR="00810822" w:rsidRPr="002D5AC3" w:rsidRDefault="00810822" w:rsidP="002D5AC3">
      <w:pPr>
        <w:pStyle w:val="Bulletlist"/>
        <w:spacing w:line="276" w:lineRule="auto"/>
        <w:ind w:left="714" w:hanging="357"/>
      </w:pPr>
      <w:r w:rsidRPr="002D5AC3">
        <w:t>Management of existing rights and infrastructure in the maritime area, including shipping, fisheries, petroleum and the defence</w:t>
      </w:r>
      <w:r w:rsidR="00217D3A" w:rsidRPr="002D5AC3">
        <w:t>.</w:t>
      </w:r>
    </w:p>
    <w:p w:rsidR="00810822" w:rsidRPr="002D5AC3" w:rsidRDefault="00810822" w:rsidP="002D5AC3">
      <w:pPr>
        <w:pStyle w:val="Bulletlist"/>
        <w:spacing w:line="276" w:lineRule="auto"/>
        <w:ind w:left="714" w:hanging="357"/>
      </w:pPr>
      <w:r w:rsidRPr="002D5AC3">
        <w:t>Protection of the environment, workers health and safety, and construction and operation.</w:t>
      </w:r>
    </w:p>
    <w:p w:rsidR="00972B74" w:rsidRDefault="00325B95" w:rsidP="00B61EB4">
      <w:pPr>
        <w:pStyle w:val="Bulletlist"/>
        <w:numPr>
          <w:ilvl w:val="0"/>
          <w:numId w:val="0"/>
        </w:numPr>
        <w:spacing w:line="276" w:lineRule="auto"/>
        <w:rPr>
          <w:rFonts w:eastAsiaTheme="minorHAnsi" w:cs="Arial"/>
          <w:szCs w:val="22"/>
        </w:rPr>
      </w:pPr>
      <w:r>
        <w:rPr>
          <w:rFonts w:eastAsiaTheme="minorHAnsi" w:cs="Arial"/>
          <w:szCs w:val="22"/>
        </w:rPr>
        <w:t xml:space="preserve">State and territory </w:t>
      </w:r>
      <w:r w:rsidR="000D3800">
        <w:rPr>
          <w:rFonts w:eastAsiaTheme="minorHAnsi" w:cs="Arial"/>
          <w:szCs w:val="22"/>
        </w:rPr>
        <w:t xml:space="preserve">governments </w:t>
      </w:r>
      <w:r>
        <w:rPr>
          <w:rFonts w:eastAsiaTheme="minorHAnsi" w:cs="Arial"/>
          <w:szCs w:val="22"/>
        </w:rPr>
        <w:t xml:space="preserve">have permitted small scale offshore </w:t>
      </w:r>
      <w:r w:rsidR="008F10E1">
        <w:rPr>
          <w:rFonts w:eastAsiaTheme="minorHAnsi" w:cs="Arial"/>
          <w:szCs w:val="22"/>
        </w:rPr>
        <w:t>electricity</w:t>
      </w:r>
      <w:r>
        <w:rPr>
          <w:rFonts w:eastAsiaTheme="minorHAnsi" w:cs="Arial"/>
          <w:szCs w:val="22"/>
        </w:rPr>
        <w:t xml:space="preserve"> infrastructure in state coast</w:t>
      </w:r>
      <w:r w:rsidR="00217D3A">
        <w:rPr>
          <w:rFonts w:eastAsiaTheme="minorHAnsi" w:cs="Arial"/>
          <w:szCs w:val="22"/>
        </w:rPr>
        <w:t>al</w:t>
      </w:r>
      <w:r>
        <w:rPr>
          <w:rFonts w:eastAsiaTheme="minorHAnsi" w:cs="Arial"/>
          <w:szCs w:val="22"/>
        </w:rPr>
        <w:t xml:space="preserve"> waters </w:t>
      </w:r>
      <w:r w:rsidRPr="00B61EB4">
        <w:rPr>
          <w:rFonts w:eastAsiaTheme="minorHAnsi" w:cs="Arial"/>
          <w:szCs w:val="22"/>
        </w:rPr>
        <w:t>(up to three nautical miles from the low water mark)</w:t>
      </w:r>
      <w:r>
        <w:rPr>
          <w:rFonts w:eastAsiaTheme="minorHAnsi" w:cs="Arial"/>
          <w:szCs w:val="22"/>
        </w:rPr>
        <w:t xml:space="preserve">. </w:t>
      </w:r>
      <w:r w:rsidR="008D34FA">
        <w:rPr>
          <w:rFonts w:eastAsiaTheme="minorHAnsi" w:cs="Arial"/>
          <w:szCs w:val="22"/>
        </w:rPr>
        <w:t>L</w:t>
      </w:r>
      <w:r>
        <w:rPr>
          <w:rFonts w:eastAsiaTheme="minorHAnsi" w:cs="Arial"/>
          <w:szCs w:val="22"/>
        </w:rPr>
        <w:t>arger</w:t>
      </w:r>
      <w:r w:rsidR="00C5623E">
        <w:rPr>
          <w:rFonts w:eastAsiaTheme="minorHAnsi" w:cs="Arial"/>
          <w:szCs w:val="22"/>
        </w:rPr>
        <w:t>,</w:t>
      </w:r>
      <w:r>
        <w:rPr>
          <w:rFonts w:eastAsiaTheme="minorHAnsi" w:cs="Arial"/>
          <w:szCs w:val="22"/>
        </w:rPr>
        <w:t xml:space="preserve"> commercial scale project</w:t>
      </w:r>
      <w:r w:rsidR="008D34FA">
        <w:rPr>
          <w:rFonts w:eastAsiaTheme="minorHAnsi" w:cs="Arial"/>
          <w:szCs w:val="22"/>
        </w:rPr>
        <w:t>s</w:t>
      </w:r>
      <w:r>
        <w:rPr>
          <w:rFonts w:eastAsiaTheme="minorHAnsi" w:cs="Arial"/>
          <w:szCs w:val="22"/>
        </w:rPr>
        <w:t xml:space="preserve"> such as offshore wind farms or offshore transmission infrastructure will need significant area</w:t>
      </w:r>
      <w:r w:rsidR="00217D3A">
        <w:rPr>
          <w:rFonts w:eastAsiaTheme="minorHAnsi" w:cs="Arial"/>
          <w:szCs w:val="22"/>
        </w:rPr>
        <w:t>s</w:t>
      </w:r>
      <w:r>
        <w:rPr>
          <w:rFonts w:eastAsiaTheme="minorHAnsi" w:cs="Arial"/>
          <w:szCs w:val="22"/>
        </w:rPr>
        <w:t xml:space="preserve"> of maritime waters that </w:t>
      </w:r>
      <w:r w:rsidR="00217D3A">
        <w:rPr>
          <w:rFonts w:eastAsiaTheme="minorHAnsi" w:cs="Arial"/>
          <w:szCs w:val="22"/>
        </w:rPr>
        <w:t xml:space="preserve">are </w:t>
      </w:r>
      <w:r>
        <w:rPr>
          <w:rFonts w:eastAsiaTheme="minorHAnsi" w:cs="Arial"/>
          <w:szCs w:val="22"/>
        </w:rPr>
        <w:t>not available in the coast</w:t>
      </w:r>
      <w:r w:rsidR="00217D3A">
        <w:rPr>
          <w:rFonts w:eastAsiaTheme="minorHAnsi" w:cs="Arial"/>
          <w:szCs w:val="22"/>
        </w:rPr>
        <w:t>al</w:t>
      </w:r>
      <w:r>
        <w:rPr>
          <w:rFonts w:eastAsiaTheme="minorHAnsi" w:cs="Arial"/>
          <w:szCs w:val="22"/>
        </w:rPr>
        <w:t xml:space="preserve"> zone, or will extend beyond state coastal waters. </w:t>
      </w:r>
    </w:p>
    <w:p w:rsidR="00325B95" w:rsidRDefault="00F419B8" w:rsidP="00B61EB4">
      <w:pPr>
        <w:pStyle w:val="Bulletlist"/>
        <w:numPr>
          <w:ilvl w:val="0"/>
          <w:numId w:val="0"/>
        </w:numPr>
        <w:spacing w:line="276" w:lineRule="auto"/>
        <w:rPr>
          <w:rFonts w:eastAsiaTheme="minorHAnsi" w:cs="Arial"/>
          <w:szCs w:val="22"/>
        </w:rPr>
      </w:pPr>
      <w:r w:rsidRPr="00F419B8">
        <w:rPr>
          <w:rFonts w:eastAsiaTheme="minorHAnsi" w:cs="Arial"/>
          <w:szCs w:val="22"/>
        </w:rPr>
        <w:t xml:space="preserve">Enabling legislation for offshore </w:t>
      </w:r>
      <w:r w:rsidR="008F10E1">
        <w:rPr>
          <w:rFonts w:eastAsiaTheme="minorHAnsi" w:cs="Arial"/>
          <w:szCs w:val="22"/>
        </w:rPr>
        <w:t>electricity infrastructure</w:t>
      </w:r>
      <w:r w:rsidRPr="00F419B8">
        <w:rPr>
          <w:rFonts w:eastAsiaTheme="minorHAnsi" w:cs="Arial"/>
          <w:szCs w:val="22"/>
        </w:rPr>
        <w:t xml:space="preserve"> projects in the Commonwealth waters beyond the three nautical mile zone is necessary to reduce the complexity and risk faced in the establishment of new large projects.</w:t>
      </w:r>
      <w:r w:rsidR="00AD76C8">
        <w:rPr>
          <w:rFonts w:eastAsiaTheme="minorHAnsi" w:cs="Arial"/>
          <w:szCs w:val="22"/>
        </w:rPr>
        <w:t xml:space="preserve"> </w:t>
      </w:r>
      <w:r w:rsidR="00852A17">
        <w:rPr>
          <w:rFonts w:eastAsiaTheme="minorHAnsi" w:cs="Arial"/>
          <w:szCs w:val="22"/>
        </w:rPr>
        <w:t xml:space="preserve">That is, legislation will provide a consistent and transparent framework for offshore </w:t>
      </w:r>
      <w:r w:rsidR="008F10E1">
        <w:rPr>
          <w:rFonts w:eastAsiaTheme="minorHAnsi" w:cs="Arial"/>
          <w:szCs w:val="22"/>
        </w:rPr>
        <w:t>electricity</w:t>
      </w:r>
      <w:r w:rsidR="00852A17">
        <w:rPr>
          <w:rFonts w:eastAsiaTheme="minorHAnsi" w:cs="Arial"/>
          <w:szCs w:val="22"/>
        </w:rPr>
        <w:t xml:space="preserve"> infrastructure developers, and a process for acknowledging and working with existing approvals in place for other offshore </w:t>
      </w:r>
      <w:r w:rsidR="008F10E1">
        <w:rPr>
          <w:rFonts w:eastAsiaTheme="minorHAnsi" w:cs="Arial"/>
          <w:szCs w:val="22"/>
        </w:rPr>
        <w:t>electricity</w:t>
      </w:r>
      <w:r w:rsidR="00852A17">
        <w:rPr>
          <w:rFonts w:eastAsiaTheme="minorHAnsi" w:cs="Arial"/>
          <w:szCs w:val="22"/>
        </w:rPr>
        <w:t xml:space="preserve"> users</w:t>
      </w:r>
      <w:r w:rsidR="00DE1884">
        <w:rPr>
          <w:rFonts w:eastAsiaTheme="minorHAnsi" w:cs="Arial"/>
          <w:szCs w:val="22"/>
        </w:rPr>
        <w:t>.</w:t>
      </w:r>
    </w:p>
    <w:p w:rsidR="00B61EB4" w:rsidRDefault="00B61EB4" w:rsidP="00CA12DB">
      <w:pPr>
        <w:pStyle w:val="Bulletlist"/>
        <w:numPr>
          <w:ilvl w:val="0"/>
          <w:numId w:val="0"/>
        </w:numPr>
        <w:spacing w:line="276" w:lineRule="auto"/>
        <w:rPr>
          <w:rFonts w:eastAsiaTheme="minorHAnsi" w:cs="Arial"/>
          <w:szCs w:val="22"/>
        </w:rPr>
      </w:pPr>
      <w:r>
        <w:rPr>
          <w:rFonts w:eastAsiaTheme="minorHAnsi" w:cs="Arial"/>
          <w:szCs w:val="22"/>
        </w:rPr>
        <w:t xml:space="preserve">State and territory governments </w:t>
      </w:r>
      <w:r w:rsidRPr="00B61EB4">
        <w:rPr>
          <w:rFonts w:eastAsiaTheme="minorHAnsi" w:cs="Arial"/>
          <w:szCs w:val="22"/>
        </w:rPr>
        <w:t>are likely to be closely involved in approving and supporting large scale projects, including for coastal and onshore aspects of projects.</w:t>
      </w:r>
      <w:r w:rsidR="00325B95">
        <w:rPr>
          <w:rFonts w:eastAsiaTheme="minorHAnsi" w:cs="Arial"/>
          <w:szCs w:val="22"/>
        </w:rPr>
        <w:t xml:space="preserve"> This may also include developing legislation </w:t>
      </w:r>
      <w:r w:rsidR="00217D3A">
        <w:rPr>
          <w:rFonts w:eastAsiaTheme="minorHAnsi" w:cs="Arial"/>
          <w:szCs w:val="22"/>
        </w:rPr>
        <w:t xml:space="preserve">complementing </w:t>
      </w:r>
      <w:r w:rsidR="00325B95">
        <w:rPr>
          <w:rFonts w:eastAsiaTheme="minorHAnsi" w:cs="Arial"/>
          <w:szCs w:val="22"/>
        </w:rPr>
        <w:t xml:space="preserve">Commonwealth legislation to support construction, operation and decommissioning of projects in state waters. </w:t>
      </w:r>
    </w:p>
    <w:p w:rsidR="008D34FA" w:rsidRPr="00B61EB4" w:rsidRDefault="008D34FA" w:rsidP="00CA12DB">
      <w:pPr>
        <w:pStyle w:val="Bulletlist"/>
        <w:numPr>
          <w:ilvl w:val="0"/>
          <w:numId w:val="0"/>
        </w:numPr>
        <w:spacing w:line="276" w:lineRule="auto"/>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Stakeholders</w:t>
      </w:r>
    </w:p>
    <w:p w:rsidR="00810822" w:rsidRPr="00275017" w:rsidRDefault="00810822" w:rsidP="0057257B">
      <w:pPr>
        <w:spacing w:line="276" w:lineRule="auto"/>
        <w:rPr>
          <w:rFonts w:ascii="Arial" w:hAnsi="Arial" w:cs="Arial"/>
        </w:rPr>
      </w:pPr>
      <w:r w:rsidRPr="00275017">
        <w:rPr>
          <w:rFonts w:ascii="Arial" w:hAnsi="Arial" w:cs="Arial"/>
        </w:rPr>
        <w:t xml:space="preserve">Key parties involved in developing an offshore </w:t>
      </w:r>
      <w:r w:rsidR="008F10E1">
        <w:rPr>
          <w:rFonts w:ascii="Arial" w:hAnsi="Arial" w:cs="Arial"/>
        </w:rPr>
        <w:t>electricity infrastructure</w:t>
      </w:r>
      <w:r w:rsidRPr="00275017">
        <w:rPr>
          <w:rFonts w:ascii="Arial" w:hAnsi="Arial" w:cs="Arial"/>
        </w:rPr>
        <w:t xml:space="preserve"> </w:t>
      </w:r>
      <w:r w:rsidR="00217D3A">
        <w:rPr>
          <w:rFonts w:ascii="Arial" w:hAnsi="Arial" w:cs="Arial"/>
        </w:rPr>
        <w:t xml:space="preserve">proposal </w:t>
      </w:r>
      <w:r w:rsidRPr="00275017">
        <w:rPr>
          <w:rFonts w:ascii="Arial" w:hAnsi="Arial" w:cs="Arial"/>
        </w:rPr>
        <w:t>include:</w:t>
      </w:r>
    </w:p>
    <w:p w:rsidR="00972B74" w:rsidRPr="002D5AC3" w:rsidRDefault="00972B74" w:rsidP="00972B74">
      <w:pPr>
        <w:pStyle w:val="Bulletlist"/>
        <w:spacing w:line="276" w:lineRule="auto"/>
        <w:ind w:left="714" w:hanging="357"/>
      </w:pPr>
      <w:r w:rsidRPr="00B40D58">
        <w:rPr>
          <w:i/>
        </w:rPr>
        <w:t>Electricity networks</w:t>
      </w:r>
      <w:r w:rsidRPr="00275017">
        <w:t xml:space="preserve"> and transmission operators.</w:t>
      </w:r>
    </w:p>
    <w:p w:rsidR="00810822" w:rsidRPr="002D5AC3" w:rsidRDefault="00810822" w:rsidP="002D5AC3">
      <w:pPr>
        <w:pStyle w:val="Bulletlist"/>
        <w:spacing w:line="276" w:lineRule="auto"/>
        <w:ind w:left="714" w:hanging="357"/>
      </w:pPr>
      <w:r w:rsidRPr="00B40D58">
        <w:rPr>
          <w:i/>
        </w:rPr>
        <w:t>Project proponents</w:t>
      </w:r>
      <w:r w:rsidRPr="00275017">
        <w:t xml:space="preserve"> encompass</w:t>
      </w:r>
      <w:r w:rsidR="00217D3A">
        <w:t>ing</w:t>
      </w:r>
      <w:r w:rsidRPr="00275017">
        <w:t xml:space="preserve"> a range of potential organisations </w:t>
      </w:r>
      <w:r w:rsidR="009C683A" w:rsidRPr="00275017">
        <w:t xml:space="preserve">to </w:t>
      </w:r>
      <w:r w:rsidRPr="00275017">
        <w:t>lead development of a project. This may include financiers, government agencies, infrastructure man</w:t>
      </w:r>
      <w:r w:rsidR="00217D3A">
        <w:t>a</w:t>
      </w:r>
      <w:r w:rsidRPr="00275017">
        <w:t xml:space="preserve">gers, academics, </w:t>
      </w:r>
      <w:r w:rsidR="00972B74">
        <w:t>generation businesses</w:t>
      </w:r>
      <w:r w:rsidRPr="00275017">
        <w:t xml:space="preserve"> or entrepreneurs exploring early stage technology. </w:t>
      </w:r>
    </w:p>
    <w:p w:rsidR="00810822" w:rsidRPr="002D5AC3" w:rsidRDefault="00810822" w:rsidP="002D5AC3">
      <w:pPr>
        <w:pStyle w:val="Bulletlist"/>
        <w:spacing w:line="276" w:lineRule="auto"/>
        <w:ind w:left="714" w:hanging="357"/>
      </w:pPr>
      <w:r w:rsidRPr="00B40D58">
        <w:rPr>
          <w:i/>
        </w:rPr>
        <w:t>Local communities</w:t>
      </w:r>
      <w:r w:rsidRPr="002D5AC3">
        <w:t xml:space="preserve"> </w:t>
      </w:r>
      <w:r w:rsidRPr="00275017">
        <w:t xml:space="preserve">including those using marine </w:t>
      </w:r>
      <w:r w:rsidR="00217D3A">
        <w:t>areas</w:t>
      </w:r>
      <w:r w:rsidR="00217D3A" w:rsidRPr="00275017">
        <w:t xml:space="preserve"> </w:t>
      </w:r>
      <w:r w:rsidRPr="00275017">
        <w:t>recreationally</w:t>
      </w:r>
      <w:r w:rsidR="009C683A" w:rsidRPr="00275017">
        <w:t xml:space="preserve"> and</w:t>
      </w:r>
      <w:r w:rsidRPr="00275017">
        <w:t xml:space="preserve"> sites around </w:t>
      </w:r>
      <w:r w:rsidR="009C683A" w:rsidRPr="00275017">
        <w:t>project areas and</w:t>
      </w:r>
      <w:r w:rsidRPr="00275017">
        <w:t xml:space="preserve"> transmission lines. </w:t>
      </w:r>
    </w:p>
    <w:p w:rsidR="002207E5" w:rsidRPr="002D5AC3" w:rsidRDefault="00377DAE" w:rsidP="002D5AC3">
      <w:pPr>
        <w:pStyle w:val="Bulletlist"/>
        <w:spacing w:line="276" w:lineRule="auto"/>
        <w:ind w:left="714" w:hanging="357"/>
      </w:pPr>
      <w:r w:rsidRPr="00B40D58">
        <w:rPr>
          <w:i/>
        </w:rPr>
        <w:t>Non-government</w:t>
      </w:r>
      <w:r w:rsidRPr="002D5AC3">
        <w:t xml:space="preserve"> e</w:t>
      </w:r>
      <w:r w:rsidR="002207E5" w:rsidRPr="002D5AC3">
        <w:t xml:space="preserve">nvironmental </w:t>
      </w:r>
      <w:r w:rsidRPr="002D5AC3">
        <w:t xml:space="preserve">protection and nature conservation organisations.  </w:t>
      </w:r>
    </w:p>
    <w:p w:rsidR="00810822" w:rsidRPr="002D5AC3" w:rsidRDefault="00B2485C" w:rsidP="002D5AC3">
      <w:pPr>
        <w:pStyle w:val="Bulletlist"/>
        <w:spacing w:line="276" w:lineRule="auto"/>
        <w:ind w:left="714" w:hanging="357"/>
      </w:pPr>
      <w:r>
        <w:rPr>
          <w:i/>
        </w:rPr>
        <w:t>Electricity sector</w:t>
      </w:r>
      <w:r w:rsidR="00810822" w:rsidRPr="00D679E4">
        <w:rPr>
          <w:i/>
        </w:rPr>
        <w:t xml:space="preserve"> workforce participants</w:t>
      </w:r>
      <w:r w:rsidR="00810822" w:rsidRPr="002D5AC3">
        <w:t xml:space="preserve"> </w:t>
      </w:r>
      <w:r w:rsidR="00810822" w:rsidRPr="00275017">
        <w:t>both onshore in infrastructure manufacturing</w:t>
      </w:r>
      <w:r w:rsidR="0065734F">
        <w:t>,</w:t>
      </w:r>
      <w:r w:rsidR="00810822" w:rsidRPr="00275017">
        <w:t xml:space="preserve"> and offshore working on </w:t>
      </w:r>
      <w:r>
        <w:t xml:space="preserve">electricity </w:t>
      </w:r>
      <w:r w:rsidR="00810822" w:rsidRPr="00275017">
        <w:t xml:space="preserve">infrastructure facilities. </w:t>
      </w:r>
    </w:p>
    <w:p w:rsidR="00810822" w:rsidRDefault="00810822" w:rsidP="002D5AC3">
      <w:pPr>
        <w:pStyle w:val="Bulletlist"/>
        <w:spacing w:line="276" w:lineRule="auto"/>
        <w:ind w:left="714" w:hanging="357"/>
      </w:pPr>
      <w:r w:rsidRPr="00B40D58">
        <w:rPr>
          <w:i/>
        </w:rPr>
        <w:t>Existing offshore maritime sectors</w:t>
      </w:r>
      <w:r w:rsidRPr="00275017">
        <w:t xml:space="preserve"> </w:t>
      </w:r>
      <w:r w:rsidRPr="00F34402">
        <w:t xml:space="preserve">such as shipping operators, fishers, defence, petroleum industries and environmental interests </w:t>
      </w:r>
      <w:r w:rsidR="0066069C">
        <w:t>would</w:t>
      </w:r>
      <w:r w:rsidR="0066069C" w:rsidRPr="00F34402">
        <w:t xml:space="preserve"> </w:t>
      </w:r>
      <w:r w:rsidRPr="00F34402">
        <w:t xml:space="preserve">have a range of existing approved and potential activities to consider in </w:t>
      </w:r>
      <w:r w:rsidRPr="007378E3">
        <w:t xml:space="preserve">the offshore region. </w:t>
      </w:r>
    </w:p>
    <w:p w:rsidR="008D34FA" w:rsidRPr="007378E3" w:rsidRDefault="008D34FA" w:rsidP="002D5AC3">
      <w:pPr>
        <w:pStyle w:val="Bulletlist"/>
        <w:numPr>
          <w:ilvl w:val="0"/>
          <w:numId w:val="0"/>
        </w:numPr>
        <w:spacing w:line="276" w:lineRule="auto"/>
        <w:ind w:left="357"/>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Previous work </w:t>
      </w:r>
    </w:p>
    <w:p w:rsidR="001A6E19" w:rsidRDefault="001A6E19" w:rsidP="0057257B">
      <w:pPr>
        <w:spacing w:line="276" w:lineRule="auto"/>
        <w:rPr>
          <w:rFonts w:ascii="Arial" w:hAnsi="Arial" w:cs="Arial"/>
        </w:rPr>
      </w:pPr>
      <w:r w:rsidRPr="00A34AF6">
        <w:rPr>
          <w:rFonts w:ascii="Arial" w:hAnsi="Arial" w:cs="Arial"/>
        </w:rPr>
        <w:t>T</w:t>
      </w:r>
      <w:r w:rsidR="00A34AF6">
        <w:rPr>
          <w:rFonts w:ascii="Arial" w:hAnsi="Arial" w:cs="Arial"/>
        </w:rPr>
        <w:t>his R</w:t>
      </w:r>
      <w:r w:rsidR="008D34FA">
        <w:rPr>
          <w:rFonts w:ascii="Arial" w:hAnsi="Arial" w:cs="Arial"/>
        </w:rPr>
        <w:t xml:space="preserve">egulatory </w:t>
      </w:r>
      <w:r w:rsidR="00A34AF6">
        <w:rPr>
          <w:rFonts w:ascii="Arial" w:hAnsi="Arial" w:cs="Arial"/>
        </w:rPr>
        <w:t>I</w:t>
      </w:r>
      <w:r w:rsidR="008D34FA">
        <w:rPr>
          <w:rFonts w:ascii="Arial" w:hAnsi="Arial" w:cs="Arial"/>
        </w:rPr>
        <w:t xml:space="preserve">mpact </w:t>
      </w:r>
      <w:r w:rsidR="00A34AF6">
        <w:rPr>
          <w:rFonts w:ascii="Arial" w:hAnsi="Arial" w:cs="Arial"/>
        </w:rPr>
        <w:t>S</w:t>
      </w:r>
      <w:r w:rsidR="008D34FA">
        <w:rPr>
          <w:rFonts w:ascii="Arial" w:hAnsi="Arial" w:cs="Arial"/>
        </w:rPr>
        <w:t>tatement</w:t>
      </w:r>
      <w:r w:rsidR="00A34AF6">
        <w:rPr>
          <w:rFonts w:ascii="Arial" w:hAnsi="Arial" w:cs="Arial"/>
        </w:rPr>
        <w:t xml:space="preserve"> draws on related work undertaken </w:t>
      </w:r>
      <w:r w:rsidR="003D3B68">
        <w:rPr>
          <w:rFonts w:ascii="Arial" w:hAnsi="Arial" w:cs="Arial"/>
        </w:rPr>
        <w:t>when</w:t>
      </w:r>
      <w:r w:rsidR="00A34AF6">
        <w:rPr>
          <w:rFonts w:ascii="Arial" w:hAnsi="Arial" w:cs="Arial"/>
        </w:rPr>
        <w:t xml:space="preserve"> considering </w:t>
      </w:r>
      <w:r w:rsidR="0065734F">
        <w:rPr>
          <w:rFonts w:ascii="Arial" w:hAnsi="Arial" w:cs="Arial"/>
        </w:rPr>
        <w:t xml:space="preserve">the development of </w:t>
      </w:r>
      <w:r w:rsidR="008A5C1A">
        <w:rPr>
          <w:rFonts w:ascii="Arial" w:hAnsi="Arial" w:cs="Arial"/>
        </w:rPr>
        <w:t>a</w:t>
      </w:r>
      <w:r w:rsidR="00A34AF6">
        <w:rPr>
          <w:rFonts w:ascii="Arial" w:hAnsi="Arial" w:cs="Arial"/>
        </w:rPr>
        <w:t xml:space="preserve"> regulatory </w:t>
      </w:r>
      <w:r w:rsidR="008A5C1A">
        <w:rPr>
          <w:rFonts w:ascii="Arial" w:hAnsi="Arial" w:cs="Arial"/>
        </w:rPr>
        <w:t xml:space="preserve">framework for </w:t>
      </w:r>
      <w:r w:rsidR="00A34AF6">
        <w:rPr>
          <w:rFonts w:ascii="Arial" w:hAnsi="Arial" w:cs="Arial"/>
        </w:rPr>
        <w:t xml:space="preserve">offshore </w:t>
      </w:r>
      <w:r w:rsidR="00250CC8">
        <w:rPr>
          <w:rFonts w:ascii="Arial" w:hAnsi="Arial" w:cs="Arial"/>
        </w:rPr>
        <w:t>electricity infrastructure</w:t>
      </w:r>
      <w:r w:rsidR="00A34AF6">
        <w:rPr>
          <w:rFonts w:ascii="Arial" w:hAnsi="Arial" w:cs="Arial"/>
        </w:rPr>
        <w:t>, including:</w:t>
      </w:r>
    </w:p>
    <w:p w:rsidR="00437107" w:rsidRPr="00831F9B" w:rsidRDefault="00A34AF6" w:rsidP="002D5AC3">
      <w:pPr>
        <w:pStyle w:val="Bulletlist"/>
        <w:spacing w:line="276" w:lineRule="auto"/>
        <w:ind w:left="714" w:hanging="357"/>
      </w:pPr>
      <w:r w:rsidRPr="00B40D58">
        <w:t xml:space="preserve">The Offshore Clean Energy Framework Discussion Paper </w:t>
      </w:r>
      <w:r w:rsidR="00F34402" w:rsidRPr="00B40D58">
        <w:t xml:space="preserve">released </w:t>
      </w:r>
      <w:r w:rsidRPr="00D679E4">
        <w:t xml:space="preserve">in January 2020 as part of the initial phase of external consultation. </w:t>
      </w:r>
    </w:p>
    <w:p w:rsidR="00437107" w:rsidRPr="005A1750" w:rsidRDefault="00437107" w:rsidP="002D5AC3">
      <w:pPr>
        <w:pStyle w:val="Bulletlist"/>
        <w:spacing w:line="276" w:lineRule="auto"/>
        <w:ind w:left="714" w:hanging="357"/>
      </w:pPr>
      <w:r w:rsidRPr="005A1750">
        <w:t>Mr Stuart Smith</w:t>
      </w:r>
      <w:r w:rsidR="008A5C1A" w:rsidRPr="005A1750">
        <w:t>’s report “To identify leading global practice in offshore renewable regulation for adoption in Australia”</w:t>
      </w:r>
      <w:r w:rsidRPr="005A1750">
        <w:t xml:space="preserve"> as part of </w:t>
      </w:r>
      <w:r w:rsidR="008A5C1A" w:rsidRPr="005A1750">
        <w:t>his</w:t>
      </w:r>
      <w:r w:rsidRPr="005A1750">
        <w:t xml:space="preserve"> Winston Churchill Memorial Trust Fellowship</w:t>
      </w:r>
      <w:r w:rsidR="008A5C1A" w:rsidRPr="005A1750">
        <w:t>.</w:t>
      </w:r>
      <w:r w:rsidRPr="005A1750">
        <w:t xml:space="preserve"> </w:t>
      </w:r>
    </w:p>
    <w:p w:rsidR="00810822" w:rsidRPr="001B11A3" w:rsidRDefault="00810822" w:rsidP="00CA12DB">
      <w:pPr>
        <w:pStyle w:val="Bulletlist"/>
        <w:numPr>
          <w:ilvl w:val="0"/>
          <w:numId w:val="0"/>
        </w:numPr>
        <w:spacing w:after="0" w:line="276" w:lineRule="auto"/>
        <w:ind w:left="576"/>
        <w:rPr>
          <w:rFonts w:cs="Arial"/>
        </w:rPr>
      </w:pPr>
    </w:p>
    <w:p w:rsidR="00F972A4" w:rsidRDefault="00F972A4">
      <w:pPr>
        <w:rPr>
          <w:rFonts w:ascii="Arial" w:eastAsiaTheme="majorEastAsia" w:hAnsi="Arial" w:cs="Arial"/>
          <w:color w:val="005677" w:themeColor="text2"/>
          <w:sz w:val="48"/>
          <w:szCs w:val="32"/>
        </w:rPr>
      </w:pPr>
      <w:r>
        <w:rPr>
          <w:rFonts w:ascii="Arial" w:hAnsi="Arial" w:cs="Arial"/>
        </w:rPr>
        <w:br w:type="page"/>
      </w:r>
    </w:p>
    <w:p w:rsidR="00810822" w:rsidRPr="00275017" w:rsidRDefault="00810822" w:rsidP="0057257B">
      <w:pPr>
        <w:pStyle w:val="Heading1"/>
        <w:numPr>
          <w:ilvl w:val="0"/>
          <w:numId w:val="11"/>
        </w:numPr>
        <w:spacing w:after="0" w:line="276" w:lineRule="auto"/>
        <w:rPr>
          <w:rFonts w:ascii="Arial" w:hAnsi="Arial" w:cs="Arial"/>
        </w:rPr>
      </w:pPr>
      <w:bookmarkStart w:id="10" w:name="_Toc69917401"/>
      <w:r w:rsidRPr="00275017">
        <w:rPr>
          <w:rFonts w:ascii="Arial" w:hAnsi="Arial" w:cs="Arial"/>
        </w:rPr>
        <w:t>Problem definition</w:t>
      </w:r>
      <w:bookmarkEnd w:id="10"/>
      <w:r w:rsidRPr="00275017">
        <w:rPr>
          <w:rFonts w:ascii="Arial" w:hAnsi="Arial" w:cs="Arial"/>
        </w:rPr>
        <w:t xml:space="preserve"> </w:t>
      </w:r>
    </w:p>
    <w:p w:rsidR="00810822" w:rsidRDefault="009C683A" w:rsidP="0057257B">
      <w:pPr>
        <w:spacing w:line="276" w:lineRule="auto"/>
        <w:rPr>
          <w:rFonts w:ascii="Arial" w:hAnsi="Arial" w:cs="Arial"/>
        </w:rPr>
      </w:pPr>
      <w:r w:rsidRPr="00275017">
        <w:rPr>
          <w:rFonts w:ascii="Arial" w:hAnsi="Arial" w:cs="Arial"/>
        </w:rPr>
        <w:t>Australia’s</w:t>
      </w:r>
      <w:r w:rsidR="00810822" w:rsidRPr="00275017">
        <w:rPr>
          <w:rFonts w:ascii="Arial" w:hAnsi="Arial" w:cs="Arial"/>
        </w:rPr>
        <w:t xml:space="preserve"> </w:t>
      </w:r>
      <w:r w:rsidR="008A5C1A">
        <w:rPr>
          <w:rFonts w:ascii="Arial" w:hAnsi="Arial" w:cs="Arial"/>
        </w:rPr>
        <w:t xml:space="preserve">current regulatory environment does not </w:t>
      </w:r>
      <w:r w:rsidR="001079C5">
        <w:rPr>
          <w:rFonts w:ascii="Arial" w:hAnsi="Arial" w:cs="Arial"/>
        </w:rPr>
        <w:t xml:space="preserve">provide </w:t>
      </w:r>
      <w:r w:rsidR="003113AE">
        <w:rPr>
          <w:rFonts w:ascii="Arial" w:hAnsi="Arial" w:cs="Arial"/>
        </w:rPr>
        <w:t xml:space="preserve">a clear and secure setting to support an efficient and effective offshore </w:t>
      </w:r>
      <w:r w:rsidR="00C7297F">
        <w:rPr>
          <w:rFonts w:ascii="Arial" w:hAnsi="Arial" w:cs="Arial"/>
        </w:rPr>
        <w:t>electricity</w:t>
      </w:r>
      <w:r w:rsidR="003113AE">
        <w:rPr>
          <w:rFonts w:ascii="Arial" w:hAnsi="Arial" w:cs="Arial"/>
        </w:rPr>
        <w:t xml:space="preserve"> undertaking, throughout </w:t>
      </w:r>
      <w:r w:rsidR="00810822" w:rsidRPr="00275017">
        <w:rPr>
          <w:rFonts w:ascii="Arial" w:hAnsi="Arial" w:cs="Arial"/>
        </w:rPr>
        <w:t>construction, operation and decommissioning</w:t>
      </w:r>
      <w:r w:rsidR="00991DFF">
        <w:rPr>
          <w:rFonts w:ascii="Arial" w:hAnsi="Arial" w:cs="Arial"/>
        </w:rPr>
        <w:t xml:space="preserve">. </w:t>
      </w:r>
      <w:r w:rsidR="00810822" w:rsidRPr="008A5C1A">
        <w:rPr>
          <w:rFonts w:ascii="Arial" w:hAnsi="Arial" w:cs="Arial"/>
        </w:rPr>
        <w:t xml:space="preserve"> </w:t>
      </w:r>
    </w:p>
    <w:p w:rsidR="000031C8" w:rsidRPr="00275017" w:rsidRDefault="000031C8" w:rsidP="000031C8">
      <w:pPr>
        <w:pStyle w:val="Bulletlist"/>
        <w:spacing w:line="276" w:lineRule="auto"/>
        <w:ind w:left="714" w:hanging="357"/>
      </w:pPr>
      <w:r>
        <w:t xml:space="preserve">Commonwealth </w:t>
      </w:r>
      <w:r w:rsidRPr="000031C8">
        <w:rPr>
          <w:rFonts w:eastAsiaTheme="minorHAnsi" w:cs="Arial"/>
          <w:szCs w:val="22"/>
        </w:rPr>
        <w:t>waters are the offshore area beyond coastal waters, between 3 and approximately 200 nautical miles from shore.</w:t>
      </w:r>
    </w:p>
    <w:p w:rsidR="00810822" w:rsidRPr="00275017" w:rsidRDefault="00810822" w:rsidP="0057257B">
      <w:pPr>
        <w:spacing w:line="276" w:lineRule="auto"/>
        <w:rPr>
          <w:rFonts w:ascii="Arial" w:hAnsi="Arial" w:cs="Arial"/>
        </w:rPr>
      </w:pPr>
      <w:r w:rsidRPr="00275017">
        <w:rPr>
          <w:rFonts w:ascii="Arial" w:hAnsi="Arial" w:cs="Arial"/>
        </w:rPr>
        <w:t xml:space="preserve">As a result, there </w:t>
      </w:r>
      <w:r w:rsidR="001079C5">
        <w:rPr>
          <w:rFonts w:ascii="Arial" w:hAnsi="Arial" w:cs="Arial"/>
        </w:rPr>
        <w:t xml:space="preserve">are </w:t>
      </w:r>
      <w:r w:rsidRPr="00275017">
        <w:rPr>
          <w:rFonts w:ascii="Arial" w:hAnsi="Arial" w:cs="Arial"/>
        </w:rPr>
        <w:t xml:space="preserve">no defined approvals pathway or protections for proponents looking to establish offshore </w:t>
      </w:r>
      <w:r w:rsidR="00C7297F">
        <w:rPr>
          <w:rFonts w:ascii="Arial" w:hAnsi="Arial" w:cs="Arial"/>
        </w:rPr>
        <w:t>electricity</w:t>
      </w:r>
      <w:r w:rsidRPr="00275017">
        <w:rPr>
          <w:rFonts w:ascii="Arial" w:hAnsi="Arial" w:cs="Arial"/>
        </w:rPr>
        <w:t xml:space="preserve"> </w:t>
      </w:r>
      <w:r w:rsidR="00972B74">
        <w:rPr>
          <w:rFonts w:ascii="Arial" w:hAnsi="Arial" w:cs="Arial"/>
        </w:rPr>
        <w:t>infrastructure</w:t>
      </w:r>
      <w:r w:rsidR="00972B74" w:rsidRPr="00275017">
        <w:rPr>
          <w:rFonts w:ascii="Arial" w:hAnsi="Arial" w:cs="Arial"/>
        </w:rPr>
        <w:t xml:space="preserve"> </w:t>
      </w:r>
      <w:r w:rsidRPr="00275017">
        <w:rPr>
          <w:rFonts w:ascii="Arial" w:hAnsi="Arial" w:cs="Arial"/>
        </w:rPr>
        <w:t>facilities in Commonwealth waters, leading to a number of risks:</w:t>
      </w:r>
    </w:p>
    <w:p w:rsidR="008A5C1A" w:rsidRDefault="00820679" w:rsidP="002D5AC3">
      <w:pPr>
        <w:pStyle w:val="Bulletlist"/>
        <w:spacing w:line="276" w:lineRule="auto"/>
        <w:ind w:left="714" w:hanging="357"/>
      </w:pPr>
      <w:r>
        <w:t xml:space="preserve">The loss of </w:t>
      </w:r>
      <w:r w:rsidR="00810822" w:rsidRPr="00275017">
        <w:t xml:space="preserve">potential investment in offshore </w:t>
      </w:r>
      <w:r w:rsidR="00C7297F">
        <w:t>electricity</w:t>
      </w:r>
      <w:r w:rsidR="00C7297F" w:rsidRPr="00275017">
        <w:t xml:space="preserve"> </w:t>
      </w:r>
      <w:r w:rsidR="00810822" w:rsidRPr="00275017">
        <w:t>infrastructure in Australia with corresponding impacts to</w:t>
      </w:r>
      <w:r w:rsidR="002E5FCC">
        <w:t xml:space="preserve"> </w:t>
      </w:r>
      <w:r w:rsidR="008A5C1A">
        <w:t xml:space="preserve">broader economic </w:t>
      </w:r>
      <w:r w:rsidR="002E5FCC">
        <w:t xml:space="preserve">opportunities, </w:t>
      </w:r>
      <w:r w:rsidR="002E5FCC" w:rsidRPr="00275017">
        <w:t>employm</w:t>
      </w:r>
      <w:r w:rsidR="002E5FCC">
        <w:t>ent as well as energy diversity:</w:t>
      </w:r>
    </w:p>
    <w:p w:rsidR="00810822" w:rsidRDefault="008A5C1A" w:rsidP="002D5AC3">
      <w:pPr>
        <w:pStyle w:val="Bulletlist"/>
        <w:numPr>
          <w:ilvl w:val="2"/>
          <w:numId w:val="13"/>
        </w:numPr>
        <w:spacing w:line="276" w:lineRule="auto"/>
      </w:pPr>
      <w:r>
        <w:t xml:space="preserve">As highlighted in section 1, </w:t>
      </w:r>
      <w:r w:rsidR="00250CC8">
        <w:t xml:space="preserve">the </w:t>
      </w:r>
      <w:r>
        <w:t>government is aware of two large scale, offshore transmission infrastructure proposals, Marinus Link and Sun</w:t>
      </w:r>
      <w:r w:rsidR="00AD6661">
        <w:t xml:space="preserve"> </w:t>
      </w:r>
      <w:r>
        <w:t xml:space="preserve">Cable, </w:t>
      </w:r>
      <w:r w:rsidR="003D3B68">
        <w:t>and</w:t>
      </w:r>
      <w:r>
        <w:t xml:space="preserve"> the proposed offshore wind farm</w:t>
      </w:r>
      <w:r w:rsidR="008D34FA">
        <w:t>,</w:t>
      </w:r>
      <w:r>
        <w:t xml:space="preserve"> Star of the South</w:t>
      </w:r>
      <w:r w:rsidR="002E75B3">
        <w:t xml:space="preserve"> </w:t>
      </w:r>
      <w:r>
        <w:t xml:space="preserve">that </w:t>
      </w:r>
      <w:r w:rsidR="0066069C">
        <w:t xml:space="preserve">would </w:t>
      </w:r>
      <w:r>
        <w:t>be enabled by this legislation.</w:t>
      </w:r>
    </w:p>
    <w:p w:rsidR="008A5C1A" w:rsidRDefault="008A5C1A" w:rsidP="002D5AC3">
      <w:pPr>
        <w:pStyle w:val="Bulletlist"/>
        <w:numPr>
          <w:ilvl w:val="2"/>
          <w:numId w:val="13"/>
        </w:numPr>
        <w:spacing w:line="276" w:lineRule="auto"/>
      </w:pPr>
      <w:r>
        <w:t xml:space="preserve">Combined, these </w:t>
      </w:r>
      <w:r w:rsidR="00773E3A">
        <w:t xml:space="preserve">three </w:t>
      </w:r>
      <w:r>
        <w:t>proposals are conservatively estimated to be worth over $10 billion and could create over 10,000 direct and indirect job opportunities</w:t>
      </w:r>
      <w:r w:rsidR="00773E3A">
        <w:t xml:space="preserve"> during construction as well as ongoing employment in operation and maintenance of infrastructure</w:t>
      </w:r>
      <w:r>
        <w:t>.</w:t>
      </w:r>
    </w:p>
    <w:p w:rsidR="008421A3" w:rsidRDefault="00CE6F62" w:rsidP="002D5AC3">
      <w:pPr>
        <w:pStyle w:val="Bulletlist"/>
        <w:numPr>
          <w:ilvl w:val="2"/>
          <w:numId w:val="13"/>
        </w:numPr>
        <w:spacing w:line="276" w:lineRule="auto"/>
      </w:pPr>
      <w:r>
        <w:t xml:space="preserve">The </w:t>
      </w:r>
      <w:r w:rsidR="0009546F">
        <w:t>Department of Industry, Science, Energy and Resources</w:t>
      </w:r>
      <w:r w:rsidR="008421A3">
        <w:t xml:space="preserve"> </w:t>
      </w:r>
      <w:r w:rsidR="003D3B68">
        <w:t>is</w:t>
      </w:r>
      <w:r w:rsidR="008421A3">
        <w:t xml:space="preserve"> aware of </w:t>
      </w:r>
      <w:r w:rsidR="004F1E4C">
        <w:t xml:space="preserve">nine </w:t>
      </w:r>
      <w:r w:rsidR="008421A3">
        <w:t xml:space="preserve">further large scale offshore wind proposals being developed </w:t>
      </w:r>
      <w:r w:rsidR="003D3B68">
        <w:t xml:space="preserve">in </w:t>
      </w:r>
      <w:r w:rsidR="008421A3">
        <w:t xml:space="preserve">Australia with a nominal target of beginning construction before 2030. </w:t>
      </w:r>
    </w:p>
    <w:p w:rsidR="00773E3A" w:rsidRPr="00275017" w:rsidRDefault="00773E3A" w:rsidP="002D5AC3">
      <w:pPr>
        <w:pStyle w:val="Bulletlist"/>
        <w:numPr>
          <w:ilvl w:val="2"/>
          <w:numId w:val="13"/>
        </w:numPr>
        <w:spacing w:line="276" w:lineRule="auto"/>
      </w:pPr>
      <w:r>
        <w:t xml:space="preserve">These proposals have not provided public </w:t>
      </w:r>
      <w:r w:rsidR="00D4759C">
        <w:t xml:space="preserve">costing or </w:t>
      </w:r>
      <w:r>
        <w:t>employment estimates</w:t>
      </w:r>
      <w:r w:rsidR="00D4759C">
        <w:t>, though Pilot Energy Limited’s proposal off Geraldton in Western Australia has been announced as having a 1.1 GW capacity.</w:t>
      </w:r>
    </w:p>
    <w:p w:rsidR="00810822" w:rsidRDefault="00820679" w:rsidP="002D5AC3">
      <w:pPr>
        <w:pStyle w:val="Bulletlist"/>
        <w:spacing w:line="276" w:lineRule="auto"/>
        <w:ind w:left="714" w:hanging="357"/>
      </w:pPr>
      <w:r>
        <w:t>A</w:t>
      </w:r>
      <w:r w:rsidR="00810822" w:rsidRPr="00275017">
        <w:t xml:space="preserve">lternative approaches create a patchwork of </w:t>
      </w:r>
      <w:r w:rsidR="002E5FCC">
        <w:t xml:space="preserve">inconsistent, </w:t>
      </w:r>
      <w:r w:rsidR="00810822" w:rsidRPr="00275017">
        <w:t xml:space="preserve">ad hoc measures with </w:t>
      </w:r>
      <w:r w:rsidR="009C683A" w:rsidRPr="00275017">
        <w:t>potential</w:t>
      </w:r>
      <w:r w:rsidR="00810822" w:rsidRPr="00275017">
        <w:t xml:space="preserve"> safety and protection</w:t>
      </w:r>
      <w:r w:rsidR="009C683A" w:rsidRPr="00275017">
        <w:t xml:space="preserve"> </w:t>
      </w:r>
      <w:r w:rsidR="0065734F">
        <w:t>issues:</w:t>
      </w:r>
    </w:p>
    <w:p w:rsidR="00810822" w:rsidRDefault="003113AE" w:rsidP="002D5AC3">
      <w:pPr>
        <w:pStyle w:val="Bulletlist"/>
        <w:numPr>
          <w:ilvl w:val="2"/>
          <w:numId w:val="13"/>
        </w:numPr>
        <w:spacing w:line="276" w:lineRule="auto"/>
      </w:pPr>
      <w:r>
        <w:t>The e</w:t>
      </w:r>
      <w:r w:rsidR="00810822" w:rsidRPr="00275017">
        <w:t xml:space="preserve">xisting regulatory </w:t>
      </w:r>
      <w:r w:rsidR="002E5FCC">
        <w:t xml:space="preserve">environment </w:t>
      </w:r>
      <w:r w:rsidR="00BD217D">
        <w:t xml:space="preserve">does not cover the extent of protections needed to </w:t>
      </w:r>
      <w:r w:rsidR="001079C5">
        <w:t xml:space="preserve">support </w:t>
      </w:r>
      <w:r w:rsidR="00BD217D">
        <w:t xml:space="preserve">development of </w:t>
      </w:r>
      <w:r w:rsidR="002E5FCC">
        <w:t xml:space="preserve">an offshore </w:t>
      </w:r>
      <w:r w:rsidR="00972B74">
        <w:t>infrastructure</w:t>
      </w:r>
      <w:r w:rsidR="00BD217D">
        <w:t>, which would need to be addressed on a case by case basis</w:t>
      </w:r>
      <w:r w:rsidR="002E5FCC">
        <w:t xml:space="preserve">. </w:t>
      </w:r>
    </w:p>
    <w:p w:rsidR="001627C3" w:rsidRDefault="002E5FCC" w:rsidP="002D5AC3">
      <w:pPr>
        <w:pStyle w:val="Bulletlist"/>
        <w:numPr>
          <w:ilvl w:val="2"/>
          <w:numId w:val="13"/>
        </w:numPr>
        <w:spacing w:line="276" w:lineRule="auto"/>
      </w:pPr>
      <w:r>
        <w:t>As outlined in section 3.1, the current regulatory approach has facilitated the issuance of a deed of licence</w:t>
      </w:r>
      <w:r w:rsidR="00C56871">
        <w:t xml:space="preserve">, though this deed does not </w:t>
      </w:r>
      <w:r w:rsidR="004C5B2C">
        <w:t xml:space="preserve">support </w:t>
      </w:r>
      <w:r w:rsidR="00C56871">
        <w:t>development of</w:t>
      </w:r>
      <w:r>
        <w:t xml:space="preserve"> </w:t>
      </w:r>
      <w:r w:rsidR="00C56871">
        <w:t xml:space="preserve">an offshore </w:t>
      </w:r>
      <w:r w:rsidR="00972B74">
        <w:t>infrastructure</w:t>
      </w:r>
      <w:r w:rsidR="00C56871">
        <w:t xml:space="preserve">. </w:t>
      </w:r>
    </w:p>
    <w:p w:rsidR="00810822" w:rsidRDefault="00820679" w:rsidP="002D5AC3">
      <w:pPr>
        <w:spacing w:line="276" w:lineRule="auto"/>
        <w:rPr>
          <w:rFonts w:cs="Arial"/>
        </w:rPr>
      </w:pPr>
      <w:r w:rsidRPr="002D5AC3">
        <w:rPr>
          <w:rFonts w:ascii="Arial" w:hAnsi="Arial" w:cs="Arial"/>
        </w:rPr>
        <w:t>A</w:t>
      </w:r>
      <w:r w:rsidR="001627C3" w:rsidRPr="002D5AC3">
        <w:rPr>
          <w:rFonts w:ascii="Arial" w:hAnsi="Arial" w:cs="Arial"/>
        </w:rPr>
        <w:t xml:space="preserve"> legislated scheme would provide </w:t>
      </w:r>
      <w:r w:rsidR="004C5B2C" w:rsidRPr="002D5AC3">
        <w:rPr>
          <w:rFonts w:ascii="Arial" w:hAnsi="Arial" w:cs="Arial"/>
        </w:rPr>
        <w:t xml:space="preserve">a </w:t>
      </w:r>
      <w:r w:rsidR="001627C3" w:rsidRPr="002D5AC3">
        <w:rPr>
          <w:rFonts w:ascii="Arial" w:hAnsi="Arial" w:cs="Arial"/>
        </w:rPr>
        <w:t xml:space="preserve">defined, predictable and certain regime to allow investment to occur, as it would give clear </w:t>
      </w:r>
      <w:r w:rsidR="004C5B2C" w:rsidRPr="002D5AC3">
        <w:rPr>
          <w:rFonts w:ascii="Arial" w:hAnsi="Arial" w:cs="Arial"/>
        </w:rPr>
        <w:t xml:space="preserve">legal protection for development and provide stakeholders with certainty over the approval process. </w:t>
      </w:r>
      <w:r w:rsidR="001627C3" w:rsidRPr="002D5AC3">
        <w:rPr>
          <w:rFonts w:ascii="Arial" w:hAnsi="Arial" w:cs="Arial"/>
        </w:rPr>
        <w:t xml:space="preserve">For these reasons, conducting </w:t>
      </w:r>
      <w:r w:rsidR="00972B74">
        <w:rPr>
          <w:rFonts w:ascii="Arial" w:hAnsi="Arial" w:cs="Arial"/>
        </w:rPr>
        <w:t>offshore infrastructure</w:t>
      </w:r>
      <w:r w:rsidR="001627C3" w:rsidRPr="002D5AC3">
        <w:rPr>
          <w:rFonts w:ascii="Arial" w:hAnsi="Arial" w:cs="Arial"/>
        </w:rPr>
        <w:t xml:space="preserve"> development </w:t>
      </w:r>
      <w:r w:rsidR="00BA35D4" w:rsidRPr="002D5AC3">
        <w:rPr>
          <w:rFonts w:ascii="Arial" w:hAnsi="Arial" w:cs="Arial"/>
        </w:rPr>
        <w:t>without legislated approvals</w:t>
      </w:r>
      <w:r w:rsidR="001627C3" w:rsidRPr="002D5AC3">
        <w:rPr>
          <w:rFonts w:ascii="Arial" w:hAnsi="Arial" w:cs="Arial"/>
        </w:rPr>
        <w:t xml:space="preserve"> may be considered by proponents not to be commercially viable. Further, a legislated regime would provide a robust mechanism for allocating </w:t>
      </w:r>
      <w:r w:rsidR="00BA35D4" w:rsidRPr="002D5AC3">
        <w:rPr>
          <w:rFonts w:ascii="Arial" w:hAnsi="Arial" w:cs="Arial"/>
        </w:rPr>
        <w:t>development licences</w:t>
      </w:r>
      <w:r w:rsidR="001627C3" w:rsidRPr="002D5AC3">
        <w:rPr>
          <w:rFonts w:ascii="Arial" w:hAnsi="Arial" w:cs="Arial"/>
        </w:rPr>
        <w:t xml:space="preserve"> between </w:t>
      </w:r>
      <w:r w:rsidR="00BD217D">
        <w:rPr>
          <w:rFonts w:ascii="Arial" w:hAnsi="Arial" w:cs="Arial"/>
        </w:rPr>
        <w:t xml:space="preserve">competing </w:t>
      </w:r>
      <w:r w:rsidR="00BA35D4" w:rsidRPr="002D5AC3">
        <w:rPr>
          <w:rFonts w:ascii="Arial" w:hAnsi="Arial" w:cs="Arial"/>
        </w:rPr>
        <w:t>prospective</w:t>
      </w:r>
      <w:r w:rsidR="001627C3" w:rsidRPr="002D5AC3">
        <w:rPr>
          <w:rFonts w:ascii="Arial" w:hAnsi="Arial" w:cs="Arial"/>
        </w:rPr>
        <w:t xml:space="preserve"> </w:t>
      </w:r>
      <w:r w:rsidR="00BA35D4" w:rsidRPr="002D5AC3">
        <w:rPr>
          <w:rFonts w:ascii="Arial" w:hAnsi="Arial" w:cs="Arial"/>
        </w:rPr>
        <w:t>proponents</w:t>
      </w:r>
      <w:r w:rsidR="001627C3" w:rsidRPr="002D5AC3">
        <w:rPr>
          <w:rFonts w:ascii="Arial" w:hAnsi="Arial" w:cs="Arial"/>
        </w:rPr>
        <w:t>.</w:t>
      </w:r>
    </w:p>
    <w:p w:rsidR="00BD217D" w:rsidRPr="002D5AC3" w:rsidRDefault="00BD217D" w:rsidP="002D5AC3">
      <w:pPr>
        <w:spacing w:line="276" w:lineRule="auto"/>
        <w:rPr>
          <w:rFonts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Current regulatory experience </w:t>
      </w:r>
    </w:p>
    <w:p w:rsidR="002A6153" w:rsidRDefault="002A6153" w:rsidP="0057257B">
      <w:pPr>
        <w:spacing w:line="276" w:lineRule="auto"/>
        <w:rPr>
          <w:rFonts w:ascii="Arial" w:hAnsi="Arial" w:cs="Arial"/>
        </w:rPr>
      </w:pPr>
      <w:r>
        <w:rPr>
          <w:rFonts w:ascii="Arial" w:hAnsi="Arial" w:cs="Arial"/>
        </w:rPr>
        <w:t xml:space="preserve">The current regulatory environment does not provide a clear regulatory path to allow the construction, operation and decommissioning of offshore </w:t>
      </w:r>
      <w:r w:rsidR="00C7297F">
        <w:rPr>
          <w:rFonts w:ascii="Arial" w:hAnsi="Arial" w:cs="Arial"/>
        </w:rPr>
        <w:t>electricity</w:t>
      </w:r>
      <w:r>
        <w:rPr>
          <w:rFonts w:ascii="Arial" w:hAnsi="Arial" w:cs="Arial"/>
        </w:rPr>
        <w:t xml:space="preserve"> infrastructure in Commonwealth waters. </w:t>
      </w:r>
    </w:p>
    <w:p w:rsidR="002A6153" w:rsidRDefault="002A6153" w:rsidP="0057257B">
      <w:pPr>
        <w:spacing w:line="276" w:lineRule="auto"/>
        <w:rPr>
          <w:rFonts w:ascii="Arial" w:hAnsi="Arial" w:cs="Arial"/>
        </w:rPr>
      </w:pPr>
      <w:r>
        <w:rPr>
          <w:rFonts w:ascii="Arial" w:hAnsi="Arial" w:cs="Arial"/>
        </w:rPr>
        <w:t>Limited regulatory bespoke approaches may be possible. A h</w:t>
      </w:r>
      <w:r w:rsidRPr="002A6153">
        <w:rPr>
          <w:rFonts w:ascii="Arial" w:hAnsi="Arial" w:cs="Arial"/>
        </w:rPr>
        <w:t>ighly bespoke, small-scale, short-term licence</w:t>
      </w:r>
      <w:r>
        <w:rPr>
          <w:rFonts w:ascii="Arial" w:hAnsi="Arial" w:cs="Arial"/>
        </w:rPr>
        <w:t xml:space="preserve"> was</w:t>
      </w:r>
      <w:r w:rsidRPr="002A6153">
        <w:rPr>
          <w:rFonts w:ascii="Arial" w:hAnsi="Arial" w:cs="Arial"/>
        </w:rPr>
        <w:t xml:space="preserve"> issued to Carnegie Wave Energy for a project off the coa</w:t>
      </w:r>
      <w:r w:rsidR="00820679">
        <w:rPr>
          <w:rFonts w:ascii="Arial" w:hAnsi="Arial" w:cs="Arial"/>
        </w:rPr>
        <w:t>st of Fremantle in 2016</w:t>
      </w:r>
      <w:r>
        <w:rPr>
          <w:rFonts w:ascii="Arial" w:hAnsi="Arial" w:cs="Arial"/>
        </w:rPr>
        <w:t xml:space="preserve">. This licence was </w:t>
      </w:r>
      <w:r w:rsidR="002E5FCC">
        <w:rPr>
          <w:rFonts w:ascii="Arial" w:hAnsi="Arial" w:cs="Arial"/>
        </w:rPr>
        <w:t>a pilot project</w:t>
      </w:r>
      <w:r w:rsidR="00BD217D">
        <w:rPr>
          <w:rFonts w:ascii="Arial" w:hAnsi="Arial" w:cs="Arial"/>
        </w:rPr>
        <w:t xml:space="preserve"> to</w:t>
      </w:r>
      <w:r>
        <w:rPr>
          <w:rFonts w:ascii="Arial" w:hAnsi="Arial" w:cs="Arial"/>
        </w:rPr>
        <w:t xml:space="preserve"> test deployment of the CETO 6 wave energy technology</w:t>
      </w:r>
      <w:r w:rsidRPr="002A6153">
        <w:rPr>
          <w:rFonts w:ascii="Arial" w:hAnsi="Arial" w:cs="Arial"/>
        </w:rPr>
        <w:t xml:space="preserve">. </w:t>
      </w:r>
    </w:p>
    <w:p w:rsidR="00820679" w:rsidRPr="002A6153" w:rsidRDefault="00820679" w:rsidP="0057257B">
      <w:pPr>
        <w:spacing w:line="276" w:lineRule="auto"/>
        <w:rPr>
          <w:rFonts w:ascii="Arial" w:hAnsi="Arial" w:cs="Arial"/>
        </w:rPr>
      </w:pPr>
      <w:r>
        <w:rPr>
          <w:rFonts w:ascii="Arial" w:hAnsi="Arial" w:cs="Arial"/>
        </w:rPr>
        <w:t>The issuance of this licence required consultation</w:t>
      </w:r>
      <w:r w:rsidR="004A26FA">
        <w:rPr>
          <w:rFonts w:ascii="Arial" w:hAnsi="Arial" w:cs="Arial"/>
        </w:rPr>
        <w:t xml:space="preserve">, negotiation and </w:t>
      </w:r>
      <w:r w:rsidR="00BD217D">
        <w:rPr>
          <w:rFonts w:ascii="Arial" w:hAnsi="Arial" w:cs="Arial"/>
        </w:rPr>
        <w:t xml:space="preserve">an </w:t>
      </w:r>
      <w:r w:rsidR="004A26FA">
        <w:rPr>
          <w:rFonts w:ascii="Arial" w:hAnsi="Arial" w:cs="Arial"/>
        </w:rPr>
        <w:t>approval process across multiple Commonwealth agencies</w:t>
      </w:r>
      <w:r w:rsidR="00BD217D">
        <w:rPr>
          <w:rFonts w:ascii="Arial" w:hAnsi="Arial" w:cs="Arial"/>
        </w:rPr>
        <w:t>. This</w:t>
      </w:r>
      <w:r w:rsidR="004A26FA">
        <w:rPr>
          <w:rFonts w:ascii="Arial" w:hAnsi="Arial" w:cs="Arial"/>
        </w:rPr>
        <w:t xml:space="preserve"> was both resource intensive and uncertain for government and industry. </w:t>
      </w:r>
    </w:p>
    <w:p w:rsidR="00F536B9" w:rsidRDefault="002A6153" w:rsidP="0057257B">
      <w:pPr>
        <w:spacing w:line="276" w:lineRule="auto"/>
        <w:rPr>
          <w:rFonts w:ascii="Arial" w:hAnsi="Arial" w:cs="Arial"/>
        </w:rPr>
      </w:pPr>
      <w:r>
        <w:rPr>
          <w:rFonts w:ascii="Arial" w:hAnsi="Arial" w:cs="Arial"/>
        </w:rPr>
        <w:t xml:space="preserve">A similar </w:t>
      </w:r>
      <w:r w:rsidR="00FD71E3">
        <w:rPr>
          <w:rFonts w:ascii="Arial" w:hAnsi="Arial" w:cs="Arial"/>
        </w:rPr>
        <w:t xml:space="preserve">licencing </w:t>
      </w:r>
      <w:r>
        <w:rPr>
          <w:rFonts w:ascii="Arial" w:hAnsi="Arial" w:cs="Arial"/>
        </w:rPr>
        <w:t xml:space="preserve">approach was undertaken to provide an exploration licence </w:t>
      </w:r>
      <w:r w:rsidR="00810822" w:rsidRPr="00275017">
        <w:rPr>
          <w:rFonts w:ascii="Arial" w:hAnsi="Arial" w:cs="Arial"/>
        </w:rPr>
        <w:t>to Star of the South t</w:t>
      </w:r>
      <w:r>
        <w:rPr>
          <w:rFonts w:ascii="Arial" w:hAnsi="Arial" w:cs="Arial"/>
        </w:rPr>
        <w:t xml:space="preserve">o facilitate assessment of conditions </w:t>
      </w:r>
      <w:r w:rsidR="00810822" w:rsidRPr="00275017">
        <w:rPr>
          <w:rFonts w:ascii="Arial" w:hAnsi="Arial" w:cs="Arial"/>
        </w:rPr>
        <w:t xml:space="preserve">for an offshore wind farm off the coast of Gippsland, Victoria. </w:t>
      </w:r>
      <w:r w:rsidR="001A3639">
        <w:rPr>
          <w:rFonts w:ascii="Arial" w:hAnsi="Arial" w:cs="Arial"/>
        </w:rPr>
        <w:t xml:space="preserve">The government undertook broad consultation across the Commonwealth and the </w:t>
      </w:r>
      <w:r w:rsidR="00BD217D">
        <w:rPr>
          <w:rFonts w:ascii="Arial" w:hAnsi="Arial" w:cs="Arial"/>
        </w:rPr>
        <w:t>wider</w:t>
      </w:r>
      <w:r w:rsidR="001A3639">
        <w:rPr>
          <w:rFonts w:ascii="Arial" w:hAnsi="Arial" w:cs="Arial"/>
        </w:rPr>
        <w:t xml:space="preserve"> public to assess potential risks of the proposed activities and consider terms for a licence. Consultation was important due to </w:t>
      </w:r>
      <w:r w:rsidR="00FD71E3">
        <w:rPr>
          <w:rFonts w:ascii="Arial" w:hAnsi="Arial" w:cs="Arial"/>
        </w:rPr>
        <w:t xml:space="preserve">the </w:t>
      </w:r>
      <w:r w:rsidR="001A3639">
        <w:rPr>
          <w:rFonts w:ascii="Arial" w:hAnsi="Arial" w:cs="Arial"/>
        </w:rPr>
        <w:t xml:space="preserve">significant size of the </w:t>
      </w:r>
      <w:r w:rsidR="00FD71E3">
        <w:rPr>
          <w:rFonts w:ascii="Arial" w:hAnsi="Arial" w:cs="Arial"/>
        </w:rPr>
        <w:t>licence a</w:t>
      </w:r>
      <w:r w:rsidR="00102EED">
        <w:rPr>
          <w:rFonts w:ascii="Arial" w:hAnsi="Arial" w:cs="Arial"/>
        </w:rPr>
        <w:t>rea</w:t>
      </w:r>
      <w:r w:rsidR="00985B67">
        <w:rPr>
          <w:rFonts w:ascii="Arial" w:hAnsi="Arial" w:cs="Arial"/>
        </w:rPr>
        <w:t xml:space="preserve">, </w:t>
      </w:r>
      <w:r w:rsidR="001A3639">
        <w:rPr>
          <w:rFonts w:ascii="Arial" w:hAnsi="Arial" w:cs="Arial"/>
        </w:rPr>
        <w:t xml:space="preserve">which </w:t>
      </w:r>
      <w:r w:rsidR="00985B67">
        <w:rPr>
          <w:rFonts w:ascii="Arial" w:hAnsi="Arial" w:cs="Arial"/>
        </w:rPr>
        <w:t>covered a</w:t>
      </w:r>
      <w:r w:rsidR="001A3639">
        <w:rPr>
          <w:rFonts w:ascii="Arial" w:hAnsi="Arial" w:cs="Arial"/>
        </w:rPr>
        <w:t>n area</w:t>
      </w:r>
      <w:r w:rsidR="00FD71E3">
        <w:rPr>
          <w:rFonts w:ascii="Arial" w:hAnsi="Arial" w:cs="Arial"/>
        </w:rPr>
        <w:t xml:space="preserve"> </w:t>
      </w:r>
      <w:r w:rsidR="00C52AC5">
        <w:rPr>
          <w:rFonts w:ascii="Arial" w:hAnsi="Arial" w:cs="Arial"/>
        </w:rPr>
        <w:t>used by fishers, defence, petroleum operators, shipping operators, and</w:t>
      </w:r>
      <w:r w:rsidR="00102EED">
        <w:rPr>
          <w:rFonts w:ascii="Arial" w:hAnsi="Arial" w:cs="Arial"/>
        </w:rPr>
        <w:t xml:space="preserve"> the</w:t>
      </w:r>
      <w:r w:rsidR="00C52AC5">
        <w:rPr>
          <w:rFonts w:ascii="Arial" w:hAnsi="Arial" w:cs="Arial"/>
        </w:rPr>
        <w:t xml:space="preserve"> </w:t>
      </w:r>
      <w:r w:rsidR="00F536B9">
        <w:rPr>
          <w:rFonts w:ascii="Arial" w:hAnsi="Arial" w:cs="Arial"/>
        </w:rPr>
        <w:t>broader community</w:t>
      </w:r>
      <w:r w:rsidR="001A3639">
        <w:rPr>
          <w:rFonts w:ascii="Arial" w:hAnsi="Arial" w:cs="Arial"/>
        </w:rPr>
        <w:t>. The environmental impacts of the exploration activities were also considered.</w:t>
      </w:r>
    </w:p>
    <w:p w:rsidR="00CD6D83" w:rsidRPr="00CD6D83" w:rsidRDefault="00F536B9" w:rsidP="0057257B">
      <w:pPr>
        <w:spacing w:line="276" w:lineRule="auto"/>
        <w:rPr>
          <w:rFonts w:ascii="Arial" w:hAnsi="Arial" w:cs="Arial"/>
        </w:rPr>
      </w:pPr>
      <w:r w:rsidRPr="00F536B9">
        <w:rPr>
          <w:rFonts w:ascii="Arial" w:hAnsi="Arial" w:cs="Arial"/>
        </w:rPr>
        <w:t>The</w:t>
      </w:r>
      <w:r w:rsidR="00FC6E28">
        <w:rPr>
          <w:rFonts w:ascii="Arial" w:hAnsi="Arial" w:cs="Arial"/>
        </w:rPr>
        <w:t xml:space="preserve"> </w:t>
      </w:r>
      <w:r w:rsidR="000D50D9">
        <w:rPr>
          <w:rFonts w:ascii="Arial" w:hAnsi="Arial" w:cs="Arial"/>
        </w:rPr>
        <w:t xml:space="preserve">exploration </w:t>
      </w:r>
      <w:r w:rsidRPr="00F536B9">
        <w:rPr>
          <w:rFonts w:ascii="Arial" w:hAnsi="Arial" w:cs="Arial"/>
        </w:rPr>
        <w:t xml:space="preserve">licence </w:t>
      </w:r>
      <w:r w:rsidR="000D50D9">
        <w:rPr>
          <w:rFonts w:ascii="Arial" w:hAnsi="Arial" w:cs="Arial"/>
        </w:rPr>
        <w:t xml:space="preserve">was issued to Star of the South in March 2019, </w:t>
      </w:r>
      <w:r w:rsidRPr="00F536B9">
        <w:rPr>
          <w:rFonts w:ascii="Arial" w:hAnsi="Arial" w:cs="Arial"/>
        </w:rPr>
        <w:t>for five years with</w:t>
      </w:r>
      <w:r w:rsidR="00E66DF0">
        <w:rPr>
          <w:rFonts w:ascii="Arial" w:hAnsi="Arial" w:cs="Arial"/>
        </w:rPr>
        <w:t xml:space="preserve"> a</w:t>
      </w:r>
      <w:r w:rsidRPr="00F536B9">
        <w:rPr>
          <w:rFonts w:ascii="Arial" w:hAnsi="Arial" w:cs="Arial"/>
        </w:rPr>
        <w:t xml:space="preserve"> potential </w:t>
      </w:r>
      <w:r w:rsidR="00E66DF0">
        <w:rPr>
          <w:rFonts w:ascii="Arial" w:hAnsi="Arial" w:cs="Arial"/>
        </w:rPr>
        <w:t>two year extension</w:t>
      </w:r>
      <w:r w:rsidR="00FC6E28">
        <w:rPr>
          <w:rFonts w:ascii="Arial" w:hAnsi="Arial" w:cs="Arial"/>
        </w:rPr>
        <w:t>.</w:t>
      </w:r>
      <w:r w:rsidR="00CD6D83">
        <w:rPr>
          <w:rFonts w:ascii="Arial" w:hAnsi="Arial" w:cs="Arial"/>
        </w:rPr>
        <w:t xml:space="preserve"> Licence activities include </w:t>
      </w:r>
      <w:r w:rsidR="00CD6D83" w:rsidRPr="00CD6D83">
        <w:rPr>
          <w:rFonts w:ascii="Arial" w:hAnsi="Arial" w:cs="Arial"/>
        </w:rPr>
        <w:t>assessing wind resources and sea bed conditions to inform a wind farm proposal.</w:t>
      </w:r>
      <w:r w:rsidR="00CD6D83">
        <w:rPr>
          <w:rFonts w:ascii="Arial" w:hAnsi="Arial" w:cs="Arial"/>
        </w:rPr>
        <w:t xml:space="preserve"> </w:t>
      </w:r>
      <w:r w:rsidR="00CD6D83" w:rsidRPr="00CD6D83">
        <w:rPr>
          <w:rFonts w:ascii="Arial" w:hAnsi="Arial" w:cs="Arial"/>
        </w:rPr>
        <w:t>The licence area is located in Australian Commonwealth waters about 8 to 13 kilometres off the Gippsland coast in Victoria. The licence is valid for 5 years with the potential to extend for an additional 2 years.</w:t>
      </w:r>
    </w:p>
    <w:p w:rsidR="00A95637" w:rsidRDefault="00F536B9" w:rsidP="003278FC">
      <w:pPr>
        <w:pStyle w:val="ListBullet2"/>
        <w:numPr>
          <w:ilvl w:val="0"/>
          <w:numId w:val="0"/>
        </w:numPr>
        <w:spacing w:before="120" w:line="276" w:lineRule="auto"/>
        <w:contextualSpacing w:val="0"/>
        <w:rPr>
          <w:rFonts w:ascii="Arial" w:hAnsi="Arial" w:cs="Arial"/>
        </w:rPr>
      </w:pPr>
      <w:r w:rsidRPr="00F536B9">
        <w:rPr>
          <w:rFonts w:ascii="Arial" w:hAnsi="Arial" w:cs="Arial"/>
        </w:rPr>
        <w:t>The licence requires further approvals (including environmental approvals) and consultation with the community and industry before each exploration activity can commence.</w:t>
      </w:r>
      <w:r w:rsidR="00176848">
        <w:rPr>
          <w:rFonts w:ascii="Arial" w:hAnsi="Arial" w:cs="Arial"/>
        </w:rPr>
        <w:t xml:space="preserve"> </w:t>
      </w:r>
      <w:r w:rsidR="008C4127">
        <w:rPr>
          <w:rFonts w:ascii="Arial" w:hAnsi="Arial" w:cs="Arial"/>
        </w:rPr>
        <w:t xml:space="preserve">The licence does not override </w:t>
      </w:r>
      <w:r w:rsidR="008C4127" w:rsidRPr="008C4127">
        <w:rPr>
          <w:rFonts w:ascii="Arial" w:hAnsi="Arial" w:cs="Arial"/>
        </w:rPr>
        <w:t>existing common law and statutory rights of third parties</w:t>
      </w:r>
      <w:r w:rsidR="00BD217D">
        <w:rPr>
          <w:rFonts w:ascii="Arial" w:hAnsi="Arial" w:cs="Arial"/>
        </w:rPr>
        <w:t>,</w:t>
      </w:r>
      <w:r w:rsidR="008C4127">
        <w:rPr>
          <w:rFonts w:ascii="Arial" w:hAnsi="Arial" w:cs="Arial"/>
        </w:rPr>
        <w:t xml:space="preserve"> or</w:t>
      </w:r>
      <w:r w:rsidR="00810822" w:rsidRPr="00275017">
        <w:rPr>
          <w:rFonts w:ascii="Arial" w:hAnsi="Arial" w:cs="Arial"/>
        </w:rPr>
        <w:t xml:space="preserve"> grant rights to construct or operate an offshore wind farm.</w:t>
      </w:r>
    </w:p>
    <w:p w:rsidR="00AA37BF" w:rsidRDefault="008C4127" w:rsidP="0057257B">
      <w:pPr>
        <w:pStyle w:val="ListBullet2"/>
        <w:numPr>
          <w:ilvl w:val="0"/>
          <w:numId w:val="0"/>
        </w:numPr>
        <w:spacing w:before="120" w:after="120" w:line="276" w:lineRule="auto"/>
        <w:rPr>
          <w:rFonts w:ascii="Arial" w:hAnsi="Arial" w:cs="Arial"/>
        </w:rPr>
      </w:pPr>
      <w:r>
        <w:rPr>
          <w:rFonts w:ascii="Arial" w:hAnsi="Arial" w:cs="Arial"/>
        </w:rPr>
        <w:t>Assess</w:t>
      </w:r>
      <w:r w:rsidR="00F90F51">
        <w:rPr>
          <w:rFonts w:ascii="Arial" w:hAnsi="Arial" w:cs="Arial"/>
        </w:rPr>
        <w:t xml:space="preserve">ing this proposal </w:t>
      </w:r>
      <w:r w:rsidR="00E21B68">
        <w:rPr>
          <w:rFonts w:ascii="Arial" w:hAnsi="Arial" w:cs="Arial"/>
        </w:rPr>
        <w:t>and devel</w:t>
      </w:r>
      <w:r w:rsidR="001627C3">
        <w:rPr>
          <w:rFonts w:ascii="Arial" w:hAnsi="Arial" w:cs="Arial"/>
        </w:rPr>
        <w:t>oping the bespoke</w:t>
      </w:r>
      <w:r w:rsidR="00AA37BF">
        <w:rPr>
          <w:rFonts w:ascii="Arial" w:hAnsi="Arial" w:cs="Arial"/>
        </w:rPr>
        <w:t xml:space="preserve"> exploration licence took over two years. Aspects of this process were </w:t>
      </w:r>
      <w:r w:rsidR="00FA68DA">
        <w:rPr>
          <w:rFonts w:ascii="Arial" w:hAnsi="Arial" w:cs="Arial"/>
        </w:rPr>
        <w:t>lengthier</w:t>
      </w:r>
      <w:r w:rsidR="00AA37BF">
        <w:rPr>
          <w:rFonts w:ascii="Arial" w:hAnsi="Arial" w:cs="Arial"/>
        </w:rPr>
        <w:t xml:space="preserve"> than might otherwise be expected</w:t>
      </w:r>
      <w:r w:rsidR="007C3FD0">
        <w:rPr>
          <w:rFonts w:ascii="Arial" w:hAnsi="Arial" w:cs="Arial"/>
        </w:rPr>
        <w:t>,</w:t>
      </w:r>
      <w:r w:rsidR="00AA37BF">
        <w:rPr>
          <w:rFonts w:ascii="Arial" w:hAnsi="Arial" w:cs="Arial"/>
        </w:rPr>
        <w:t xml:space="preserve"> </w:t>
      </w:r>
      <w:r w:rsidR="007C3FD0">
        <w:rPr>
          <w:rFonts w:ascii="Arial" w:hAnsi="Arial" w:cs="Arial"/>
        </w:rPr>
        <w:t xml:space="preserve">as </w:t>
      </w:r>
      <w:r w:rsidR="00AA37BF">
        <w:rPr>
          <w:rFonts w:ascii="Arial" w:hAnsi="Arial" w:cs="Arial"/>
        </w:rPr>
        <w:t xml:space="preserve">an </w:t>
      </w:r>
      <w:r w:rsidR="00BB19FF">
        <w:rPr>
          <w:rFonts w:ascii="Arial" w:hAnsi="Arial" w:cs="Arial"/>
        </w:rPr>
        <w:t xml:space="preserve">exploration </w:t>
      </w:r>
      <w:r w:rsidR="00AA37BF">
        <w:rPr>
          <w:rFonts w:ascii="Arial" w:hAnsi="Arial" w:cs="Arial"/>
        </w:rPr>
        <w:t xml:space="preserve">licence </w:t>
      </w:r>
      <w:r w:rsidR="00BB19FF">
        <w:rPr>
          <w:rFonts w:ascii="Arial" w:hAnsi="Arial" w:cs="Arial"/>
        </w:rPr>
        <w:t xml:space="preserve">of </w:t>
      </w:r>
      <w:r w:rsidR="00E21B68">
        <w:rPr>
          <w:rFonts w:ascii="Arial" w:hAnsi="Arial" w:cs="Arial"/>
        </w:rPr>
        <w:t>this nature for an offshore wind farm had</w:t>
      </w:r>
      <w:r w:rsidR="00BB19FF">
        <w:rPr>
          <w:rFonts w:ascii="Arial" w:hAnsi="Arial" w:cs="Arial"/>
        </w:rPr>
        <w:t xml:space="preserve"> never been undertaken previously in Australia. </w:t>
      </w:r>
      <w:r w:rsidR="00AA37BF">
        <w:rPr>
          <w:rFonts w:ascii="Arial" w:hAnsi="Arial" w:cs="Arial"/>
        </w:rPr>
        <w:t>This process required extensive consultation</w:t>
      </w:r>
      <w:r w:rsidR="00FA68DA">
        <w:rPr>
          <w:rFonts w:ascii="Arial" w:hAnsi="Arial" w:cs="Arial"/>
        </w:rPr>
        <w:t xml:space="preserve"> across the Commonwealth to consider:</w:t>
      </w:r>
    </w:p>
    <w:p w:rsidR="00FA68DA" w:rsidRDefault="00FA68DA" w:rsidP="002D5AC3">
      <w:pPr>
        <w:pStyle w:val="Bulletlist"/>
        <w:spacing w:line="276" w:lineRule="auto"/>
        <w:ind w:left="714" w:hanging="357"/>
      </w:pPr>
      <w:r>
        <w:t>Existing infrastructure such as communication cables</w:t>
      </w:r>
      <w:r w:rsidR="001F5022">
        <w:t>;</w:t>
      </w:r>
    </w:p>
    <w:p w:rsidR="00FA68DA" w:rsidRDefault="00FA68DA" w:rsidP="002D5AC3">
      <w:pPr>
        <w:pStyle w:val="Bulletlist"/>
        <w:spacing w:line="276" w:lineRule="auto"/>
        <w:ind w:left="714" w:hanging="357"/>
      </w:pPr>
      <w:r>
        <w:t>Licences in operation for fishing and petroleum related activities</w:t>
      </w:r>
      <w:r w:rsidR="001F5022">
        <w:t>;</w:t>
      </w:r>
    </w:p>
    <w:p w:rsidR="00FA68DA" w:rsidRDefault="00FA68DA" w:rsidP="002D5AC3">
      <w:pPr>
        <w:pStyle w:val="Bulletlist"/>
        <w:spacing w:line="276" w:lineRule="auto"/>
        <w:ind w:left="714" w:hanging="357"/>
      </w:pPr>
      <w:r>
        <w:t>Commonwealth on water activities such as defence</w:t>
      </w:r>
      <w:r w:rsidR="001F5022">
        <w:t>;</w:t>
      </w:r>
    </w:p>
    <w:p w:rsidR="00FA68DA" w:rsidRDefault="00FA68DA" w:rsidP="002D5AC3">
      <w:pPr>
        <w:pStyle w:val="Bulletlist"/>
        <w:spacing w:line="276" w:lineRule="auto"/>
        <w:ind w:left="714" w:hanging="357"/>
      </w:pPr>
      <w:r>
        <w:t>Shipping</w:t>
      </w:r>
      <w:r w:rsidR="001F5022">
        <w:t>;</w:t>
      </w:r>
      <w:r>
        <w:t xml:space="preserve"> </w:t>
      </w:r>
    </w:p>
    <w:p w:rsidR="00FA68DA" w:rsidRDefault="00FA68DA" w:rsidP="002D5AC3">
      <w:pPr>
        <w:pStyle w:val="Bulletlist"/>
        <w:spacing w:line="276" w:lineRule="auto"/>
        <w:ind w:left="714" w:hanging="357"/>
      </w:pPr>
      <w:r>
        <w:t>Maritime safety</w:t>
      </w:r>
      <w:r w:rsidR="001F5022">
        <w:t>;</w:t>
      </w:r>
    </w:p>
    <w:p w:rsidR="00FA68DA" w:rsidRDefault="00FA68DA" w:rsidP="002D5AC3">
      <w:pPr>
        <w:pStyle w:val="Bulletlist"/>
        <w:spacing w:line="276" w:lineRule="auto"/>
        <w:ind w:left="714" w:hanging="357"/>
      </w:pPr>
      <w:r>
        <w:t>Environmental management considerations</w:t>
      </w:r>
      <w:r w:rsidR="001F5022">
        <w:t>;</w:t>
      </w:r>
    </w:p>
    <w:p w:rsidR="00FA68DA" w:rsidRDefault="00FA68DA" w:rsidP="002D5AC3">
      <w:pPr>
        <w:pStyle w:val="Bulletlist"/>
        <w:spacing w:line="276" w:lineRule="auto"/>
        <w:ind w:left="714" w:hanging="357"/>
      </w:pPr>
      <w:r>
        <w:t>Existing legislative arrangement such as Native Title</w:t>
      </w:r>
      <w:r w:rsidR="001F5022">
        <w:t>; and</w:t>
      </w:r>
    </w:p>
    <w:p w:rsidR="00FA68DA" w:rsidRDefault="00FA68DA" w:rsidP="002D5AC3">
      <w:pPr>
        <w:pStyle w:val="Bulletlist"/>
        <w:spacing w:line="276" w:lineRule="auto"/>
        <w:ind w:left="714" w:hanging="357"/>
      </w:pPr>
      <w:r>
        <w:t xml:space="preserve">The response </w:t>
      </w:r>
      <w:r w:rsidR="00527849">
        <w:t>from</w:t>
      </w:r>
      <w:r>
        <w:t xml:space="preserve"> the broader public</w:t>
      </w:r>
      <w:r w:rsidR="00527849">
        <w:t xml:space="preserve">, </w:t>
      </w:r>
      <w:r>
        <w:t xml:space="preserve">industry </w:t>
      </w:r>
      <w:r w:rsidR="00527849">
        <w:t>and other developers through a public notice process</w:t>
      </w:r>
      <w:r>
        <w:t xml:space="preserve">. </w:t>
      </w:r>
    </w:p>
    <w:p w:rsidR="00543472" w:rsidRDefault="005A41EA" w:rsidP="003278FC">
      <w:pPr>
        <w:pStyle w:val="ListBullet2"/>
        <w:numPr>
          <w:ilvl w:val="0"/>
          <w:numId w:val="0"/>
        </w:numPr>
        <w:spacing w:before="120" w:line="276" w:lineRule="auto"/>
        <w:contextualSpacing w:val="0"/>
        <w:rPr>
          <w:rFonts w:ascii="Arial" w:hAnsi="Arial" w:cs="Arial"/>
        </w:rPr>
      </w:pPr>
      <w:r>
        <w:rPr>
          <w:rFonts w:ascii="Arial" w:hAnsi="Arial" w:cs="Arial"/>
        </w:rPr>
        <w:t>S</w:t>
      </w:r>
      <w:r w:rsidR="002F2ED2">
        <w:rPr>
          <w:rFonts w:ascii="Arial" w:hAnsi="Arial" w:cs="Arial"/>
        </w:rPr>
        <w:t xml:space="preserve">uch a resource </w:t>
      </w:r>
      <w:r>
        <w:rPr>
          <w:rFonts w:ascii="Arial" w:hAnsi="Arial" w:cs="Arial"/>
        </w:rPr>
        <w:t xml:space="preserve">intensive </w:t>
      </w:r>
      <w:r w:rsidR="00BB0D21">
        <w:rPr>
          <w:rFonts w:ascii="Arial" w:hAnsi="Arial" w:cs="Arial"/>
        </w:rPr>
        <w:t xml:space="preserve">one-off </w:t>
      </w:r>
      <w:r w:rsidR="002F2ED2">
        <w:rPr>
          <w:rFonts w:ascii="Arial" w:hAnsi="Arial" w:cs="Arial"/>
        </w:rPr>
        <w:t>assessment</w:t>
      </w:r>
      <w:r>
        <w:rPr>
          <w:rFonts w:ascii="Arial" w:hAnsi="Arial" w:cs="Arial"/>
        </w:rPr>
        <w:t xml:space="preserve"> is not a sustainable </w:t>
      </w:r>
      <w:r w:rsidR="00BB0D21">
        <w:rPr>
          <w:rFonts w:ascii="Arial" w:hAnsi="Arial" w:cs="Arial"/>
        </w:rPr>
        <w:t>undertaking</w:t>
      </w:r>
      <w:r>
        <w:rPr>
          <w:rFonts w:ascii="Arial" w:hAnsi="Arial" w:cs="Arial"/>
        </w:rPr>
        <w:t xml:space="preserve"> for government</w:t>
      </w:r>
      <w:r w:rsidR="002405E7">
        <w:rPr>
          <w:rFonts w:ascii="Arial" w:hAnsi="Arial" w:cs="Arial"/>
        </w:rPr>
        <w:t xml:space="preserve">, </w:t>
      </w:r>
      <w:r w:rsidR="002F2ED2">
        <w:rPr>
          <w:rFonts w:ascii="Arial" w:hAnsi="Arial" w:cs="Arial"/>
        </w:rPr>
        <w:t>or developers</w:t>
      </w:r>
      <w:r w:rsidR="00BD217D">
        <w:rPr>
          <w:rFonts w:ascii="Arial" w:hAnsi="Arial" w:cs="Arial"/>
        </w:rPr>
        <w:t xml:space="preserve">. It </w:t>
      </w:r>
      <w:r w:rsidR="00FA68DA">
        <w:rPr>
          <w:rFonts w:ascii="Arial" w:hAnsi="Arial" w:cs="Arial"/>
        </w:rPr>
        <w:t xml:space="preserve">is uncertain </w:t>
      </w:r>
      <w:r w:rsidR="002F2ED2">
        <w:rPr>
          <w:rFonts w:ascii="Arial" w:hAnsi="Arial" w:cs="Arial"/>
        </w:rPr>
        <w:t xml:space="preserve">and does not </w:t>
      </w:r>
      <w:r w:rsidR="00FA68DA">
        <w:rPr>
          <w:rFonts w:ascii="Arial" w:hAnsi="Arial" w:cs="Arial"/>
        </w:rPr>
        <w:t>ultimately</w:t>
      </w:r>
      <w:r w:rsidR="002F2ED2">
        <w:rPr>
          <w:rFonts w:ascii="Arial" w:hAnsi="Arial" w:cs="Arial"/>
        </w:rPr>
        <w:t xml:space="preserve"> </w:t>
      </w:r>
      <w:r w:rsidR="00FA68DA">
        <w:rPr>
          <w:rFonts w:ascii="Arial" w:hAnsi="Arial" w:cs="Arial"/>
        </w:rPr>
        <w:t xml:space="preserve">provide a </w:t>
      </w:r>
      <w:r w:rsidR="002F2ED2">
        <w:rPr>
          <w:rFonts w:ascii="Arial" w:hAnsi="Arial" w:cs="Arial"/>
        </w:rPr>
        <w:t>commercial</w:t>
      </w:r>
      <w:r w:rsidR="004D1D87">
        <w:rPr>
          <w:rFonts w:ascii="Arial" w:hAnsi="Arial" w:cs="Arial"/>
        </w:rPr>
        <w:t xml:space="preserve"> pathway for development. </w:t>
      </w:r>
      <w:r w:rsidR="002F2ED2">
        <w:rPr>
          <w:rFonts w:ascii="Arial" w:hAnsi="Arial" w:cs="Arial"/>
        </w:rPr>
        <w:t xml:space="preserve"> </w:t>
      </w:r>
    </w:p>
    <w:p w:rsidR="003278FC" w:rsidRDefault="00985B67" w:rsidP="003278FC">
      <w:pPr>
        <w:pStyle w:val="ListBullet2"/>
        <w:numPr>
          <w:ilvl w:val="0"/>
          <w:numId w:val="0"/>
        </w:numPr>
        <w:spacing w:before="120" w:line="276" w:lineRule="auto"/>
        <w:contextualSpacing w:val="0"/>
        <w:rPr>
          <w:rFonts w:ascii="Arial" w:hAnsi="Arial" w:cs="Arial"/>
        </w:rPr>
      </w:pPr>
      <w:r>
        <w:rPr>
          <w:rFonts w:ascii="Arial" w:hAnsi="Arial" w:cs="Arial"/>
        </w:rPr>
        <w:t>Though not directly analogous, in contrast to the two year process outlined above</w:t>
      </w:r>
      <w:r w:rsidR="00BD217D">
        <w:rPr>
          <w:rFonts w:ascii="Arial" w:hAnsi="Arial" w:cs="Arial"/>
        </w:rPr>
        <w:t>,</w:t>
      </w:r>
      <w:r>
        <w:rPr>
          <w:rFonts w:ascii="Arial" w:hAnsi="Arial" w:cs="Arial"/>
        </w:rPr>
        <w:t xml:space="preserve"> </w:t>
      </w:r>
      <w:r w:rsidR="00FA68DA">
        <w:rPr>
          <w:rFonts w:ascii="Arial" w:hAnsi="Arial" w:cs="Arial"/>
        </w:rPr>
        <w:t xml:space="preserve">the </w:t>
      </w:r>
      <w:r w:rsidR="00527849">
        <w:rPr>
          <w:rFonts w:ascii="Arial" w:hAnsi="Arial" w:cs="Arial"/>
        </w:rPr>
        <w:t>assessment</w:t>
      </w:r>
      <w:r w:rsidR="00FA68DA">
        <w:rPr>
          <w:rFonts w:ascii="Arial" w:hAnsi="Arial" w:cs="Arial"/>
        </w:rPr>
        <w:t xml:space="preserve"> process for exploration licences under the </w:t>
      </w:r>
      <w:r w:rsidRPr="00985B67">
        <w:rPr>
          <w:rFonts w:ascii="Arial" w:hAnsi="Arial" w:cs="Arial"/>
          <w:i/>
        </w:rPr>
        <w:t>Offshore Petroleum and Greenhouse Gas Storage Act 2006</w:t>
      </w:r>
      <w:r>
        <w:rPr>
          <w:rFonts w:ascii="Arial" w:hAnsi="Arial" w:cs="Arial"/>
        </w:rPr>
        <w:t xml:space="preserve"> </w:t>
      </w:r>
      <w:r w:rsidR="00527849">
        <w:rPr>
          <w:rFonts w:ascii="Arial" w:hAnsi="Arial" w:cs="Arial"/>
        </w:rPr>
        <w:t xml:space="preserve">is between </w:t>
      </w:r>
      <w:r w:rsidR="00543472">
        <w:rPr>
          <w:rFonts w:ascii="Arial" w:hAnsi="Arial" w:cs="Arial"/>
        </w:rPr>
        <w:t>3-4</w:t>
      </w:r>
      <w:r>
        <w:rPr>
          <w:rFonts w:ascii="Arial" w:hAnsi="Arial" w:cs="Arial"/>
        </w:rPr>
        <w:t xml:space="preserve"> months. </w:t>
      </w:r>
      <w:r w:rsidR="00543472">
        <w:rPr>
          <w:rFonts w:ascii="Arial" w:hAnsi="Arial" w:cs="Arial"/>
        </w:rPr>
        <w:t>This</w:t>
      </w:r>
      <w:r w:rsidR="00527849">
        <w:rPr>
          <w:rFonts w:ascii="Arial" w:hAnsi="Arial" w:cs="Arial"/>
        </w:rPr>
        <w:t xml:space="preserve"> process is being revised to reduce this </w:t>
      </w:r>
      <w:r w:rsidR="00543472">
        <w:rPr>
          <w:rFonts w:ascii="Arial" w:hAnsi="Arial" w:cs="Arial"/>
        </w:rPr>
        <w:t>processing time further.</w:t>
      </w:r>
    </w:p>
    <w:p w:rsidR="00810822" w:rsidRDefault="00543472" w:rsidP="003278FC">
      <w:pPr>
        <w:pStyle w:val="ListBullet2"/>
        <w:numPr>
          <w:ilvl w:val="0"/>
          <w:numId w:val="0"/>
        </w:numPr>
        <w:spacing w:before="120" w:line="276" w:lineRule="auto"/>
        <w:contextualSpacing w:val="0"/>
        <w:rPr>
          <w:rFonts w:ascii="Arial" w:hAnsi="Arial" w:cs="Arial"/>
        </w:rPr>
      </w:pPr>
      <w:r>
        <w:rPr>
          <w:rFonts w:ascii="Arial" w:hAnsi="Arial" w:cs="Arial"/>
        </w:rPr>
        <w:t>A</w:t>
      </w:r>
      <w:r w:rsidR="00985B67">
        <w:rPr>
          <w:rFonts w:ascii="Arial" w:hAnsi="Arial" w:cs="Arial"/>
        </w:rPr>
        <w:t>s</w:t>
      </w:r>
      <w:r>
        <w:rPr>
          <w:rFonts w:ascii="Arial" w:hAnsi="Arial" w:cs="Arial"/>
        </w:rPr>
        <w:t xml:space="preserve"> already noted,</w:t>
      </w:r>
      <w:r w:rsidR="00BA35D4">
        <w:rPr>
          <w:rFonts w:ascii="Arial" w:hAnsi="Arial" w:cs="Arial"/>
        </w:rPr>
        <w:t xml:space="preserve"> beyond the Star of the South, Marinus Link and Sun</w:t>
      </w:r>
      <w:r w:rsidR="00AD6661">
        <w:rPr>
          <w:rFonts w:ascii="Arial" w:hAnsi="Arial" w:cs="Arial"/>
        </w:rPr>
        <w:t xml:space="preserve"> C</w:t>
      </w:r>
      <w:r w:rsidR="00BA35D4">
        <w:rPr>
          <w:rFonts w:ascii="Arial" w:hAnsi="Arial" w:cs="Arial"/>
        </w:rPr>
        <w:t>able</w:t>
      </w:r>
      <w:r>
        <w:rPr>
          <w:rFonts w:ascii="Arial" w:hAnsi="Arial" w:cs="Arial"/>
        </w:rPr>
        <w:t xml:space="preserve"> proposals</w:t>
      </w:r>
      <w:r w:rsidR="00BA35D4">
        <w:rPr>
          <w:rFonts w:ascii="Arial" w:hAnsi="Arial" w:cs="Arial"/>
        </w:rPr>
        <w:t xml:space="preserve">, </w:t>
      </w:r>
      <w:r w:rsidR="004F1E4C">
        <w:rPr>
          <w:rFonts w:ascii="Arial" w:hAnsi="Arial" w:cs="Arial"/>
        </w:rPr>
        <w:t xml:space="preserve">nine </w:t>
      </w:r>
      <w:r w:rsidR="00BA35D4">
        <w:rPr>
          <w:rFonts w:ascii="Arial" w:hAnsi="Arial" w:cs="Arial"/>
        </w:rPr>
        <w:t xml:space="preserve">other proponents have approached government </w:t>
      </w:r>
      <w:r>
        <w:rPr>
          <w:rFonts w:ascii="Arial" w:hAnsi="Arial" w:cs="Arial"/>
        </w:rPr>
        <w:t>expressing</w:t>
      </w:r>
      <w:r w:rsidR="00810822" w:rsidRPr="00275017">
        <w:rPr>
          <w:rFonts w:ascii="Arial" w:hAnsi="Arial" w:cs="Arial"/>
        </w:rPr>
        <w:t xml:space="preserve"> interest in opportunities for large scale offshore </w:t>
      </w:r>
      <w:r w:rsidR="00C7297F">
        <w:rPr>
          <w:rFonts w:ascii="Arial" w:hAnsi="Arial" w:cs="Arial"/>
        </w:rPr>
        <w:t>electricity</w:t>
      </w:r>
      <w:r w:rsidR="00810822" w:rsidRPr="00275017">
        <w:rPr>
          <w:rFonts w:ascii="Arial" w:hAnsi="Arial" w:cs="Arial"/>
        </w:rPr>
        <w:t xml:space="preserve"> infrastructure developments in Australia.</w:t>
      </w:r>
      <w:r w:rsidR="00107AD2">
        <w:rPr>
          <w:rFonts w:ascii="Arial" w:hAnsi="Arial" w:cs="Arial"/>
        </w:rPr>
        <w:t xml:space="preserve"> </w:t>
      </w:r>
      <w:r w:rsidR="003D3B68">
        <w:rPr>
          <w:rFonts w:ascii="Arial" w:hAnsi="Arial" w:cs="Arial"/>
        </w:rPr>
        <w:t>A</w:t>
      </w:r>
      <w:r w:rsidR="00BA35D4">
        <w:rPr>
          <w:rFonts w:ascii="Arial" w:hAnsi="Arial" w:cs="Arial"/>
        </w:rPr>
        <w:t xml:space="preserve"> number of leading international developers have </w:t>
      </w:r>
      <w:r w:rsidR="003D3B68">
        <w:rPr>
          <w:rFonts w:ascii="Arial" w:hAnsi="Arial" w:cs="Arial"/>
        </w:rPr>
        <w:t xml:space="preserve">also </w:t>
      </w:r>
      <w:r w:rsidR="00BA35D4">
        <w:rPr>
          <w:rFonts w:ascii="Arial" w:hAnsi="Arial" w:cs="Arial"/>
        </w:rPr>
        <w:t>expressed</w:t>
      </w:r>
      <w:r w:rsidR="00810822" w:rsidRPr="00275017">
        <w:rPr>
          <w:rFonts w:ascii="Arial" w:hAnsi="Arial" w:cs="Arial"/>
        </w:rPr>
        <w:t xml:space="preserve"> </w:t>
      </w:r>
      <w:r w:rsidR="00BA35D4">
        <w:rPr>
          <w:rFonts w:ascii="Arial" w:hAnsi="Arial" w:cs="Arial"/>
        </w:rPr>
        <w:t>interest in the Australian market</w:t>
      </w:r>
      <w:r w:rsidR="00810822" w:rsidRPr="00275017">
        <w:rPr>
          <w:rFonts w:ascii="Arial" w:hAnsi="Arial" w:cs="Arial"/>
        </w:rPr>
        <w:t xml:space="preserve">, </w:t>
      </w:r>
      <w:r w:rsidR="007C3FD0">
        <w:rPr>
          <w:rFonts w:ascii="Arial" w:hAnsi="Arial" w:cs="Arial"/>
        </w:rPr>
        <w:t xml:space="preserve">although </w:t>
      </w:r>
      <w:r w:rsidR="003D3B68">
        <w:rPr>
          <w:rFonts w:ascii="Arial" w:hAnsi="Arial" w:cs="Arial"/>
        </w:rPr>
        <w:t xml:space="preserve">they </w:t>
      </w:r>
      <w:r w:rsidR="007C3FD0">
        <w:rPr>
          <w:rFonts w:ascii="Arial" w:hAnsi="Arial" w:cs="Arial"/>
        </w:rPr>
        <w:t>are waiting</w:t>
      </w:r>
      <w:r w:rsidR="00810822" w:rsidRPr="00275017">
        <w:rPr>
          <w:rFonts w:ascii="Arial" w:hAnsi="Arial" w:cs="Arial"/>
        </w:rPr>
        <w:t xml:space="preserve"> until a regulatory model is implemented</w:t>
      </w:r>
      <w:r w:rsidR="007C3FD0">
        <w:rPr>
          <w:rFonts w:ascii="Arial" w:hAnsi="Arial" w:cs="Arial"/>
        </w:rPr>
        <w:t>,</w:t>
      </w:r>
      <w:r w:rsidR="00810822" w:rsidRPr="00275017">
        <w:rPr>
          <w:rFonts w:ascii="Arial" w:hAnsi="Arial" w:cs="Arial"/>
        </w:rPr>
        <w:t xml:space="preserve"> due to the risks associated with operating in an unregulated environment.</w:t>
      </w:r>
      <w:r>
        <w:rPr>
          <w:rFonts w:ascii="Arial" w:hAnsi="Arial" w:cs="Arial"/>
        </w:rPr>
        <w:t xml:space="preserve"> </w:t>
      </w:r>
    </w:p>
    <w:p w:rsidR="00BA35D4" w:rsidRDefault="00543472" w:rsidP="0057257B">
      <w:pPr>
        <w:spacing w:line="276" w:lineRule="auto"/>
        <w:rPr>
          <w:rFonts w:ascii="Arial" w:hAnsi="Arial" w:cs="Arial"/>
        </w:rPr>
      </w:pPr>
      <w:r>
        <w:rPr>
          <w:rFonts w:ascii="Arial" w:hAnsi="Arial" w:cs="Arial"/>
        </w:rPr>
        <w:t xml:space="preserve">In aggregate these proposals represent billions of dollars in potentially lost investment and employment opportunities, noting not all proposals </w:t>
      </w:r>
      <w:r w:rsidR="0066069C">
        <w:rPr>
          <w:rFonts w:ascii="Arial" w:hAnsi="Arial" w:cs="Arial"/>
        </w:rPr>
        <w:t xml:space="preserve">would </w:t>
      </w:r>
      <w:r>
        <w:rPr>
          <w:rFonts w:ascii="Arial" w:hAnsi="Arial" w:cs="Arial"/>
        </w:rPr>
        <w:t xml:space="preserve">proceed to development.  </w:t>
      </w:r>
    </w:p>
    <w:p w:rsidR="00BD217D" w:rsidRPr="00275017" w:rsidRDefault="00BD217D" w:rsidP="0057257B">
      <w:pPr>
        <w:spacing w:line="276" w:lineRule="auto"/>
        <w:rPr>
          <w:rFonts w:ascii="Arial" w:hAnsi="Arial"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Uncertainties in this </w:t>
      </w:r>
      <w:r w:rsidR="005A1750">
        <w:rPr>
          <w:rFonts w:ascii="Arial" w:hAnsi="Arial" w:cs="Arial"/>
        </w:rPr>
        <w:t>R</w:t>
      </w:r>
      <w:r w:rsidRPr="00275017">
        <w:rPr>
          <w:rFonts w:ascii="Arial" w:hAnsi="Arial" w:cs="Arial"/>
        </w:rPr>
        <w:t>egulat</w:t>
      </w:r>
      <w:r w:rsidR="00BD217D">
        <w:rPr>
          <w:rFonts w:ascii="Arial" w:hAnsi="Arial" w:cs="Arial"/>
        </w:rPr>
        <w:t>ory</w:t>
      </w:r>
      <w:r w:rsidRPr="00275017">
        <w:rPr>
          <w:rFonts w:ascii="Arial" w:hAnsi="Arial" w:cs="Arial"/>
        </w:rPr>
        <w:t xml:space="preserve"> </w:t>
      </w:r>
      <w:r w:rsidR="005A1750">
        <w:rPr>
          <w:rFonts w:ascii="Arial" w:hAnsi="Arial" w:cs="Arial"/>
        </w:rPr>
        <w:t>I</w:t>
      </w:r>
      <w:r w:rsidRPr="00275017">
        <w:rPr>
          <w:rFonts w:ascii="Arial" w:hAnsi="Arial" w:cs="Arial"/>
        </w:rPr>
        <w:t xml:space="preserve">mpact </w:t>
      </w:r>
      <w:r w:rsidR="005A1750">
        <w:rPr>
          <w:rFonts w:ascii="Arial" w:hAnsi="Arial" w:cs="Arial"/>
        </w:rPr>
        <w:t>S</w:t>
      </w:r>
      <w:r w:rsidRPr="00275017">
        <w:rPr>
          <w:rFonts w:ascii="Arial" w:hAnsi="Arial" w:cs="Arial"/>
        </w:rPr>
        <w:t xml:space="preserve">tatement </w:t>
      </w:r>
    </w:p>
    <w:p w:rsidR="00810822" w:rsidRDefault="005A1750" w:rsidP="0057257B">
      <w:pPr>
        <w:spacing w:line="276" w:lineRule="auto"/>
        <w:rPr>
          <w:rFonts w:ascii="Arial" w:hAnsi="Arial" w:cs="Arial"/>
        </w:rPr>
      </w:pPr>
      <w:r>
        <w:rPr>
          <w:rFonts w:ascii="Arial" w:hAnsi="Arial" w:cs="Arial"/>
        </w:rPr>
        <w:t>T</w:t>
      </w:r>
      <w:r w:rsidR="004C5AFF">
        <w:rPr>
          <w:rFonts w:ascii="Arial" w:hAnsi="Arial" w:cs="Arial"/>
        </w:rPr>
        <w:t xml:space="preserve">he offshore </w:t>
      </w:r>
      <w:r w:rsidR="00C7297F">
        <w:rPr>
          <w:rFonts w:ascii="Arial" w:hAnsi="Arial" w:cs="Arial"/>
        </w:rPr>
        <w:t>electricity</w:t>
      </w:r>
      <w:r w:rsidR="004C5AFF">
        <w:rPr>
          <w:rFonts w:ascii="Arial" w:hAnsi="Arial" w:cs="Arial"/>
        </w:rPr>
        <w:t xml:space="preserve"> sector </w:t>
      </w:r>
      <w:r w:rsidR="00105536">
        <w:rPr>
          <w:rFonts w:ascii="Arial" w:hAnsi="Arial" w:cs="Arial"/>
        </w:rPr>
        <w:t xml:space="preserve">is at an early stage of development </w:t>
      </w:r>
      <w:r w:rsidR="004C5AFF">
        <w:rPr>
          <w:rFonts w:ascii="Arial" w:hAnsi="Arial" w:cs="Arial"/>
        </w:rPr>
        <w:t>in Australia</w:t>
      </w:r>
      <w:r>
        <w:rPr>
          <w:rFonts w:ascii="Arial" w:hAnsi="Arial" w:cs="Arial"/>
        </w:rPr>
        <w:t xml:space="preserve"> and so</w:t>
      </w:r>
      <w:r w:rsidR="004C5AFF">
        <w:rPr>
          <w:rFonts w:ascii="Arial" w:hAnsi="Arial" w:cs="Arial"/>
        </w:rPr>
        <w:t xml:space="preserve"> there are a range of uncertainties in developing this R</w:t>
      </w:r>
      <w:r>
        <w:rPr>
          <w:rFonts w:ascii="Arial" w:hAnsi="Arial" w:cs="Arial"/>
        </w:rPr>
        <w:t xml:space="preserve">egulatory </w:t>
      </w:r>
      <w:r w:rsidR="004C5AFF">
        <w:rPr>
          <w:rFonts w:ascii="Arial" w:hAnsi="Arial" w:cs="Arial"/>
        </w:rPr>
        <w:t>I</w:t>
      </w:r>
      <w:r>
        <w:rPr>
          <w:rFonts w:ascii="Arial" w:hAnsi="Arial" w:cs="Arial"/>
        </w:rPr>
        <w:t xml:space="preserve">mpact </w:t>
      </w:r>
      <w:r w:rsidR="004C5AFF">
        <w:rPr>
          <w:rFonts w:ascii="Arial" w:hAnsi="Arial" w:cs="Arial"/>
        </w:rPr>
        <w:t>S</w:t>
      </w:r>
      <w:r>
        <w:rPr>
          <w:rFonts w:ascii="Arial" w:hAnsi="Arial" w:cs="Arial"/>
        </w:rPr>
        <w:t>tatement</w:t>
      </w:r>
      <w:r w:rsidR="004C5AFF">
        <w:rPr>
          <w:rFonts w:ascii="Arial" w:hAnsi="Arial" w:cs="Arial"/>
        </w:rPr>
        <w:t>.</w:t>
      </w:r>
    </w:p>
    <w:p w:rsidR="007D44FB" w:rsidRDefault="007D44FB" w:rsidP="002D5AC3">
      <w:pPr>
        <w:pStyle w:val="Bulletlist"/>
        <w:spacing w:line="276" w:lineRule="auto"/>
        <w:ind w:left="714" w:hanging="357"/>
      </w:pPr>
      <w:r w:rsidRPr="002D5AC3">
        <w:rPr>
          <w:i/>
        </w:rPr>
        <w:t xml:space="preserve">Limited experience of managing large scale offshore </w:t>
      </w:r>
      <w:r w:rsidR="008E11E1">
        <w:rPr>
          <w:i/>
        </w:rPr>
        <w:t>electricity</w:t>
      </w:r>
      <w:r w:rsidRPr="002D5AC3">
        <w:rPr>
          <w:i/>
        </w:rPr>
        <w:t xml:space="preserve"> infrastructure</w:t>
      </w:r>
      <w:r w:rsidR="005A1750">
        <w:t xml:space="preserve"> - Australia does not have specific experience in managing offshore </w:t>
      </w:r>
      <w:r w:rsidR="008E11E1">
        <w:t>electricity infrastructure</w:t>
      </w:r>
      <w:r w:rsidR="005A1750">
        <w:t>. There are</w:t>
      </w:r>
      <w:r w:rsidR="005E41B5">
        <w:t xml:space="preserve"> regulatory regimes currently in place that allow management of large scale offshore energy infrastructure, chiefly the </w:t>
      </w:r>
      <w:r w:rsidR="00E73FCC" w:rsidRPr="00985B67">
        <w:rPr>
          <w:rFonts w:cs="Arial"/>
          <w:i/>
        </w:rPr>
        <w:t>Offshore Petroleum and Greenhouse Gas Storage Act 2006</w:t>
      </w:r>
      <w:r w:rsidR="006862F4">
        <w:t>,</w:t>
      </w:r>
      <w:r w:rsidR="00151625">
        <w:t xml:space="preserve"> which provide a </w:t>
      </w:r>
      <w:r w:rsidR="00950C67">
        <w:t>valuable</w:t>
      </w:r>
      <w:r w:rsidR="00151625">
        <w:t xml:space="preserve"> model to draw on</w:t>
      </w:r>
      <w:r w:rsidR="005A1750">
        <w:t xml:space="preserve"> for</w:t>
      </w:r>
      <w:r w:rsidR="00151625">
        <w:t xml:space="preserve"> the development of a new regime</w:t>
      </w:r>
      <w:r w:rsidR="00950C67">
        <w:t xml:space="preserve">. </w:t>
      </w:r>
      <w:r w:rsidR="00A43C79">
        <w:t>O</w:t>
      </w:r>
      <w:r w:rsidR="00950C67">
        <w:t xml:space="preserve">ther international offshore </w:t>
      </w:r>
      <w:r w:rsidR="002F01A3">
        <w:t xml:space="preserve">electricity </w:t>
      </w:r>
      <w:r w:rsidR="00950C67">
        <w:t>regimes are also useful models in designing element</w:t>
      </w:r>
      <w:r w:rsidR="005A1750">
        <w:t>s</w:t>
      </w:r>
      <w:r w:rsidR="00950C67">
        <w:t xml:space="preserve"> of Australia’s approach, </w:t>
      </w:r>
      <w:r w:rsidR="00A43C79">
        <w:t xml:space="preserve">although </w:t>
      </w:r>
      <w:r w:rsidR="00950C67">
        <w:t>many aspects are not directly comparable (for example, environmental provisions).</w:t>
      </w:r>
    </w:p>
    <w:p w:rsidR="005952B5" w:rsidRPr="002D5AC3" w:rsidRDefault="005952B5" w:rsidP="002D5AC3">
      <w:pPr>
        <w:pStyle w:val="Bulletlist"/>
        <w:spacing w:line="276" w:lineRule="auto"/>
        <w:ind w:left="714" w:hanging="357"/>
        <w:rPr>
          <w:rFonts w:cs="Arial"/>
        </w:rPr>
      </w:pPr>
      <w:r w:rsidRPr="002D5AC3">
        <w:rPr>
          <w:i/>
        </w:rPr>
        <w:t>Timeframes for analysis</w:t>
      </w:r>
      <w:r w:rsidR="005A1750">
        <w:t xml:space="preserve"> - </w:t>
      </w:r>
      <w:r w:rsidR="00A43C79" w:rsidRPr="00B40D58">
        <w:rPr>
          <w:rFonts w:cs="Arial"/>
        </w:rPr>
        <w:t>T</w:t>
      </w:r>
      <w:r w:rsidR="00D87E28" w:rsidRPr="00D679E4">
        <w:rPr>
          <w:rFonts w:cs="Arial"/>
        </w:rPr>
        <w:t>h</w:t>
      </w:r>
      <w:r w:rsidR="00573863">
        <w:rPr>
          <w:rFonts w:cs="Arial"/>
        </w:rPr>
        <w:t xml:space="preserve">e </w:t>
      </w:r>
      <w:r w:rsidR="00D87E28" w:rsidRPr="00B40D58">
        <w:rPr>
          <w:rFonts w:cs="Arial"/>
        </w:rPr>
        <w:t xml:space="preserve">analysis </w:t>
      </w:r>
      <w:r w:rsidR="00573863">
        <w:rPr>
          <w:rFonts w:cs="Arial"/>
        </w:rPr>
        <w:t xml:space="preserve">for this Regulatory Impact Statement </w:t>
      </w:r>
      <w:r w:rsidR="00D87E28" w:rsidRPr="00B40D58">
        <w:rPr>
          <w:rFonts w:cs="Arial"/>
        </w:rPr>
        <w:t xml:space="preserve">takes place over the period 2020-2030. </w:t>
      </w:r>
      <w:r w:rsidR="00B64F6B" w:rsidRPr="00831F9B">
        <w:rPr>
          <w:rFonts w:cs="Arial"/>
        </w:rPr>
        <w:t>Applying</w:t>
      </w:r>
      <w:r w:rsidR="00B64F6B" w:rsidRPr="002D5AC3">
        <w:rPr>
          <w:rFonts w:cs="Arial"/>
        </w:rPr>
        <w:t xml:space="preserve"> a shorter</w:t>
      </w:r>
      <w:r w:rsidR="0025294C" w:rsidRPr="002D5AC3">
        <w:rPr>
          <w:rFonts w:cs="Arial"/>
        </w:rPr>
        <w:t xml:space="preserve"> period may not give due consideration to the full potential of the sector</w:t>
      </w:r>
      <w:r w:rsidR="00A43C79" w:rsidRPr="002D5AC3">
        <w:rPr>
          <w:rFonts w:cs="Arial"/>
        </w:rPr>
        <w:t xml:space="preserve">, especially considering </w:t>
      </w:r>
      <w:r w:rsidR="00D87E28" w:rsidRPr="002D5AC3">
        <w:rPr>
          <w:rFonts w:cs="Arial"/>
        </w:rPr>
        <w:t xml:space="preserve">the </w:t>
      </w:r>
      <w:r w:rsidR="001C3117" w:rsidRPr="002D5AC3">
        <w:rPr>
          <w:rFonts w:cs="Arial"/>
        </w:rPr>
        <w:t>significant</w:t>
      </w:r>
      <w:r w:rsidR="00D87E28" w:rsidRPr="002D5AC3">
        <w:rPr>
          <w:rFonts w:cs="Arial"/>
        </w:rPr>
        <w:t xml:space="preserve"> growth </w:t>
      </w:r>
      <w:r w:rsidR="001C3117" w:rsidRPr="002D5AC3">
        <w:rPr>
          <w:rFonts w:cs="Arial"/>
        </w:rPr>
        <w:t>forecast by the IEA</w:t>
      </w:r>
      <w:r w:rsidR="00D87E28" w:rsidRPr="002D5AC3">
        <w:rPr>
          <w:rFonts w:cs="Arial"/>
        </w:rPr>
        <w:t xml:space="preserve"> for </w:t>
      </w:r>
      <w:r w:rsidR="00A43C79" w:rsidRPr="002D5AC3">
        <w:rPr>
          <w:rFonts w:cs="Arial"/>
        </w:rPr>
        <w:t xml:space="preserve">global </w:t>
      </w:r>
      <w:r w:rsidR="00D87E28" w:rsidRPr="002D5AC3">
        <w:rPr>
          <w:rFonts w:cs="Arial"/>
        </w:rPr>
        <w:t>offshore wind markets out to 2040</w:t>
      </w:r>
      <w:r w:rsidR="00361E62" w:rsidRPr="002D5AC3">
        <w:rPr>
          <w:rFonts w:cs="Arial"/>
        </w:rPr>
        <w:t>.</w:t>
      </w:r>
      <w:r w:rsidR="00D87E28" w:rsidRPr="002D5AC3">
        <w:rPr>
          <w:rFonts w:cs="Arial"/>
        </w:rPr>
        <w:t xml:space="preserve"> </w:t>
      </w:r>
    </w:p>
    <w:p w:rsidR="005952B5" w:rsidRPr="002D5AC3" w:rsidRDefault="005952B5" w:rsidP="002D5AC3">
      <w:pPr>
        <w:pStyle w:val="Bulletlist"/>
        <w:spacing w:line="276" w:lineRule="auto"/>
        <w:ind w:left="714" w:hanging="357"/>
        <w:rPr>
          <w:rFonts w:cs="Arial"/>
        </w:rPr>
      </w:pPr>
      <w:r w:rsidRPr="002D5AC3">
        <w:rPr>
          <w:i/>
        </w:rPr>
        <w:t>Future growth</w:t>
      </w:r>
      <w:r w:rsidR="005A1750">
        <w:t xml:space="preserve"> - </w:t>
      </w:r>
      <w:r w:rsidRPr="00B40D58">
        <w:rPr>
          <w:rFonts w:cs="Arial"/>
        </w:rPr>
        <w:t xml:space="preserve">As </w:t>
      </w:r>
      <w:r w:rsidRPr="00D679E4">
        <w:rPr>
          <w:rFonts w:cs="Arial"/>
        </w:rPr>
        <w:t>the size</w:t>
      </w:r>
      <w:r w:rsidR="00361E62" w:rsidRPr="00831F9B">
        <w:rPr>
          <w:rFonts w:cs="Arial"/>
        </w:rPr>
        <w:t xml:space="preserve"> of</w:t>
      </w:r>
      <w:r w:rsidRPr="002D5AC3">
        <w:rPr>
          <w:rFonts w:cs="Arial"/>
        </w:rPr>
        <w:t xml:space="preserve"> the sector in the short-term is difficult to determine, the timing of its potential growth </w:t>
      </w:r>
      <w:r w:rsidR="00A43C79" w:rsidRPr="002D5AC3">
        <w:rPr>
          <w:rFonts w:cs="Arial"/>
        </w:rPr>
        <w:t xml:space="preserve">and associated </w:t>
      </w:r>
      <w:r w:rsidRPr="002D5AC3">
        <w:rPr>
          <w:rFonts w:cs="Arial"/>
        </w:rPr>
        <w:t xml:space="preserve">social and economic benefits are difficult to consider. International growth models for the sector do not necessarily reflect growth in the Australian market. </w:t>
      </w:r>
    </w:p>
    <w:p w:rsidR="005952B5" w:rsidRPr="002D5AC3" w:rsidRDefault="005952B5" w:rsidP="002D5AC3">
      <w:pPr>
        <w:pStyle w:val="Bulletlist"/>
        <w:spacing w:line="276" w:lineRule="auto"/>
        <w:ind w:left="714" w:hanging="357"/>
        <w:rPr>
          <w:rFonts w:cs="Arial"/>
        </w:rPr>
      </w:pPr>
      <w:r w:rsidRPr="002D5AC3">
        <w:rPr>
          <w:i/>
        </w:rPr>
        <w:t>Flexible regulatory environment</w:t>
      </w:r>
      <w:r w:rsidR="005A1750">
        <w:t xml:space="preserve"> - </w:t>
      </w:r>
      <w:r w:rsidRPr="00B40D58">
        <w:rPr>
          <w:rFonts w:cs="Arial"/>
        </w:rPr>
        <w:t>The regulatory approach for th</w:t>
      </w:r>
      <w:r w:rsidR="00573863">
        <w:rPr>
          <w:rFonts w:cs="Arial"/>
        </w:rPr>
        <w:t>is</w:t>
      </w:r>
      <w:r w:rsidRPr="00B40D58">
        <w:rPr>
          <w:rFonts w:cs="Arial"/>
        </w:rPr>
        <w:t xml:space="preserve"> emerging </w:t>
      </w:r>
      <w:r w:rsidRPr="00D679E4">
        <w:rPr>
          <w:rFonts w:cs="Arial"/>
        </w:rPr>
        <w:t>sector will inevitably adapt and</w:t>
      </w:r>
      <w:r w:rsidR="0084529F" w:rsidRPr="00831F9B">
        <w:rPr>
          <w:rFonts w:cs="Arial"/>
        </w:rPr>
        <w:t xml:space="preserve"> evolve as </w:t>
      </w:r>
      <w:r w:rsidR="00E6604E" w:rsidRPr="002D5AC3">
        <w:rPr>
          <w:rFonts w:cs="Arial"/>
        </w:rPr>
        <w:t>the regulatory environment matures</w:t>
      </w:r>
      <w:r w:rsidR="00971737" w:rsidRPr="002D5AC3">
        <w:rPr>
          <w:rFonts w:cs="Arial"/>
        </w:rPr>
        <w:t xml:space="preserve"> and technology evolves</w:t>
      </w:r>
      <w:r w:rsidR="00E6604E" w:rsidRPr="002D5AC3">
        <w:rPr>
          <w:rFonts w:cs="Arial"/>
        </w:rPr>
        <w:t xml:space="preserve">. </w:t>
      </w:r>
    </w:p>
    <w:p w:rsidR="00810822" w:rsidRDefault="005952B5" w:rsidP="002D5AC3">
      <w:pPr>
        <w:pStyle w:val="Bulletlist"/>
        <w:spacing w:line="276" w:lineRule="auto"/>
        <w:ind w:left="714" w:hanging="357"/>
        <w:rPr>
          <w:rFonts w:cs="Arial"/>
        </w:rPr>
      </w:pPr>
      <w:r w:rsidRPr="002D5AC3">
        <w:rPr>
          <w:i/>
        </w:rPr>
        <w:t>Future technologies</w:t>
      </w:r>
      <w:r w:rsidR="00573863">
        <w:t xml:space="preserve"> - </w:t>
      </w:r>
      <w:r w:rsidR="00573863">
        <w:rPr>
          <w:rFonts w:cs="Arial"/>
        </w:rPr>
        <w:t>I</w:t>
      </w:r>
      <w:r w:rsidRPr="00B40D58">
        <w:rPr>
          <w:rFonts w:cs="Arial"/>
        </w:rPr>
        <w:t xml:space="preserve">n the longer term, the deployment of future technologies, </w:t>
      </w:r>
      <w:r w:rsidR="00972B74">
        <w:rPr>
          <w:rFonts w:cs="Arial"/>
        </w:rPr>
        <w:t>including</w:t>
      </w:r>
      <w:r w:rsidR="00972B74" w:rsidRPr="00B40D58">
        <w:rPr>
          <w:rFonts w:cs="Arial"/>
        </w:rPr>
        <w:t xml:space="preserve"> </w:t>
      </w:r>
      <w:r w:rsidRPr="00B40D58">
        <w:rPr>
          <w:rFonts w:cs="Arial"/>
        </w:rPr>
        <w:t>floating offshore wind farms, will affect the capaci</w:t>
      </w:r>
      <w:r w:rsidRPr="00D679E4">
        <w:rPr>
          <w:rFonts w:cs="Arial"/>
        </w:rPr>
        <w:t xml:space="preserve">ty of the Australian market </w:t>
      </w:r>
      <w:r w:rsidR="00B64F6B" w:rsidRPr="002D5AC3">
        <w:rPr>
          <w:rFonts w:cs="Arial"/>
        </w:rPr>
        <w:t xml:space="preserve">by </w:t>
      </w:r>
      <w:r w:rsidRPr="002D5AC3">
        <w:rPr>
          <w:rFonts w:cs="Arial"/>
        </w:rPr>
        <w:t>allow</w:t>
      </w:r>
      <w:r w:rsidR="004229FE" w:rsidRPr="002D5AC3">
        <w:rPr>
          <w:rFonts w:cs="Arial"/>
        </w:rPr>
        <w:t>ing</w:t>
      </w:r>
      <w:r w:rsidRPr="002D5AC3">
        <w:rPr>
          <w:rFonts w:cs="Arial"/>
        </w:rPr>
        <w:t xml:space="preserve"> exploitation of deeper water with </w:t>
      </w:r>
      <w:r w:rsidR="00B64F6B" w:rsidRPr="002D5AC3">
        <w:rPr>
          <w:rFonts w:cs="Arial"/>
        </w:rPr>
        <w:t xml:space="preserve">different </w:t>
      </w:r>
      <w:r w:rsidRPr="002D5AC3">
        <w:rPr>
          <w:rFonts w:cs="Arial"/>
        </w:rPr>
        <w:t xml:space="preserve">wind conditions. </w:t>
      </w:r>
      <w:r w:rsidR="00573863">
        <w:rPr>
          <w:rFonts w:cs="Arial"/>
        </w:rPr>
        <w:t>These c</w:t>
      </w:r>
      <w:r w:rsidRPr="00B40D58">
        <w:rPr>
          <w:rFonts w:cs="Arial"/>
        </w:rPr>
        <w:t>onsideration</w:t>
      </w:r>
      <w:r w:rsidR="00573863">
        <w:rPr>
          <w:rFonts w:cs="Arial"/>
        </w:rPr>
        <w:t>s</w:t>
      </w:r>
      <w:r w:rsidRPr="00B40D58">
        <w:rPr>
          <w:rFonts w:cs="Arial"/>
        </w:rPr>
        <w:t xml:space="preserve"> make forecasting </w:t>
      </w:r>
      <w:r w:rsidR="007255C4" w:rsidRPr="00F40844">
        <w:rPr>
          <w:rFonts w:cs="Arial"/>
        </w:rPr>
        <w:t xml:space="preserve">beyond 2030 </w:t>
      </w:r>
      <w:r w:rsidRPr="00B40D58">
        <w:rPr>
          <w:rFonts w:cs="Arial"/>
        </w:rPr>
        <w:t>challenging</w:t>
      </w:r>
      <w:r w:rsidR="007255C4">
        <w:rPr>
          <w:rFonts w:cs="Arial"/>
        </w:rPr>
        <w:t>, and while</w:t>
      </w:r>
      <w:r w:rsidRPr="002D5AC3">
        <w:rPr>
          <w:rFonts w:cs="Arial"/>
        </w:rPr>
        <w:t xml:space="preserve"> the </w:t>
      </w:r>
      <w:r w:rsidR="0059756C" w:rsidRPr="002D5AC3">
        <w:rPr>
          <w:rFonts w:cs="Arial"/>
        </w:rPr>
        <w:t xml:space="preserve">floating offshore wind </w:t>
      </w:r>
      <w:r w:rsidRPr="002D5AC3">
        <w:rPr>
          <w:rFonts w:cs="Arial"/>
        </w:rPr>
        <w:t>sector may be commercially prospective, this is beyond the timeframe</w:t>
      </w:r>
      <w:r w:rsidR="0059756C" w:rsidRPr="002D5AC3">
        <w:rPr>
          <w:rFonts w:cs="Arial"/>
        </w:rPr>
        <w:t xml:space="preserve"> chosen for this assessment.</w:t>
      </w:r>
    </w:p>
    <w:p w:rsidR="007255C4" w:rsidRPr="00B40D58" w:rsidRDefault="007255C4" w:rsidP="002D5AC3">
      <w:pPr>
        <w:pStyle w:val="Bulletlist"/>
        <w:numPr>
          <w:ilvl w:val="0"/>
          <w:numId w:val="0"/>
        </w:numPr>
        <w:spacing w:line="276" w:lineRule="auto"/>
        <w:ind w:left="357"/>
        <w:rPr>
          <w:rFonts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Objective of </w:t>
      </w:r>
      <w:r w:rsidR="00681E4B">
        <w:rPr>
          <w:rFonts w:ascii="Arial" w:hAnsi="Arial" w:cs="Arial"/>
        </w:rPr>
        <w:t>g</w:t>
      </w:r>
      <w:r w:rsidRPr="00275017">
        <w:rPr>
          <w:rFonts w:ascii="Arial" w:hAnsi="Arial" w:cs="Arial"/>
        </w:rPr>
        <w:t xml:space="preserve">overnment action </w:t>
      </w:r>
    </w:p>
    <w:p w:rsidR="00810822" w:rsidRPr="00275017" w:rsidRDefault="00810822" w:rsidP="0057257B">
      <w:pPr>
        <w:spacing w:line="276" w:lineRule="auto"/>
        <w:rPr>
          <w:rFonts w:ascii="Arial" w:hAnsi="Arial" w:cs="Arial"/>
        </w:rPr>
      </w:pPr>
      <w:r w:rsidRPr="00275017">
        <w:rPr>
          <w:rFonts w:ascii="Arial" w:hAnsi="Arial" w:cs="Arial"/>
        </w:rPr>
        <w:t xml:space="preserve">The objective of </w:t>
      </w:r>
      <w:r w:rsidR="00C45285">
        <w:rPr>
          <w:rFonts w:ascii="Arial" w:hAnsi="Arial" w:cs="Arial"/>
        </w:rPr>
        <w:t xml:space="preserve">the </w:t>
      </w:r>
      <w:r w:rsidR="00681E4B">
        <w:rPr>
          <w:rFonts w:ascii="Arial" w:hAnsi="Arial" w:cs="Arial"/>
        </w:rPr>
        <w:t>g</w:t>
      </w:r>
      <w:r w:rsidRPr="00275017">
        <w:rPr>
          <w:rFonts w:ascii="Arial" w:hAnsi="Arial" w:cs="Arial"/>
        </w:rPr>
        <w:t xml:space="preserve">overnment action is to </w:t>
      </w:r>
      <w:r w:rsidR="00D92964">
        <w:rPr>
          <w:rFonts w:ascii="Arial" w:hAnsi="Arial" w:cs="Arial"/>
        </w:rPr>
        <w:t>enable</w:t>
      </w:r>
      <w:r w:rsidRPr="00275017">
        <w:rPr>
          <w:rFonts w:ascii="Arial" w:hAnsi="Arial" w:cs="Arial"/>
        </w:rPr>
        <w:t xml:space="preserve"> the development of an offshore </w:t>
      </w:r>
      <w:r w:rsidR="008E11E1">
        <w:rPr>
          <w:rFonts w:ascii="Arial" w:hAnsi="Arial" w:cs="Arial"/>
        </w:rPr>
        <w:t>electricity</w:t>
      </w:r>
      <w:r w:rsidRPr="00275017">
        <w:rPr>
          <w:rFonts w:ascii="Arial" w:hAnsi="Arial" w:cs="Arial"/>
        </w:rPr>
        <w:t xml:space="preserve"> industry in Australia that </w:t>
      </w:r>
      <w:r w:rsidR="0066069C">
        <w:rPr>
          <w:rFonts w:ascii="Arial" w:hAnsi="Arial" w:cs="Arial"/>
        </w:rPr>
        <w:t>would</w:t>
      </w:r>
      <w:r w:rsidRPr="00275017">
        <w:rPr>
          <w:rFonts w:ascii="Arial" w:hAnsi="Arial" w:cs="Arial"/>
        </w:rPr>
        <w:t xml:space="preserve">: </w:t>
      </w:r>
    </w:p>
    <w:p w:rsidR="00810822" w:rsidRPr="00B40D58" w:rsidRDefault="00810822" w:rsidP="002D5AC3">
      <w:pPr>
        <w:pStyle w:val="Bulletlist"/>
        <w:spacing w:line="276" w:lineRule="auto"/>
        <w:ind w:left="714" w:hanging="357"/>
      </w:pPr>
      <w:r w:rsidRPr="00B40D58">
        <w:t>help facilitate investment and employment opportunities;</w:t>
      </w:r>
    </w:p>
    <w:p w:rsidR="00810822" w:rsidRPr="00D679E4" w:rsidRDefault="00810822" w:rsidP="002D5AC3">
      <w:pPr>
        <w:pStyle w:val="Bulletlist"/>
        <w:spacing w:line="276" w:lineRule="auto"/>
        <w:ind w:left="714" w:hanging="357"/>
      </w:pPr>
      <w:r w:rsidRPr="00D679E4">
        <w:t>provide cost competitive energy options; and</w:t>
      </w:r>
    </w:p>
    <w:p w:rsidR="00810822" w:rsidRPr="00831F9B" w:rsidRDefault="00810822" w:rsidP="002D5AC3">
      <w:pPr>
        <w:pStyle w:val="Bulletlist"/>
        <w:spacing w:line="276" w:lineRule="auto"/>
        <w:ind w:left="714" w:hanging="357"/>
      </w:pPr>
      <w:r w:rsidRPr="00831F9B">
        <w:t>make use of economic resources, including the marine environment.</w:t>
      </w:r>
    </w:p>
    <w:p w:rsidR="00810822" w:rsidRDefault="00810822" w:rsidP="0057257B">
      <w:pPr>
        <w:spacing w:line="276" w:lineRule="auto"/>
        <w:rPr>
          <w:rFonts w:ascii="Arial" w:hAnsi="Arial" w:cs="Arial"/>
        </w:rPr>
      </w:pPr>
      <w:r w:rsidRPr="00275017">
        <w:rPr>
          <w:rFonts w:ascii="Arial" w:hAnsi="Arial" w:cs="Arial"/>
        </w:rPr>
        <w:t xml:space="preserve">The establishment of a regulatory model would provide certainty and reduce the investment risk for large scale offshore </w:t>
      </w:r>
      <w:r w:rsidR="00C06800">
        <w:rPr>
          <w:rFonts w:ascii="Arial" w:hAnsi="Arial" w:cs="Arial"/>
        </w:rPr>
        <w:t>electricity infrastructure</w:t>
      </w:r>
      <w:r w:rsidR="00C06800" w:rsidRPr="00275017">
        <w:rPr>
          <w:rFonts w:ascii="Arial" w:hAnsi="Arial" w:cs="Arial"/>
        </w:rPr>
        <w:t xml:space="preserve"> </w:t>
      </w:r>
      <w:r w:rsidRPr="00275017">
        <w:rPr>
          <w:rFonts w:ascii="Arial" w:hAnsi="Arial" w:cs="Arial"/>
        </w:rPr>
        <w:t>projects, making Australia a more attractive investment destination.</w:t>
      </w:r>
    </w:p>
    <w:p w:rsidR="007255C4" w:rsidRPr="00275017" w:rsidRDefault="007255C4" w:rsidP="0057257B">
      <w:pPr>
        <w:spacing w:line="276" w:lineRule="auto"/>
        <w:rPr>
          <w:rFonts w:ascii="Arial" w:hAnsi="Arial" w:cs="Arial"/>
        </w:rPr>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Principles guiding development of this regulatory framework</w:t>
      </w:r>
    </w:p>
    <w:p w:rsidR="00810822" w:rsidRPr="00275017" w:rsidRDefault="00810822" w:rsidP="0057257B">
      <w:pPr>
        <w:spacing w:line="276" w:lineRule="auto"/>
        <w:rPr>
          <w:rFonts w:ascii="Arial" w:hAnsi="Arial" w:cs="Arial"/>
        </w:rPr>
      </w:pPr>
      <w:r w:rsidRPr="00275017">
        <w:rPr>
          <w:rFonts w:ascii="Arial" w:hAnsi="Arial" w:cs="Arial"/>
        </w:rPr>
        <w:t xml:space="preserve">In keeping with existing government regulations and policy, any regulatory framework </w:t>
      </w:r>
      <w:r w:rsidR="0066069C">
        <w:rPr>
          <w:rFonts w:ascii="Arial" w:hAnsi="Arial" w:cs="Arial"/>
        </w:rPr>
        <w:t>should</w:t>
      </w:r>
      <w:r w:rsidR="0066069C" w:rsidRPr="00275017">
        <w:rPr>
          <w:rFonts w:ascii="Arial" w:hAnsi="Arial" w:cs="Arial"/>
        </w:rPr>
        <w:t xml:space="preserve"> </w:t>
      </w:r>
      <w:r w:rsidRPr="00275017">
        <w:rPr>
          <w:rFonts w:ascii="Arial" w:hAnsi="Arial" w:cs="Arial"/>
        </w:rPr>
        <w:t>aim to:</w:t>
      </w:r>
    </w:p>
    <w:p w:rsidR="00C45285" w:rsidRPr="002D5AC3" w:rsidRDefault="00810822" w:rsidP="002D5AC3">
      <w:pPr>
        <w:pStyle w:val="Bulletlist"/>
        <w:spacing w:line="276" w:lineRule="auto"/>
        <w:ind w:left="714" w:hanging="357"/>
      </w:pPr>
      <w:r w:rsidRPr="00B40D58">
        <w:t>Be technology neutral, allowing</w:t>
      </w:r>
      <w:r w:rsidR="0065734F" w:rsidRPr="00D679E4">
        <w:t xml:space="preserve"> for</w:t>
      </w:r>
      <w:r w:rsidRPr="00831F9B">
        <w:t xml:space="preserve"> research and demonstration projects</w:t>
      </w:r>
      <w:r w:rsidR="00A6049E">
        <w:t>, and</w:t>
      </w:r>
      <w:r w:rsidRPr="00831F9B">
        <w:t xml:space="preserve"> commercial projects for wind and other offshore </w:t>
      </w:r>
      <w:r w:rsidR="008E11E1">
        <w:t>electricity generation technologies</w:t>
      </w:r>
      <w:r w:rsidRPr="002D5AC3">
        <w:t xml:space="preserve">.  </w:t>
      </w:r>
    </w:p>
    <w:p w:rsidR="00810822" w:rsidRPr="002D5AC3" w:rsidRDefault="00E66DF0" w:rsidP="002D5AC3">
      <w:pPr>
        <w:pStyle w:val="Bulletlist"/>
        <w:spacing w:line="276" w:lineRule="auto"/>
        <w:ind w:left="714" w:hanging="357"/>
      </w:pPr>
      <w:r>
        <w:t>Take a risk-based approach to r</w:t>
      </w:r>
      <w:r w:rsidR="00810822" w:rsidRPr="00B40D58">
        <w:t>egulation of activities</w:t>
      </w:r>
      <w:r w:rsidR="00810822" w:rsidRPr="00831F9B">
        <w:t>, focussing on higher risk aspects of the industry with</w:t>
      </w:r>
      <w:r w:rsidR="00A6049E">
        <w:t>out</w:t>
      </w:r>
      <w:r w:rsidR="00810822" w:rsidRPr="00831F9B">
        <w:t xml:space="preserve"> un</w:t>
      </w:r>
      <w:r w:rsidR="00810822" w:rsidRPr="002D5AC3">
        <w:t>necessary regulation for low risk activities that have minimal impact on other users or the environment. This will ke</w:t>
      </w:r>
      <w:r w:rsidR="009C683A" w:rsidRPr="002D5AC3">
        <w:t>ep</w:t>
      </w:r>
      <w:r w:rsidR="00810822" w:rsidRPr="002D5AC3">
        <w:t xml:space="preserve"> implementation costs to a minimum. </w:t>
      </w:r>
    </w:p>
    <w:p w:rsidR="00810822" w:rsidRPr="002D5AC3" w:rsidRDefault="00810822" w:rsidP="002D5AC3">
      <w:pPr>
        <w:pStyle w:val="Bulletlist"/>
        <w:spacing w:line="276" w:lineRule="auto"/>
        <w:ind w:left="714" w:hanging="357"/>
      </w:pPr>
      <w:r w:rsidRPr="002D5AC3">
        <w:t xml:space="preserve">Uphold the existing principle of shared use of Commonwealth waters, and </w:t>
      </w:r>
      <w:r w:rsidR="001341F9">
        <w:t>advance</w:t>
      </w:r>
      <w:r w:rsidR="001341F9" w:rsidRPr="002D5AC3">
        <w:t xml:space="preserve"> </w:t>
      </w:r>
      <w:r w:rsidRPr="002D5AC3">
        <w:t>coexistence with other users, including safety of navigation</w:t>
      </w:r>
      <w:r w:rsidR="00495626">
        <w:t xml:space="preserve"> and the fish</w:t>
      </w:r>
      <w:r w:rsidR="00363930">
        <w:t>eries.</w:t>
      </w:r>
    </w:p>
    <w:p w:rsidR="00810822" w:rsidRPr="00B40D58" w:rsidRDefault="00810822" w:rsidP="002D5AC3">
      <w:pPr>
        <w:pStyle w:val="Bulletlist"/>
        <w:spacing w:line="276" w:lineRule="auto"/>
        <w:ind w:left="714" w:hanging="357"/>
      </w:pPr>
      <w:r w:rsidRPr="002D5AC3">
        <w:t xml:space="preserve">Ensure that all environmental impacts and risks are appropriately assessed and managed and that the requirements of the </w:t>
      </w:r>
      <w:r w:rsidRPr="002D5AC3">
        <w:rPr>
          <w:i/>
        </w:rPr>
        <w:t>Environment Protection and Biodiversity Conservation Act 1999</w:t>
      </w:r>
      <w:r w:rsidRPr="002D5AC3">
        <w:t xml:space="preserve"> </w:t>
      </w:r>
      <w:r w:rsidRPr="00B40D58">
        <w:t>are met.</w:t>
      </w:r>
    </w:p>
    <w:p w:rsidR="00810822" w:rsidRPr="00831F9B" w:rsidRDefault="00810822" w:rsidP="002D5AC3">
      <w:pPr>
        <w:pStyle w:val="Bulletlist"/>
        <w:spacing w:line="276" w:lineRule="auto"/>
        <w:ind w:left="714" w:hanging="357"/>
      </w:pPr>
      <w:r w:rsidRPr="00D679E4">
        <w:t>Ensure the protection o</w:t>
      </w:r>
      <w:r w:rsidRPr="00831F9B">
        <w:t>f the offshore workforce and other users in Commonwealth waters, requiring specific consideration and management of safety risks in accordance with international leading practice.</w:t>
      </w:r>
    </w:p>
    <w:p w:rsidR="00810822" w:rsidRDefault="00810822" w:rsidP="0057257B">
      <w:pPr>
        <w:spacing w:line="276" w:lineRule="auto"/>
        <w:rPr>
          <w:rFonts w:ascii="Arial" w:hAnsi="Arial" w:cs="Arial"/>
        </w:rPr>
      </w:pPr>
      <w:r w:rsidRPr="00275017">
        <w:rPr>
          <w:rFonts w:ascii="Arial" w:hAnsi="Arial" w:cs="Arial"/>
        </w:rPr>
        <w:t xml:space="preserve">The proposed policy framework </w:t>
      </w:r>
      <w:r w:rsidR="0066069C">
        <w:rPr>
          <w:rFonts w:ascii="Arial" w:hAnsi="Arial" w:cs="Arial"/>
        </w:rPr>
        <w:t>would</w:t>
      </w:r>
      <w:r w:rsidR="0066069C" w:rsidRPr="00275017">
        <w:rPr>
          <w:rFonts w:ascii="Arial" w:hAnsi="Arial" w:cs="Arial"/>
        </w:rPr>
        <w:t xml:space="preserve"> </w:t>
      </w:r>
      <w:r w:rsidRPr="00275017">
        <w:rPr>
          <w:rFonts w:ascii="Arial" w:hAnsi="Arial" w:cs="Arial"/>
        </w:rPr>
        <w:t>require licences to be awarded on a competitive basis, and costs incurred by the Australian Government recovered through appropriate fees and levies.</w:t>
      </w:r>
    </w:p>
    <w:p w:rsidR="002A440E" w:rsidRPr="00275017" w:rsidRDefault="002A440E" w:rsidP="002A440E">
      <w:pPr>
        <w:spacing w:line="276" w:lineRule="auto"/>
        <w:rPr>
          <w:rFonts w:ascii="Arial" w:hAnsi="Arial" w:cs="Arial"/>
        </w:rPr>
      </w:pPr>
      <w:r w:rsidRPr="00275017">
        <w:rPr>
          <w:rFonts w:ascii="Arial" w:hAnsi="Arial" w:cs="Arial"/>
        </w:rPr>
        <w:t>Any framework should also:</w:t>
      </w:r>
    </w:p>
    <w:p w:rsidR="002A440E" w:rsidRPr="00D679E4" w:rsidRDefault="002A440E" w:rsidP="002D5AC3">
      <w:pPr>
        <w:pStyle w:val="Bulletlist"/>
        <w:spacing w:line="276" w:lineRule="auto"/>
        <w:ind w:left="714" w:hanging="357"/>
      </w:pPr>
      <w:r w:rsidRPr="00B40D58">
        <w:t xml:space="preserve">be developed swiftly by government to provide appropriate investment signals to the evolving sector, </w:t>
      </w:r>
    </w:p>
    <w:p w:rsidR="002A440E" w:rsidRPr="00831F9B" w:rsidRDefault="002A440E" w:rsidP="002D5AC3">
      <w:pPr>
        <w:pStyle w:val="Bulletlist"/>
        <w:spacing w:line="276" w:lineRule="auto"/>
        <w:ind w:left="714" w:hanging="357"/>
      </w:pPr>
      <w:r w:rsidRPr="00831F9B">
        <w:t xml:space="preserve">be developed </w:t>
      </w:r>
      <w:r w:rsidRPr="002D5AC3">
        <w:t>in conjunction with stakeholders to ensure framework is fit for purpose</w:t>
      </w:r>
      <w:r w:rsidR="00E66DF0">
        <w:t>,</w:t>
      </w:r>
      <w:r w:rsidRPr="00B40D58">
        <w:t xml:space="preserve"> </w:t>
      </w:r>
      <w:r w:rsidRPr="00D679E4">
        <w:t xml:space="preserve">and </w:t>
      </w:r>
    </w:p>
    <w:p w:rsidR="002A440E" w:rsidRDefault="002A440E" w:rsidP="002D5AC3">
      <w:pPr>
        <w:pStyle w:val="Bulletlist"/>
        <w:spacing w:line="276" w:lineRule="auto"/>
        <w:ind w:left="714" w:hanging="357"/>
      </w:pPr>
      <w:r w:rsidRPr="002D5AC3">
        <w:t xml:space="preserve">ensure long term flexibility </w:t>
      </w:r>
      <w:r w:rsidR="00E66DF0">
        <w:t>to accommodate</w:t>
      </w:r>
      <w:r w:rsidR="00E66DF0" w:rsidRPr="00B40D58">
        <w:t xml:space="preserve"> </w:t>
      </w:r>
      <w:r w:rsidRPr="00B40D58">
        <w:t xml:space="preserve">rapidly evolving technologies and the need to work within a maturing local market.  </w:t>
      </w:r>
    </w:p>
    <w:p w:rsidR="00E66DF0" w:rsidRPr="00B40D58" w:rsidRDefault="00E66DF0" w:rsidP="002D5AC3">
      <w:pPr>
        <w:pStyle w:val="Bulletlist"/>
        <w:numPr>
          <w:ilvl w:val="0"/>
          <w:numId w:val="0"/>
        </w:numPr>
        <w:spacing w:line="276" w:lineRule="auto"/>
        <w:ind w:left="357"/>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Stakeholder interests</w:t>
      </w:r>
    </w:p>
    <w:p w:rsidR="00810822" w:rsidRPr="00275017" w:rsidRDefault="00810822" w:rsidP="0057257B">
      <w:pPr>
        <w:spacing w:line="276" w:lineRule="auto"/>
        <w:rPr>
          <w:rFonts w:ascii="Arial" w:hAnsi="Arial" w:cs="Arial"/>
        </w:rPr>
      </w:pPr>
      <w:r w:rsidRPr="00275017">
        <w:rPr>
          <w:rFonts w:ascii="Arial" w:hAnsi="Arial" w:cs="Arial"/>
        </w:rPr>
        <w:t xml:space="preserve">Offshore </w:t>
      </w:r>
      <w:r w:rsidR="002A3B6B">
        <w:rPr>
          <w:rFonts w:ascii="Arial" w:hAnsi="Arial" w:cs="Arial"/>
        </w:rPr>
        <w:t>electricity</w:t>
      </w:r>
      <w:r w:rsidRPr="00275017">
        <w:rPr>
          <w:rFonts w:ascii="Arial" w:hAnsi="Arial" w:cs="Arial"/>
        </w:rPr>
        <w:t xml:space="preserve"> stakeholders have a range of differing needs to be considered </w:t>
      </w:r>
      <w:r w:rsidR="009C683A" w:rsidRPr="00275017">
        <w:rPr>
          <w:rFonts w:ascii="Arial" w:hAnsi="Arial" w:cs="Arial"/>
        </w:rPr>
        <w:t>when determining</w:t>
      </w:r>
      <w:r w:rsidRPr="00275017">
        <w:rPr>
          <w:rFonts w:ascii="Arial" w:hAnsi="Arial" w:cs="Arial"/>
        </w:rPr>
        <w:t xml:space="preserve"> government action:</w:t>
      </w:r>
    </w:p>
    <w:p w:rsidR="00810822" w:rsidRPr="00275017" w:rsidRDefault="00810822" w:rsidP="002D5AC3">
      <w:pPr>
        <w:pStyle w:val="Bulletlist"/>
        <w:spacing w:line="276" w:lineRule="auto"/>
        <w:ind w:left="714" w:hanging="357"/>
      </w:pPr>
      <w:r w:rsidRPr="00275017">
        <w:t xml:space="preserve">Project </w:t>
      </w:r>
      <w:r w:rsidR="00B51823">
        <w:t>developers</w:t>
      </w:r>
      <w:r w:rsidR="008B5E35">
        <w:t xml:space="preserve"> </w:t>
      </w:r>
      <w:r w:rsidRPr="00275017">
        <w:t xml:space="preserve">seek an accessible, practical, commercial pathway to obtaining approval to undertake project development.   </w:t>
      </w:r>
    </w:p>
    <w:p w:rsidR="00810822" w:rsidRPr="008B5E35" w:rsidRDefault="00810822" w:rsidP="002D5AC3">
      <w:pPr>
        <w:pStyle w:val="Bulletlist"/>
        <w:spacing w:line="276" w:lineRule="auto"/>
        <w:ind w:left="714" w:hanging="357"/>
      </w:pPr>
      <w:r w:rsidRPr="00275017">
        <w:t xml:space="preserve">Engineering and supply chain providers require long term regulatory certainty to </w:t>
      </w:r>
      <w:r w:rsidRPr="008B5E35">
        <w:t>establish a sector in a new market</w:t>
      </w:r>
    </w:p>
    <w:p w:rsidR="00972B74" w:rsidRPr="00275017" w:rsidRDefault="00972B74" w:rsidP="00972B74">
      <w:pPr>
        <w:pStyle w:val="Bulletlist"/>
        <w:spacing w:line="276" w:lineRule="auto"/>
        <w:ind w:left="714" w:hanging="357"/>
      </w:pPr>
      <w:r w:rsidRPr="00275017">
        <w:t>Electricity networks and transmission operators function in a highly regulated market and any new legislation will need to consider the existing market.</w:t>
      </w:r>
    </w:p>
    <w:p w:rsidR="00972B74" w:rsidRPr="00275017" w:rsidRDefault="00972B74" w:rsidP="00972B74">
      <w:pPr>
        <w:pStyle w:val="Bulletlist"/>
        <w:spacing w:line="276" w:lineRule="auto"/>
        <w:ind w:left="714" w:hanging="357"/>
      </w:pPr>
      <w:r w:rsidRPr="00275017">
        <w:t xml:space="preserve">States and territories will need to assess regulatory options to allow offshore </w:t>
      </w:r>
      <w:r>
        <w:t>electricity</w:t>
      </w:r>
      <w:r w:rsidRPr="00275017">
        <w:t xml:space="preserve"> technology in offshore waters to intersect with coastal waters, particularly transmission infrastructure. </w:t>
      </w:r>
    </w:p>
    <w:p w:rsidR="00972B74" w:rsidRDefault="00972B74" w:rsidP="00972B74">
      <w:pPr>
        <w:pStyle w:val="Bulletlist"/>
        <w:spacing w:line="276" w:lineRule="auto"/>
        <w:ind w:left="714" w:hanging="357"/>
      </w:pPr>
      <w:r w:rsidRPr="00275017">
        <w:t>Existing offshore maritime sectors</w:t>
      </w:r>
      <w:r w:rsidRPr="00E66DF0">
        <w:t xml:space="preserve"> </w:t>
      </w:r>
      <w:r>
        <w:t>will have ongoing and future commercial approvals that would be given appropriate standing,</w:t>
      </w:r>
      <w:r w:rsidRPr="00275017">
        <w:t xml:space="preserve"> </w:t>
      </w:r>
      <w:r>
        <w:t xml:space="preserve">including for offshore oil and gas developers and licence holders, commercial fishers, shipping activities, managers of existing infrastructure such as Basslink and gas pipelines, and tourism interests. </w:t>
      </w:r>
    </w:p>
    <w:p w:rsidR="00AA37BF" w:rsidRPr="00AA37BF" w:rsidRDefault="008B5E35" w:rsidP="002D5AC3">
      <w:pPr>
        <w:pStyle w:val="Bulletlist"/>
        <w:spacing w:line="276" w:lineRule="auto"/>
        <w:ind w:left="714" w:hanging="357"/>
      </w:pPr>
      <w:r w:rsidRPr="008B5E35">
        <w:t>Non-government environmental protection and nature conservation organisations</w:t>
      </w:r>
      <w:r w:rsidR="00B96752">
        <w:t xml:space="preserve"> </w:t>
      </w:r>
      <w:r w:rsidR="00E66DF0">
        <w:t>are</w:t>
      </w:r>
      <w:r w:rsidR="00B96752">
        <w:t xml:space="preserve"> strong advocates </w:t>
      </w:r>
      <w:r w:rsidR="00E66DF0">
        <w:t>for</w:t>
      </w:r>
      <w:r w:rsidR="00B96752">
        <w:t xml:space="preserve"> clean energy and wildlife conservation measures. </w:t>
      </w:r>
      <w:r w:rsidRPr="008B5E35">
        <w:t xml:space="preserve">  </w:t>
      </w:r>
    </w:p>
    <w:p w:rsidR="00810822" w:rsidRPr="002D5AC3" w:rsidRDefault="00810822" w:rsidP="002D5AC3">
      <w:pPr>
        <w:pStyle w:val="Bulletlist"/>
        <w:spacing w:line="276" w:lineRule="auto"/>
        <w:ind w:left="714" w:hanging="357"/>
      </w:pPr>
      <w:r w:rsidRPr="00275017">
        <w:t xml:space="preserve">Local communities </w:t>
      </w:r>
      <w:r w:rsidR="0012434A">
        <w:t>may</w:t>
      </w:r>
      <w:r w:rsidRPr="00275017">
        <w:t xml:space="preserve"> be impacted </w:t>
      </w:r>
      <w:r w:rsidR="00A6049E">
        <w:t>by</w:t>
      </w:r>
      <w:r w:rsidRPr="00275017">
        <w:t xml:space="preserve"> the visual amenity offshore </w:t>
      </w:r>
      <w:r w:rsidR="002A3B6B">
        <w:t>electricity</w:t>
      </w:r>
      <w:r w:rsidRPr="00275017">
        <w:t xml:space="preserve"> infrastructure or by restrictions to recreational marine sites.  </w:t>
      </w:r>
    </w:p>
    <w:p w:rsidR="00810822" w:rsidRPr="002D5AC3" w:rsidRDefault="005949A6" w:rsidP="002D5AC3">
      <w:pPr>
        <w:pStyle w:val="Bulletlist"/>
        <w:spacing w:line="276" w:lineRule="auto"/>
        <w:ind w:left="714" w:hanging="357"/>
      </w:pPr>
      <w:r>
        <w:t xml:space="preserve">The offshore </w:t>
      </w:r>
      <w:r w:rsidR="002A3B6B">
        <w:t>electricity</w:t>
      </w:r>
      <w:r>
        <w:t xml:space="preserve"> w</w:t>
      </w:r>
      <w:r w:rsidR="00810822" w:rsidRPr="00275017">
        <w:t>orkforce require</w:t>
      </w:r>
      <w:r w:rsidR="00E66DF0">
        <w:t>s</w:t>
      </w:r>
      <w:r w:rsidR="00810822" w:rsidRPr="00275017">
        <w:t xml:space="preserve"> clear and effective safety regimes, </w:t>
      </w:r>
      <w:r w:rsidR="00685FD3">
        <w:t>supported by</w:t>
      </w:r>
      <w:r w:rsidR="00810822" w:rsidRPr="00275017">
        <w:t xml:space="preserve"> retraining where required</w:t>
      </w:r>
      <w:r w:rsidR="00685FD3">
        <w:t>.</w:t>
      </w:r>
    </w:p>
    <w:p w:rsidR="00E66DF0" w:rsidRPr="00FA6D93" w:rsidRDefault="00E66DF0" w:rsidP="002D5AC3">
      <w:pPr>
        <w:pStyle w:val="Bulletlist"/>
        <w:numPr>
          <w:ilvl w:val="0"/>
          <w:numId w:val="0"/>
        </w:numPr>
        <w:spacing w:line="276" w:lineRule="auto"/>
        <w:ind w:left="714"/>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The need for government intervention</w:t>
      </w:r>
    </w:p>
    <w:p w:rsidR="00202AFE" w:rsidRDefault="00202AFE" w:rsidP="0057257B">
      <w:pPr>
        <w:spacing w:line="276" w:lineRule="auto"/>
        <w:rPr>
          <w:rFonts w:ascii="Arial" w:hAnsi="Arial" w:cs="Arial"/>
        </w:rPr>
      </w:pPr>
      <w:r w:rsidRPr="00202AFE">
        <w:rPr>
          <w:rFonts w:ascii="Arial" w:hAnsi="Arial" w:cs="Arial"/>
        </w:rPr>
        <w:t>The case for government intervention is driven by:</w:t>
      </w:r>
    </w:p>
    <w:p w:rsidR="00202AFE" w:rsidRDefault="00202AFE" w:rsidP="002D5AC3">
      <w:pPr>
        <w:pStyle w:val="Bulletlist"/>
        <w:spacing w:line="276" w:lineRule="auto"/>
        <w:ind w:left="714" w:hanging="357"/>
      </w:pPr>
      <w:r>
        <w:t>Early certainty to enable long term planning and investment decision</w:t>
      </w:r>
      <w:r w:rsidR="005949A6">
        <w:t>s</w:t>
      </w:r>
      <w:r w:rsidR="00E66DF0">
        <w:t>,</w:t>
      </w:r>
    </w:p>
    <w:p w:rsidR="00202AFE" w:rsidRDefault="00202AFE" w:rsidP="002D5AC3">
      <w:pPr>
        <w:pStyle w:val="Bulletlist"/>
        <w:spacing w:line="276" w:lineRule="auto"/>
        <w:ind w:left="714" w:hanging="357"/>
      </w:pPr>
      <w:r>
        <w:t xml:space="preserve">Opportunities for parties affected by </w:t>
      </w:r>
      <w:r w:rsidR="00C0148C">
        <w:t xml:space="preserve">proposed offshore </w:t>
      </w:r>
      <w:r w:rsidR="002A3B6B">
        <w:t>electricity</w:t>
      </w:r>
      <w:r w:rsidR="00C0148C">
        <w:t xml:space="preserve"> </w:t>
      </w:r>
      <w:r>
        <w:t>development</w:t>
      </w:r>
      <w:r w:rsidR="00C0148C">
        <w:t>s</w:t>
      </w:r>
      <w:r w:rsidR="00E66DF0">
        <w:t>,</w:t>
      </w:r>
      <w:r>
        <w:t xml:space="preserve"> </w:t>
      </w:r>
      <w:r w:rsidR="005949A6">
        <w:t xml:space="preserve">including </w:t>
      </w:r>
      <w:r>
        <w:t xml:space="preserve">open consultation </w:t>
      </w:r>
      <w:r w:rsidR="005949A6">
        <w:t>and appropriate standing for</w:t>
      </w:r>
      <w:r w:rsidR="00C0148C">
        <w:t xml:space="preserve"> approvals</w:t>
      </w:r>
      <w:r w:rsidR="00E66DF0">
        <w:t>,</w:t>
      </w:r>
      <w:r>
        <w:t xml:space="preserve"> and</w:t>
      </w:r>
    </w:p>
    <w:p w:rsidR="00A0003C" w:rsidRDefault="00E66DF0" w:rsidP="002D5AC3">
      <w:pPr>
        <w:pStyle w:val="Bulletlist"/>
        <w:spacing w:line="276" w:lineRule="auto"/>
        <w:ind w:left="714" w:hanging="357"/>
      </w:pPr>
      <w:r>
        <w:t>A c</w:t>
      </w:r>
      <w:r w:rsidR="00202AFE">
        <w:t xml:space="preserve">lear decision-making framework </w:t>
      </w:r>
      <w:r w:rsidR="00C0148C">
        <w:t>to ensure fairness, transparency and consistency</w:t>
      </w:r>
      <w:r w:rsidR="0038155B">
        <w:t xml:space="preserve"> throughout the life cycle of a project</w:t>
      </w:r>
      <w:r w:rsidR="00202AFE">
        <w:t>.</w:t>
      </w:r>
    </w:p>
    <w:p w:rsidR="00810822" w:rsidRPr="00202AFE" w:rsidRDefault="00810822" w:rsidP="002D5AC3">
      <w:pPr>
        <w:pStyle w:val="Bulletlist"/>
        <w:numPr>
          <w:ilvl w:val="0"/>
          <w:numId w:val="0"/>
        </w:numPr>
        <w:spacing w:line="276" w:lineRule="auto"/>
        <w:ind w:left="357"/>
      </w:pPr>
    </w:p>
    <w:p w:rsidR="00810822" w:rsidRPr="00275017" w:rsidRDefault="00810822" w:rsidP="0057257B">
      <w:pPr>
        <w:pStyle w:val="Heading1"/>
        <w:numPr>
          <w:ilvl w:val="0"/>
          <w:numId w:val="11"/>
        </w:numPr>
        <w:spacing w:after="0" w:line="276" w:lineRule="auto"/>
        <w:rPr>
          <w:rFonts w:ascii="Arial" w:hAnsi="Arial" w:cs="Arial"/>
        </w:rPr>
      </w:pPr>
      <w:bookmarkStart w:id="11" w:name="_Toc69917402"/>
      <w:r w:rsidRPr="00275017">
        <w:rPr>
          <w:rFonts w:ascii="Arial" w:hAnsi="Arial" w:cs="Arial"/>
        </w:rPr>
        <w:t>Policy options and likely net benefit</w:t>
      </w:r>
      <w:bookmarkEnd w:id="11"/>
    </w:p>
    <w:p w:rsidR="00810822" w:rsidRDefault="00810822" w:rsidP="00E47E7A">
      <w:pPr>
        <w:spacing w:line="276" w:lineRule="auto"/>
        <w:rPr>
          <w:rFonts w:ascii="Arial" w:hAnsi="Arial" w:cs="Arial"/>
        </w:rPr>
      </w:pPr>
      <w:r w:rsidRPr="00275017">
        <w:rPr>
          <w:rFonts w:ascii="Arial" w:hAnsi="Arial" w:cs="Arial"/>
        </w:rPr>
        <w:t>The purpose of this s</w:t>
      </w:r>
      <w:r w:rsidR="00C06CDE">
        <w:rPr>
          <w:rFonts w:ascii="Arial" w:hAnsi="Arial" w:cs="Arial"/>
        </w:rPr>
        <w:t xml:space="preserve">ection is to </w:t>
      </w:r>
      <w:r w:rsidRPr="00C06CDE">
        <w:rPr>
          <w:rFonts w:ascii="Arial" w:hAnsi="Arial" w:cs="Arial"/>
        </w:rPr>
        <w:t xml:space="preserve">present the </w:t>
      </w:r>
      <w:r w:rsidR="00C06CDE" w:rsidRPr="00C06CDE">
        <w:rPr>
          <w:rFonts w:ascii="Arial" w:hAnsi="Arial" w:cs="Arial"/>
        </w:rPr>
        <w:t>options considered</w:t>
      </w:r>
      <w:r w:rsidR="00C06CDE">
        <w:rPr>
          <w:rFonts w:ascii="Arial" w:hAnsi="Arial" w:cs="Arial"/>
        </w:rPr>
        <w:t xml:space="preserve"> </w:t>
      </w:r>
      <w:r w:rsidR="00A0003C">
        <w:rPr>
          <w:rFonts w:ascii="Arial" w:hAnsi="Arial" w:cs="Arial"/>
        </w:rPr>
        <w:t>for the design of this regulatory framework</w:t>
      </w:r>
      <w:r w:rsidR="00A6049E">
        <w:rPr>
          <w:rFonts w:ascii="Arial" w:hAnsi="Arial" w:cs="Arial"/>
        </w:rPr>
        <w:t>,</w:t>
      </w:r>
      <w:r w:rsidR="00A0003C">
        <w:rPr>
          <w:rFonts w:ascii="Arial" w:hAnsi="Arial" w:cs="Arial"/>
        </w:rPr>
        <w:t xml:space="preserve"> </w:t>
      </w:r>
      <w:r w:rsidR="00C06CDE">
        <w:rPr>
          <w:rFonts w:ascii="Arial" w:hAnsi="Arial" w:cs="Arial"/>
        </w:rPr>
        <w:t xml:space="preserve">and </w:t>
      </w:r>
      <w:r w:rsidRPr="00C06CDE">
        <w:rPr>
          <w:rFonts w:ascii="Arial" w:hAnsi="Arial" w:cs="Arial"/>
        </w:rPr>
        <w:t>discuss the key advantages and disadvantages of each option.</w:t>
      </w:r>
    </w:p>
    <w:p w:rsidR="00A0003C" w:rsidRPr="00275017" w:rsidRDefault="00A0003C" w:rsidP="00E47E7A">
      <w:pPr>
        <w:spacing w:line="276" w:lineRule="auto"/>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Summary of options</w:t>
      </w:r>
    </w:p>
    <w:p w:rsidR="00EF5FE2" w:rsidRDefault="00EF5FE2" w:rsidP="0057257B">
      <w:pPr>
        <w:pStyle w:val="Bulletlist"/>
        <w:numPr>
          <w:ilvl w:val="0"/>
          <w:numId w:val="0"/>
        </w:numPr>
        <w:spacing w:line="276" w:lineRule="auto"/>
        <w:rPr>
          <w:rFonts w:cs="Arial"/>
        </w:rPr>
      </w:pPr>
      <w:r>
        <w:rPr>
          <w:rFonts w:cs="Arial"/>
        </w:rPr>
        <w:t>In assessing options for allow</w:t>
      </w:r>
      <w:r w:rsidR="00C06800">
        <w:rPr>
          <w:rFonts w:cs="Arial"/>
        </w:rPr>
        <w:t>ing</w:t>
      </w:r>
      <w:r>
        <w:rPr>
          <w:rFonts w:cs="Arial"/>
        </w:rPr>
        <w:t xml:space="preserve"> the efficient and effective development of offshore </w:t>
      </w:r>
      <w:r w:rsidR="00C06800">
        <w:rPr>
          <w:rFonts w:cs="Arial"/>
        </w:rPr>
        <w:t xml:space="preserve">electricity infrastructure </w:t>
      </w:r>
      <w:r>
        <w:rPr>
          <w:rFonts w:cs="Arial"/>
        </w:rPr>
        <w:t>projects</w:t>
      </w:r>
      <w:r w:rsidR="00A0003C">
        <w:rPr>
          <w:rFonts w:cs="Arial"/>
        </w:rPr>
        <w:t>,</w:t>
      </w:r>
      <w:r>
        <w:rPr>
          <w:rFonts w:cs="Arial"/>
        </w:rPr>
        <w:t xml:space="preserve"> two clear options are presented:</w:t>
      </w:r>
    </w:p>
    <w:p w:rsidR="00EF5FE2" w:rsidRDefault="00EF5FE2" w:rsidP="002D5AC3">
      <w:pPr>
        <w:pStyle w:val="Bulletlist"/>
        <w:spacing w:line="276" w:lineRule="auto"/>
        <w:ind w:left="714" w:hanging="357"/>
      </w:pPr>
      <w:r>
        <w:t xml:space="preserve">Option 1: No legislation and allow the continuation of the status quo. This would not </w:t>
      </w:r>
      <w:r w:rsidR="00A0003C">
        <w:t xml:space="preserve">support the </w:t>
      </w:r>
      <w:r>
        <w:t xml:space="preserve">construction, operation and </w:t>
      </w:r>
      <w:r w:rsidR="00F8652C">
        <w:t>decommissioning or ongoing manageme</w:t>
      </w:r>
      <w:r w:rsidR="00975A5B">
        <w:t xml:space="preserve">nt of projects, nor would this establish a framework </w:t>
      </w:r>
      <w:r w:rsidR="00F8652C">
        <w:t>for the long-ter</w:t>
      </w:r>
      <w:r w:rsidR="00975A5B">
        <w:t xml:space="preserve">m allocation of licences for prospective development. </w:t>
      </w:r>
    </w:p>
    <w:p w:rsidR="00810822" w:rsidRDefault="00EF5FE2" w:rsidP="002D5AC3">
      <w:pPr>
        <w:pStyle w:val="Bulletlist"/>
        <w:spacing w:line="276" w:lineRule="auto"/>
        <w:ind w:left="714" w:hanging="357"/>
      </w:pPr>
      <w:r>
        <w:t xml:space="preserve">Option 2: </w:t>
      </w:r>
      <w:r w:rsidR="00F8652C">
        <w:t>Develop</w:t>
      </w:r>
      <w:r w:rsidR="00975A5B">
        <w:t xml:space="preserve"> a legislative regulatory framework </w:t>
      </w:r>
      <w:r w:rsidR="00A0003C">
        <w:t xml:space="preserve">that </w:t>
      </w:r>
      <w:r w:rsidR="0066069C">
        <w:t xml:space="preserve">would </w:t>
      </w:r>
      <w:r w:rsidR="00975A5B">
        <w:t xml:space="preserve">address issues outlined above, noting the significant variation possible in implementing such a framework. </w:t>
      </w:r>
    </w:p>
    <w:p w:rsidR="00A0003C" w:rsidRPr="00B40D58" w:rsidRDefault="00A0003C" w:rsidP="002D5AC3">
      <w:pPr>
        <w:pStyle w:val="Bulletlist"/>
        <w:numPr>
          <w:ilvl w:val="0"/>
          <w:numId w:val="0"/>
        </w:numPr>
        <w:spacing w:line="276" w:lineRule="auto"/>
        <w:ind w:left="357"/>
      </w:pPr>
    </w:p>
    <w:p w:rsidR="00810822" w:rsidRPr="00E47E7A" w:rsidRDefault="00810822" w:rsidP="00E47E7A">
      <w:pPr>
        <w:pStyle w:val="Heading2"/>
        <w:numPr>
          <w:ilvl w:val="1"/>
          <w:numId w:val="11"/>
        </w:numPr>
        <w:spacing w:after="0" w:line="276" w:lineRule="auto"/>
        <w:rPr>
          <w:rFonts w:ascii="Arial" w:hAnsi="Arial" w:cs="Arial"/>
        </w:rPr>
      </w:pPr>
      <w:r w:rsidRPr="00275017">
        <w:rPr>
          <w:rFonts w:ascii="Arial" w:hAnsi="Arial" w:cs="Arial"/>
        </w:rPr>
        <w:t>Option 1: No regulatory framework introduced (current situation)</w:t>
      </w:r>
    </w:p>
    <w:p w:rsidR="00810822" w:rsidRPr="00275017" w:rsidRDefault="00BA1677" w:rsidP="0057257B">
      <w:pPr>
        <w:pStyle w:val="Heading3"/>
        <w:keepLines w:val="0"/>
        <w:numPr>
          <w:ilvl w:val="2"/>
          <w:numId w:val="11"/>
        </w:numPr>
        <w:spacing w:before="240" w:after="120" w:line="276" w:lineRule="auto"/>
        <w:ind w:left="0" w:firstLine="0"/>
        <w:rPr>
          <w:rFonts w:ascii="Arial" w:hAnsi="Arial" w:cs="Arial"/>
        </w:rPr>
      </w:pPr>
      <w:bookmarkStart w:id="12" w:name="_Ref9789525"/>
      <w:bookmarkStart w:id="13" w:name="_Toc12269010"/>
      <w:r>
        <w:rPr>
          <w:rFonts w:ascii="Arial" w:hAnsi="Arial" w:cs="Arial"/>
        </w:rPr>
        <w:t xml:space="preserve"> </w:t>
      </w:r>
      <w:r w:rsidR="00810822" w:rsidRPr="00275017">
        <w:rPr>
          <w:rFonts w:ascii="Arial" w:hAnsi="Arial" w:cs="Arial"/>
        </w:rPr>
        <w:t>Description of the option</w:t>
      </w:r>
      <w:bookmarkEnd w:id="12"/>
      <w:bookmarkEnd w:id="13"/>
    </w:p>
    <w:p w:rsidR="004A26FA" w:rsidRPr="00275017" w:rsidRDefault="00810822" w:rsidP="0057257B">
      <w:pPr>
        <w:spacing w:line="276" w:lineRule="auto"/>
        <w:rPr>
          <w:rFonts w:ascii="Arial" w:hAnsi="Arial" w:cs="Arial"/>
        </w:rPr>
      </w:pPr>
      <w:r w:rsidRPr="00275017">
        <w:rPr>
          <w:rFonts w:ascii="Arial" w:hAnsi="Arial" w:cs="Arial"/>
        </w:rPr>
        <w:t>The first option is maintaining the</w:t>
      </w:r>
      <w:r w:rsidR="00BA1677">
        <w:rPr>
          <w:rFonts w:ascii="Arial" w:hAnsi="Arial" w:cs="Arial"/>
        </w:rPr>
        <w:t xml:space="preserve"> status quo and not progressing regulatory reform</w:t>
      </w:r>
      <w:r w:rsidRPr="00275017">
        <w:rPr>
          <w:rFonts w:ascii="Arial" w:hAnsi="Arial" w:cs="Arial"/>
        </w:rPr>
        <w:t xml:space="preserve">. </w:t>
      </w:r>
    </w:p>
    <w:p w:rsidR="00D51220" w:rsidRDefault="00810822" w:rsidP="0057257B">
      <w:pPr>
        <w:spacing w:line="276" w:lineRule="auto"/>
        <w:rPr>
          <w:rFonts w:ascii="Arial" w:hAnsi="Arial" w:cs="Arial"/>
        </w:rPr>
      </w:pPr>
      <w:r w:rsidRPr="00275017">
        <w:rPr>
          <w:rFonts w:ascii="Arial" w:hAnsi="Arial" w:cs="Arial"/>
        </w:rPr>
        <w:t xml:space="preserve">Under this option, </w:t>
      </w:r>
      <w:r w:rsidR="0071376F">
        <w:rPr>
          <w:rFonts w:ascii="Arial" w:hAnsi="Arial" w:cs="Arial"/>
        </w:rPr>
        <w:t>proponents</w:t>
      </w:r>
      <w:r w:rsidRPr="00275017">
        <w:rPr>
          <w:rFonts w:ascii="Arial" w:hAnsi="Arial" w:cs="Arial"/>
        </w:rPr>
        <w:t xml:space="preserve"> would </w:t>
      </w:r>
      <w:r w:rsidR="005949A6">
        <w:rPr>
          <w:rFonts w:ascii="Arial" w:hAnsi="Arial" w:cs="Arial"/>
        </w:rPr>
        <w:t>not be supported</w:t>
      </w:r>
      <w:r w:rsidRPr="00275017">
        <w:rPr>
          <w:rFonts w:ascii="Arial" w:hAnsi="Arial" w:cs="Arial"/>
        </w:rPr>
        <w:t xml:space="preserve"> to </w:t>
      </w:r>
      <w:r w:rsidR="00646C9A">
        <w:rPr>
          <w:rFonts w:ascii="Arial" w:hAnsi="Arial" w:cs="Arial"/>
        </w:rPr>
        <w:t xml:space="preserve">initiate </w:t>
      </w:r>
      <w:r w:rsidR="00CD6D83">
        <w:rPr>
          <w:rFonts w:ascii="Arial" w:hAnsi="Arial" w:cs="Arial"/>
        </w:rPr>
        <w:t xml:space="preserve">critical </w:t>
      </w:r>
      <w:r w:rsidRPr="00275017">
        <w:rPr>
          <w:rFonts w:ascii="Arial" w:hAnsi="Arial" w:cs="Arial"/>
        </w:rPr>
        <w:t xml:space="preserve">activities associated with </w:t>
      </w:r>
      <w:r w:rsidR="00CD6D83">
        <w:rPr>
          <w:rFonts w:ascii="Arial" w:hAnsi="Arial" w:cs="Arial"/>
        </w:rPr>
        <w:t xml:space="preserve">developing </w:t>
      </w:r>
      <w:r w:rsidRPr="00275017">
        <w:rPr>
          <w:rFonts w:ascii="Arial" w:hAnsi="Arial" w:cs="Arial"/>
        </w:rPr>
        <w:t xml:space="preserve">offshore </w:t>
      </w:r>
      <w:r w:rsidR="00885B32">
        <w:rPr>
          <w:rFonts w:ascii="Arial" w:hAnsi="Arial" w:cs="Arial"/>
        </w:rPr>
        <w:t>electricity</w:t>
      </w:r>
      <w:r w:rsidRPr="00275017">
        <w:rPr>
          <w:rFonts w:ascii="Arial" w:hAnsi="Arial" w:cs="Arial"/>
        </w:rPr>
        <w:t xml:space="preserve"> </w:t>
      </w:r>
      <w:r w:rsidR="00CD6D83">
        <w:rPr>
          <w:rFonts w:ascii="Arial" w:hAnsi="Arial" w:cs="Arial"/>
        </w:rPr>
        <w:t xml:space="preserve">projects </w:t>
      </w:r>
      <w:r w:rsidRPr="00275017">
        <w:rPr>
          <w:rFonts w:ascii="Arial" w:hAnsi="Arial" w:cs="Arial"/>
        </w:rPr>
        <w:t xml:space="preserve">– including construction, operation, or decommissioning – in Commonwealth marine areas. </w:t>
      </w:r>
    </w:p>
    <w:p w:rsidR="004E39AC" w:rsidRDefault="00D51220" w:rsidP="0057257B">
      <w:pPr>
        <w:spacing w:line="276" w:lineRule="auto"/>
        <w:rPr>
          <w:rFonts w:ascii="Arial" w:hAnsi="Arial" w:cs="Arial"/>
        </w:rPr>
      </w:pPr>
      <w:r>
        <w:rPr>
          <w:rFonts w:ascii="Arial" w:hAnsi="Arial" w:cs="Arial"/>
        </w:rPr>
        <w:t xml:space="preserve">If </w:t>
      </w:r>
      <w:r w:rsidR="001A728A">
        <w:rPr>
          <w:rFonts w:ascii="Arial" w:hAnsi="Arial" w:cs="Arial"/>
        </w:rPr>
        <w:t xml:space="preserve">the </w:t>
      </w:r>
      <w:r w:rsidR="00A547BF">
        <w:rPr>
          <w:rFonts w:ascii="Arial" w:hAnsi="Arial" w:cs="Arial"/>
        </w:rPr>
        <w:t>status quo</w:t>
      </w:r>
      <w:r w:rsidR="001A728A">
        <w:rPr>
          <w:rFonts w:ascii="Arial" w:hAnsi="Arial" w:cs="Arial"/>
        </w:rPr>
        <w:t xml:space="preserve"> </w:t>
      </w:r>
      <w:r w:rsidR="00646C9A">
        <w:rPr>
          <w:rFonts w:ascii="Arial" w:hAnsi="Arial" w:cs="Arial"/>
        </w:rPr>
        <w:t xml:space="preserve">was </w:t>
      </w:r>
      <w:r w:rsidR="001A728A">
        <w:rPr>
          <w:rFonts w:ascii="Arial" w:hAnsi="Arial" w:cs="Arial"/>
        </w:rPr>
        <w:t>maintained</w:t>
      </w:r>
      <w:r w:rsidR="00646C9A">
        <w:rPr>
          <w:rFonts w:ascii="Arial" w:hAnsi="Arial" w:cs="Arial"/>
        </w:rPr>
        <w:t xml:space="preserve">, </w:t>
      </w:r>
      <w:r w:rsidR="004E39AC">
        <w:rPr>
          <w:rFonts w:ascii="Arial" w:hAnsi="Arial" w:cs="Arial"/>
        </w:rPr>
        <w:t xml:space="preserve">exploration </w:t>
      </w:r>
      <w:r w:rsidR="005949A6">
        <w:rPr>
          <w:rFonts w:ascii="Arial" w:hAnsi="Arial" w:cs="Arial"/>
        </w:rPr>
        <w:t xml:space="preserve">could </w:t>
      </w:r>
      <w:r w:rsidR="004E39AC">
        <w:rPr>
          <w:rFonts w:ascii="Arial" w:hAnsi="Arial" w:cs="Arial"/>
        </w:rPr>
        <w:t>take place without a deed of licence being issued</w:t>
      </w:r>
      <w:r w:rsidR="00A32DE0">
        <w:rPr>
          <w:rFonts w:ascii="Arial" w:hAnsi="Arial" w:cs="Arial"/>
        </w:rPr>
        <w:t xml:space="preserve">, </w:t>
      </w:r>
      <w:r w:rsidR="004E39AC">
        <w:rPr>
          <w:rFonts w:ascii="Arial" w:hAnsi="Arial" w:cs="Arial"/>
        </w:rPr>
        <w:t xml:space="preserve">and </w:t>
      </w:r>
      <w:r w:rsidR="00646C9A">
        <w:rPr>
          <w:rFonts w:ascii="Arial" w:hAnsi="Arial" w:cs="Arial"/>
        </w:rPr>
        <w:t xml:space="preserve">exploration activities </w:t>
      </w:r>
      <w:r w:rsidR="004E39AC">
        <w:rPr>
          <w:rFonts w:ascii="Arial" w:hAnsi="Arial" w:cs="Arial"/>
        </w:rPr>
        <w:t xml:space="preserve">approved </w:t>
      </w:r>
      <w:r w:rsidR="003B0194">
        <w:rPr>
          <w:rFonts w:ascii="Arial" w:hAnsi="Arial" w:cs="Arial"/>
        </w:rPr>
        <w:t xml:space="preserve">within </w:t>
      </w:r>
      <w:r w:rsidR="004E39AC">
        <w:rPr>
          <w:rFonts w:ascii="Arial" w:hAnsi="Arial" w:cs="Arial"/>
        </w:rPr>
        <w:t xml:space="preserve">existing regulatory powers available </w:t>
      </w:r>
      <w:r>
        <w:rPr>
          <w:rFonts w:ascii="Arial" w:hAnsi="Arial" w:cs="Arial"/>
        </w:rPr>
        <w:t>such as</w:t>
      </w:r>
      <w:r w:rsidR="004E39AC">
        <w:rPr>
          <w:rFonts w:ascii="Arial" w:hAnsi="Arial" w:cs="Arial"/>
        </w:rPr>
        <w:t xml:space="preserve"> </w:t>
      </w:r>
      <w:r w:rsidR="004E39AC" w:rsidRPr="00275017">
        <w:rPr>
          <w:rFonts w:ascii="Arial" w:hAnsi="Arial" w:cs="Arial"/>
          <w:i/>
        </w:rPr>
        <w:t>Environmental Protection and Biodiversity Act 1999</w:t>
      </w:r>
      <w:r w:rsidR="004E39AC" w:rsidRPr="00275017">
        <w:rPr>
          <w:rFonts w:ascii="Arial" w:hAnsi="Arial" w:cs="Arial"/>
        </w:rPr>
        <w:t xml:space="preserve"> and </w:t>
      </w:r>
      <w:r w:rsidR="004E39AC" w:rsidRPr="00275017">
        <w:rPr>
          <w:rFonts w:ascii="Arial" w:hAnsi="Arial" w:cs="Arial"/>
          <w:i/>
        </w:rPr>
        <w:t>Navigation Act 2012</w:t>
      </w:r>
      <w:r w:rsidR="004E39AC" w:rsidRPr="00275017">
        <w:rPr>
          <w:rFonts w:ascii="Arial" w:hAnsi="Arial" w:cs="Arial"/>
        </w:rPr>
        <w:t>.</w:t>
      </w:r>
      <w:r w:rsidR="00A32DE0">
        <w:rPr>
          <w:rFonts w:ascii="Arial" w:hAnsi="Arial" w:cs="Arial"/>
        </w:rPr>
        <w:t xml:space="preserve"> </w:t>
      </w:r>
    </w:p>
    <w:p w:rsidR="00D51220" w:rsidRPr="00275017" w:rsidRDefault="004E39AC" w:rsidP="0057257B">
      <w:pPr>
        <w:spacing w:line="276" w:lineRule="auto"/>
        <w:rPr>
          <w:rFonts w:ascii="Arial" w:hAnsi="Arial" w:cs="Arial"/>
        </w:rPr>
      </w:pPr>
      <w:r>
        <w:rPr>
          <w:rFonts w:ascii="Arial" w:hAnsi="Arial" w:cs="Arial"/>
        </w:rPr>
        <w:t xml:space="preserve">This would </w:t>
      </w:r>
      <w:r w:rsidR="003B0194">
        <w:rPr>
          <w:rFonts w:ascii="Arial" w:hAnsi="Arial" w:cs="Arial"/>
        </w:rPr>
        <w:t>allow environmental site surveys</w:t>
      </w:r>
      <w:r w:rsidR="007643D2">
        <w:rPr>
          <w:rFonts w:ascii="Arial" w:hAnsi="Arial" w:cs="Arial"/>
        </w:rPr>
        <w:t xml:space="preserve"> including the</w:t>
      </w:r>
      <w:r w:rsidR="003B0194">
        <w:rPr>
          <w:rFonts w:ascii="Arial" w:hAnsi="Arial" w:cs="Arial"/>
        </w:rPr>
        <w:t xml:space="preserve"> use of FLIDAR </w:t>
      </w:r>
      <w:r w:rsidR="007643D2">
        <w:rPr>
          <w:rFonts w:ascii="Arial" w:hAnsi="Arial" w:cs="Arial"/>
        </w:rPr>
        <w:t xml:space="preserve">(floating </w:t>
      </w:r>
      <w:r w:rsidR="007643D2">
        <w:rPr>
          <w:rStyle w:val="hgkelc"/>
          <w:rFonts w:ascii="Arial" w:hAnsi="Arial" w:cs="Arial"/>
          <w:color w:val="202124"/>
          <w:sz w:val="21"/>
          <w:szCs w:val="21"/>
        </w:rPr>
        <w:t xml:space="preserve">light detection and ranging) </w:t>
      </w:r>
      <w:r w:rsidR="003B0194">
        <w:rPr>
          <w:rFonts w:ascii="Arial" w:hAnsi="Arial" w:cs="Arial"/>
        </w:rPr>
        <w:t>device</w:t>
      </w:r>
      <w:r w:rsidR="001B5BA3">
        <w:rPr>
          <w:rFonts w:ascii="Arial" w:hAnsi="Arial" w:cs="Arial"/>
        </w:rPr>
        <w:t>s</w:t>
      </w:r>
      <w:r w:rsidR="003B0194">
        <w:rPr>
          <w:rFonts w:ascii="Arial" w:hAnsi="Arial" w:cs="Arial"/>
        </w:rPr>
        <w:t xml:space="preserve"> to capture meteorological </w:t>
      </w:r>
      <w:r w:rsidR="007643D2">
        <w:rPr>
          <w:rFonts w:ascii="Arial" w:hAnsi="Arial" w:cs="Arial"/>
        </w:rPr>
        <w:t>conditions</w:t>
      </w:r>
      <w:r w:rsidR="003B0194">
        <w:rPr>
          <w:rFonts w:ascii="Arial" w:hAnsi="Arial" w:cs="Arial"/>
        </w:rPr>
        <w:t>,</w:t>
      </w:r>
      <w:r w:rsidR="00320682">
        <w:rPr>
          <w:rFonts w:ascii="Arial" w:hAnsi="Arial" w:cs="Arial"/>
        </w:rPr>
        <w:t xml:space="preserve"> as well as</w:t>
      </w:r>
      <w:r w:rsidR="003B0194">
        <w:rPr>
          <w:rFonts w:ascii="Arial" w:hAnsi="Arial" w:cs="Arial"/>
        </w:rPr>
        <w:t xml:space="preserve"> geophysical and geotechnical studies to assess the technical viability of a project. </w:t>
      </w:r>
    </w:p>
    <w:p w:rsidR="004E39AC" w:rsidRDefault="00A0003C" w:rsidP="0057257B">
      <w:pPr>
        <w:spacing w:line="276" w:lineRule="auto"/>
        <w:rPr>
          <w:rFonts w:ascii="Arial" w:hAnsi="Arial" w:cs="Arial"/>
        </w:rPr>
      </w:pPr>
      <w:r>
        <w:rPr>
          <w:rFonts w:ascii="Arial" w:hAnsi="Arial" w:cs="Arial"/>
        </w:rPr>
        <w:t>C</w:t>
      </w:r>
      <w:r w:rsidR="00D50CFA">
        <w:rPr>
          <w:rFonts w:ascii="Arial" w:hAnsi="Arial" w:cs="Arial"/>
        </w:rPr>
        <w:t xml:space="preserve">urrent experience indicates this approach would not be taken up by developers as they </w:t>
      </w:r>
      <w:r w:rsidR="005949A6">
        <w:rPr>
          <w:rFonts w:ascii="Arial" w:hAnsi="Arial" w:cs="Arial"/>
        </w:rPr>
        <w:t>desire</w:t>
      </w:r>
      <w:r w:rsidR="00D50CFA">
        <w:rPr>
          <w:rFonts w:ascii="Arial" w:hAnsi="Arial" w:cs="Arial"/>
        </w:rPr>
        <w:t xml:space="preserve"> a clear, legislated pathway toward investment</w:t>
      </w:r>
      <w:r w:rsidR="00320682">
        <w:rPr>
          <w:rFonts w:ascii="Arial" w:hAnsi="Arial" w:cs="Arial"/>
        </w:rPr>
        <w:t xml:space="preserve"> </w:t>
      </w:r>
      <w:r w:rsidR="005949A6">
        <w:rPr>
          <w:rFonts w:ascii="Arial" w:hAnsi="Arial" w:cs="Arial"/>
        </w:rPr>
        <w:t xml:space="preserve">on </w:t>
      </w:r>
      <w:r w:rsidR="00320682">
        <w:rPr>
          <w:rFonts w:ascii="Arial" w:hAnsi="Arial" w:cs="Arial"/>
        </w:rPr>
        <w:t>the site where surveys have been undertaken</w:t>
      </w:r>
      <w:r w:rsidR="00D50CFA">
        <w:rPr>
          <w:rFonts w:ascii="Arial" w:hAnsi="Arial" w:cs="Arial"/>
        </w:rPr>
        <w:t>. Without this,</w:t>
      </w:r>
      <w:r w:rsidR="00D51220">
        <w:rPr>
          <w:rFonts w:ascii="Arial" w:hAnsi="Arial" w:cs="Arial"/>
        </w:rPr>
        <w:t xml:space="preserve"> the significant</w:t>
      </w:r>
      <w:r w:rsidR="00D50CFA">
        <w:rPr>
          <w:rFonts w:ascii="Arial" w:hAnsi="Arial" w:cs="Arial"/>
        </w:rPr>
        <w:t xml:space="preserve"> investment </w:t>
      </w:r>
      <w:r w:rsidR="00D51220">
        <w:rPr>
          <w:rFonts w:ascii="Arial" w:hAnsi="Arial" w:cs="Arial"/>
        </w:rPr>
        <w:t>in site assessment, estimated to be in the order of</w:t>
      </w:r>
      <w:r w:rsidR="00D50CFA">
        <w:rPr>
          <w:rFonts w:ascii="Arial" w:hAnsi="Arial" w:cs="Arial"/>
        </w:rPr>
        <w:t xml:space="preserve"> $20 - $30 million</w:t>
      </w:r>
      <w:r w:rsidR="00D51220">
        <w:rPr>
          <w:rFonts w:ascii="Arial" w:hAnsi="Arial" w:cs="Arial"/>
        </w:rPr>
        <w:t>, is too great a risk.</w:t>
      </w:r>
      <w:r w:rsidR="00D50CFA">
        <w:rPr>
          <w:rFonts w:ascii="Arial" w:hAnsi="Arial" w:cs="Arial"/>
        </w:rPr>
        <w:t xml:space="preserve"> </w:t>
      </w:r>
    </w:p>
    <w:p w:rsidR="00A0003C" w:rsidRDefault="00A0003C" w:rsidP="0057257B">
      <w:pPr>
        <w:spacing w:line="276" w:lineRule="auto"/>
        <w:rPr>
          <w:rFonts w:ascii="Arial" w:hAnsi="Arial" w:cs="Arial"/>
        </w:rPr>
      </w:pPr>
    </w:p>
    <w:p w:rsidR="00810822" w:rsidRPr="00275017" w:rsidRDefault="009F757C" w:rsidP="0057257B">
      <w:pPr>
        <w:pStyle w:val="Heading3"/>
        <w:keepLines w:val="0"/>
        <w:numPr>
          <w:ilvl w:val="2"/>
          <w:numId w:val="11"/>
        </w:numPr>
        <w:spacing w:before="240" w:after="120" w:line="276" w:lineRule="auto"/>
        <w:ind w:left="0" w:firstLine="0"/>
        <w:rPr>
          <w:rFonts w:ascii="Arial" w:hAnsi="Arial" w:cs="Arial"/>
        </w:rPr>
      </w:pPr>
      <w:bookmarkStart w:id="14" w:name="_Toc12269011"/>
      <w:r>
        <w:rPr>
          <w:rFonts w:ascii="Arial" w:hAnsi="Arial" w:cs="Arial"/>
        </w:rPr>
        <w:t xml:space="preserve"> </w:t>
      </w:r>
      <w:r w:rsidR="00810822" w:rsidRPr="00275017">
        <w:rPr>
          <w:rFonts w:ascii="Arial" w:hAnsi="Arial" w:cs="Arial"/>
        </w:rPr>
        <w:t>How it would work</w:t>
      </w:r>
      <w:bookmarkEnd w:id="14"/>
      <w:r w:rsidR="00760A0A">
        <w:rPr>
          <w:rFonts w:ascii="Arial" w:hAnsi="Arial" w:cs="Arial"/>
        </w:rPr>
        <w:t xml:space="preserve"> – advantages and </w:t>
      </w:r>
      <w:r w:rsidR="000C5FCE" w:rsidRPr="00275017">
        <w:rPr>
          <w:rFonts w:ascii="Arial" w:hAnsi="Arial" w:cs="Arial"/>
        </w:rPr>
        <w:t>disadvantages</w:t>
      </w:r>
    </w:p>
    <w:p w:rsidR="00D51220" w:rsidRPr="00C0148C" w:rsidRDefault="00D80801" w:rsidP="0057257B">
      <w:pPr>
        <w:spacing w:before="120" w:after="120" w:line="276" w:lineRule="auto"/>
        <w:rPr>
          <w:rFonts w:ascii="Arial" w:hAnsi="Arial" w:cs="Arial"/>
        </w:rPr>
      </w:pPr>
      <w:r w:rsidRPr="00E47E7A">
        <w:rPr>
          <w:rFonts w:ascii="Arial" w:hAnsi="Arial" w:cs="Arial"/>
        </w:rPr>
        <w:t xml:space="preserve">As previously noted section 4.2.1, assuming developers wished to pursue </w:t>
      </w:r>
      <w:r w:rsidR="00DE4E6B">
        <w:rPr>
          <w:rFonts w:ascii="Arial" w:hAnsi="Arial" w:cs="Arial"/>
        </w:rPr>
        <w:t>projects</w:t>
      </w:r>
      <w:r w:rsidR="00DE4E6B" w:rsidRPr="00E47E7A">
        <w:rPr>
          <w:rFonts w:ascii="Arial" w:hAnsi="Arial" w:cs="Arial"/>
        </w:rPr>
        <w:t xml:space="preserve"> </w:t>
      </w:r>
      <w:r w:rsidRPr="00E47E7A">
        <w:rPr>
          <w:rFonts w:ascii="Arial" w:hAnsi="Arial" w:cs="Arial"/>
        </w:rPr>
        <w:t xml:space="preserve">without a regulated pathway to development, the </w:t>
      </w:r>
      <w:r w:rsidR="00810822" w:rsidRPr="00C0148C">
        <w:rPr>
          <w:rFonts w:ascii="Arial" w:hAnsi="Arial" w:cs="Arial"/>
        </w:rPr>
        <w:t>ad ho</w:t>
      </w:r>
      <w:r w:rsidR="00A32DE0" w:rsidRPr="00C0148C">
        <w:rPr>
          <w:rFonts w:ascii="Arial" w:hAnsi="Arial" w:cs="Arial"/>
        </w:rPr>
        <w:t>c</w:t>
      </w:r>
      <w:r w:rsidRPr="00C0148C">
        <w:rPr>
          <w:rFonts w:ascii="Arial" w:hAnsi="Arial" w:cs="Arial"/>
        </w:rPr>
        <w:t>,</w:t>
      </w:r>
      <w:r w:rsidR="00A32DE0" w:rsidRPr="00C0148C">
        <w:rPr>
          <w:rFonts w:ascii="Arial" w:hAnsi="Arial" w:cs="Arial"/>
        </w:rPr>
        <w:t xml:space="preserve"> </w:t>
      </w:r>
      <w:r w:rsidR="004B45F4" w:rsidRPr="00C0148C">
        <w:rPr>
          <w:rFonts w:ascii="Arial" w:hAnsi="Arial" w:cs="Arial"/>
        </w:rPr>
        <w:t>unregulated</w:t>
      </w:r>
      <w:r w:rsidRPr="00C0148C">
        <w:rPr>
          <w:rFonts w:ascii="Arial" w:hAnsi="Arial" w:cs="Arial"/>
        </w:rPr>
        <w:t xml:space="preserve"> environment</w:t>
      </w:r>
      <w:r w:rsidR="00A0003C">
        <w:rPr>
          <w:rFonts w:ascii="Arial" w:hAnsi="Arial" w:cs="Arial"/>
        </w:rPr>
        <w:t xml:space="preserve"> would</w:t>
      </w:r>
      <w:r w:rsidR="00D51220" w:rsidRPr="00C0148C">
        <w:rPr>
          <w:rFonts w:ascii="Arial" w:hAnsi="Arial" w:cs="Arial"/>
        </w:rPr>
        <w:t xml:space="preserve">: </w:t>
      </w:r>
    </w:p>
    <w:p w:rsidR="00D51220" w:rsidRDefault="00A0003C" w:rsidP="002D5AC3">
      <w:pPr>
        <w:pStyle w:val="Bulletlist"/>
        <w:spacing w:line="276" w:lineRule="auto"/>
        <w:ind w:left="714" w:hanging="357"/>
      </w:pPr>
      <w:r>
        <w:t>No</w:t>
      </w:r>
      <w:r w:rsidR="00810822" w:rsidRPr="00B40D58">
        <w:t xml:space="preserve">t create a commercial environment in which an offshore </w:t>
      </w:r>
      <w:r w:rsidR="00885B32">
        <w:t>electricity</w:t>
      </w:r>
      <w:r w:rsidR="00810822" w:rsidRPr="00275017">
        <w:t xml:space="preserve"> industry could be fostered. </w:t>
      </w:r>
    </w:p>
    <w:p w:rsidR="00D51220" w:rsidRPr="00D51220" w:rsidRDefault="00320682" w:rsidP="002D5AC3">
      <w:pPr>
        <w:pStyle w:val="Bulletlist"/>
        <w:spacing w:line="276" w:lineRule="auto"/>
        <w:ind w:left="714" w:hanging="357"/>
      </w:pPr>
      <w:r w:rsidRPr="00B40D58">
        <w:t xml:space="preserve">Increase </w:t>
      </w:r>
      <w:r w:rsidR="00A32DE0" w:rsidRPr="00B40D58">
        <w:t>c</w:t>
      </w:r>
      <w:r w:rsidR="00810822" w:rsidRPr="00D679E4">
        <w:t xml:space="preserve">osts </w:t>
      </w:r>
      <w:r w:rsidR="00A0003C">
        <w:t>to</w:t>
      </w:r>
      <w:r w:rsidR="00A0003C" w:rsidRPr="00B40D58">
        <w:t xml:space="preserve"> </w:t>
      </w:r>
      <w:r w:rsidR="00810822" w:rsidRPr="00B40D58">
        <w:t>project proponents through delays caused by uncertainty</w:t>
      </w:r>
      <w:r w:rsidR="00A0003C">
        <w:t xml:space="preserve"> and </w:t>
      </w:r>
      <w:r w:rsidR="00810822" w:rsidRPr="00B40D58">
        <w:t>a lack of clarity</w:t>
      </w:r>
      <w:r w:rsidR="00A0003C">
        <w:t>,</w:t>
      </w:r>
      <w:r w:rsidR="00810822" w:rsidRPr="00B40D58">
        <w:t xml:space="preserve"> in relation to environmental and safety conditions</w:t>
      </w:r>
      <w:r w:rsidRPr="00B40D58">
        <w:t xml:space="preserve"> </w:t>
      </w:r>
      <w:r w:rsidR="00A0003C">
        <w:t>and</w:t>
      </w:r>
      <w:r w:rsidRPr="00D679E4">
        <w:t xml:space="preserve"> interaction with parties with existing, regulated rights (such as fishers, shipping secto</w:t>
      </w:r>
      <w:r w:rsidRPr="00831F9B">
        <w:t>r and offshore petroleum)</w:t>
      </w:r>
      <w:r w:rsidR="00810822" w:rsidRPr="00831F9B">
        <w:t xml:space="preserve">. </w:t>
      </w:r>
    </w:p>
    <w:p w:rsidR="00D80801" w:rsidRPr="007378E3" w:rsidRDefault="004572AC" w:rsidP="002D5AC3">
      <w:pPr>
        <w:pStyle w:val="Bulletlist"/>
        <w:spacing w:line="276" w:lineRule="auto"/>
        <w:ind w:left="714" w:hanging="357"/>
      </w:pPr>
      <w:r w:rsidRPr="008019AF">
        <w:t>Deter</w:t>
      </w:r>
      <w:r w:rsidR="00810822" w:rsidRPr="008019AF">
        <w:t xml:space="preserve"> </w:t>
      </w:r>
      <w:r w:rsidRPr="007378E3">
        <w:t xml:space="preserve">further investment </w:t>
      </w:r>
      <w:r w:rsidR="00810822" w:rsidRPr="007378E3">
        <w:t xml:space="preserve">in offshore </w:t>
      </w:r>
      <w:r w:rsidR="00885B32">
        <w:t>electricity generation</w:t>
      </w:r>
      <w:r w:rsidR="00810822" w:rsidRPr="007378E3">
        <w:t xml:space="preserve"> in Australia </w:t>
      </w:r>
      <w:r w:rsidR="005949A6">
        <w:t>due to</w:t>
      </w:r>
      <w:r w:rsidR="005949A6" w:rsidRPr="007378E3">
        <w:t xml:space="preserve"> </w:t>
      </w:r>
      <w:r w:rsidRPr="007378E3">
        <w:t>the uncertain environment</w:t>
      </w:r>
      <w:r w:rsidR="00810822" w:rsidRPr="007378E3">
        <w:t xml:space="preserve">. </w:t>
      </w:r>
    </w:p>
    <w:p w:rsidR="00A32DE0" w:rsidRPr="00D51220" w:rsidRDefault="004B45F4" w:rsidP="0057257B">
      <w:pPr>
        <w:pStyle w:val="Bulletlist"/>
        <w:numPr>
          <w:ilvl w:val="0"/>
          <w:numId w:val="0"/>
        </w:numPr>
        <w:spacing w:line="276" w:lineRule="auto"/>
      </w:pPr>
      <w:r>
        <w:t xml:space="preserve">In practical terms, </w:t>
      </w:r>
      <w:r w:rsidR="000F085C">
        <w:t>that</w:t>
      </w:r>
      <w:r>
        <w:t xml:space="preserve"> </w:t>
      </w:r>
      <w:r w:rsidR="005949A6">
        <w:t>w</w:t>
      </w:r>
      <w:r>
        <w:t xml:space="preserve">ould see the projects </w:t>
      </w:r>
      <w:r w:rsidR="001452B3">
        <w:t xml:space="preserve">outlined in section 1, </w:t>
      </w:r>
      <w:r w:rsidR="000F085C">
        <w:t>not proceeding. That is, significantly limited or no</w:t>
      </w:r>
      <w:r>
        <w:t xml:space="preserve"> further investment in exploration and development taking place</w:t>
      </w:r>
      <w:r w:rsidR="000F085C">
        <w:t xml:space="preserve"> as a minimum</w:t>
      </w:r>
      <w:r w:rsidR="001452B3">
        <w:t xml:space="preserve">, or </w:t>
      </w:r>
      <w:r w:rsidR="004572AC">
        <w:t xml:space="preserve">proposed </w:t>
      </w:r>
      <w:r w:rsidR="001452B3">
        <w:t>projects not being constructed and operated (noting not all proposals would proceed to development even in a regulated environment)</w:t>
      </w:r>
      <w:r w:rsidR="000F085C">
        <w:t>.</w:t>
      </w:r>
    </w:p>
    <w:p w:rsidR="00D51220" w:rsidRDefault="00D80801" w:rsidP="0057257B">
      <w:pPr>
        <w:pStyle w:val="Bulletlist"/>
        <w:numPr>
          <w:ilvl w:val="0"/>
          <w:numId w:val="0"/>
        </w:numPr>
        <w:spacing w:line="276" w:lineRule="auto"/>
        <w:rPr>
          <w:rFonts w:cs="Arial"/>
        </w:rPr>
      </w:pPr>
      <w:r>
        <w:rPr>
          <w:rFonts w:cs="Arial"/>
        </w:rPr>
        <w:t>D</w:t>
      </w:r>
      <w:r w:rsidR="004B45F4">
        <w:rPr>
          <w:rFonts w:cs="Arial"/>
        </w:rPr>
        <w:t>evelopers</w:t>
      </w:r>
      <w:r w:rsidR="00A32DE0">
        <w:rPr>
          <w:rFonts w:cs="Arial"/>
        </w:rPr>
        <w:t xml:space="preserve"> would need to independently negotiate a range of regulations</w:t>
      </w:r>
      <w:r w:rsidR="004B45F4">
        <w:rPr>
          <w:rFonts w:cs="Arial"/>
        </w:rPr>
        <w:t xml:space="preserve"> and operations</w:t>
      </w:r>
      <w:r w:rsidR="00A32DE0">
        <w:rPr>
          <w:rFonts w:cs="Arial"/>
        </w:rPr>
        <w:t>, including:</w:t>
      </w:r>
    </w:p>
    <w:p w:rsidR="00A32DE0" w:rsidRDefault="009800D9" w:rsidP="002D5AC3">
      <w:pPr>
        <w:pStyle w:val="Bulletlist"/>
        <w:spacing w:line="276" w:lineRule="auto"/>
        <w:ind w:left="714" w:hanging="357"/>
      </w:pPr>
      <w:r>
        <w:t>Protection of e</w:t>
      </w:r>
      <w:r w:rsidR="00A32DE0">
        <w:t>xisting infrastructure such as communication cables</w:t>
      </w:r>
    </w:p>
    <w:p w:rsidR="00A32DE0" w:rsidRDefault="00A32DE0" w:rsidP="002D5AC3">
      <w:pPr>
        <w:pStyle w:val="Bulletlist"/>
        <w:spacing w:line="276" w:lineRule="auto"/>
        <w:ind w:left="714" w:hanging="357"/>
      </w:pPr>
      <w:r>
        <w:t>Licences in operation for fishing and petroleum related activities</w:t>
      </w:r>
    </w:p>
    <w:p w:rsidR="00A32DE0" w:rsidRDefault="00A32DE0" w:rsidP="002D5AC3">
      <w:pPr>
        <w:pStyle w:val="Bulletlist"/>
        <w:spacing w:line="276" w:lineRule="auto"/>
        <w:ind w:left="714" w:hanging="357"/>
      </w:pPr>
      <w:r>
        <w:t>Commonwealth on water activities such as defence</w:t>
      </w:r>
    </w:p>
    <w:p w:rsidR="00A32DE0" w:rsidRDefault="00A32DE0" w:rsidP="002D5AC3">
      <w:pPr>
        <w:pStyle w:val="Bulletlist"/>
        <w:spacing w:line="276" w:lineRule="auto"/>
        <w:ind w:left="714" w:hanging="357"/>
      </w:pPr>
      <w:r>
        <w:t>Shipping navigation routes</w:t>
      </w:r>
    </w:p>
    <w:p w:rsidR="00A32DE0" w:rsidRDefault="00A32DE0" w:rsidP="002D5AC3">
      <w:pPr>
        <w:pStyle w:val="Bulletlist"/>
        <w:spacing w:line="276" w:lineRule="auto"/>
        <w:ind w:left="714" w:hanging="357"/>
      </w:pPr>
      <w:r>
        <w:t>Maritime safety</w:t>
      </w:r>
    </w:p>
    <w:p w:rsidR="00A32DE0" w:rsidRDefault="00A32DE0" w:rsidP="002D5AC3">
      <w:pPr>
        <w:pStyle w:val="Bulletlist"/>
        <w:spacing w:line="276" w:lineRule="auto"/>
        <w:ind w:left="714" w:hanging="357"/>
      </w:pPr>
      <w:r>
        <w:t xml:space="preserve">Environmental management considerations and approval, including </w:t>
      </w:r>
      <w:r w:rsidR="002D5AC3" w:rsidRPr="00275017">
        <w:rPr>
          <w:rFonts w:cs="Arial"/>
          <w:i/>
        </w:rPr>
        <w:t>Environmental Protection and Biodiversity Act 1999</w:t>
      </w:r>
      <w:r w:rsidR="002D5AC3" w:rsidRPr="00275017">
        <w:rPr>
          <w:rFonts w:cs="Arial"/>
        </w:rPr>
        <w:t xml:space="preserve"> </w:t>
      </w:r>
      <w:r>
        <w:t>approvals</w:t>
      </w:r>
    </w:p>
    <w:p w:rsidR="00A32DE0" w:rsidRDefault="00A32DE0" w:rsidP="002D5AC3">
      <w:pPr>
        <w:pStyle w:val="Bulletlist"/>
        <w:spacing w:line="276" w:lineRule="auto"/>
        <w:ind w:left="714" w:hanging="357"/>
      </w:pPr>
      <w:r>
        <w:t>Existing legislative arrangement</w:t>
      </w:r>
      <w:r w:rsidR="00097F43">
        <w:t>s</w:t>
      </w:r>
      <w:r>
        <w:t xml:space="preserve"> such as Native Title</w:t>
      </w:r>
    </w:p>
    <w:p w:rsidR="006C3902" w:rsidRDefault="00AF588A" w:rsidP="002D5AC3">
      <w:pPr>
        <w:pStyle w:val="Bulletlist"/>
        <w:spacing w:line="276" w:lineRule="auto"/>
        <w:ind w:left="714" w:hanging="357"/>
      </w:pPr>
      <w:r>
        <w:t xml:space="preserve">Offshore </w:t>
      </w:r>
      <w:r w:rsidR="00885B32">
        <w:t>electricity</w:t>
      </w:r>
      <w:r>
        <w:t xml:space="preserve"> workforce</w:t>
      </w:r>
    </w:p>
    <w:p w:rsidR="00AF588A" w:rsidRDefault="00AF588A" w:rsidP="002D5AC3">
      <w:pPr>
        <w:pStyle w:val="Bulletlist"/>
        <w:spacing w:line="276" w:lineRule="auto"/>
        <w:ind w:left="714" w:hanging="357"/>
      </w:pPr>
      <w:r>
        <w:t xml:space="preserve">Local communities. </w:t>
      </w:r>
    </w:p>
    <w:p w:rsidR="00D51220" w:rsidRDefault="00A0003C" w:rsidP="0057257B">
      <w:pPr>
        <w:pStyle w:val="Bulletlist"/>
        <w:numPr>
          <w:ilvl w:val="0"/>
          <w:numId w:val="0"/>
        </w:numPr>
        <w:spacing w:line="276" w:lineRule="auto"/>
      </w:pPr>
      <w:r>
        <w:t>Furthermore, c</w:t>
      </w:r>
      <w:r w:rsidR="00A32DE0">
        <w:t xml:space="preserve">onsultation with other maritime users would </w:t>
      </w:r>
      <w:r w:rsidR="00684CCF">
        <w:t xml:space="preserve">have less oversight from government </w:t>
      </w:r>
      <w:r w:rsidR="00A32DE0">
        <w:t>than in a regulated environment</w:t>
      </w:r>
      <w:r w:rsidR="00684CCF">
        <w:t xml:space="preserve">. </w:t>
      </w:r>
      <w:r w:rsidR="00A32DE0">
        <w:t xml:space="preserve"> </w:t>
      </w:r>
    </w:p>
    <w:p w:rsidR="00A0003C" w:rsidRPr="00D51220" w:rsidRDefault="00A0003C" w:rsidP="0057257B">
      <w:pPr>
        <w:pStyle w:val="Bulletlist"/>
        <w:numPr>
          <w:ilvl w:val="0"/>
          <w:numId w:val="0"/>
        </w:numPr>
        <w:spacing w:line="276" w:lineRule="auto"/>
      </w:pPr>
    </w:p>
    <w:p w:rsidR="00810822" w:rsidRPr="00275017" w:rsidRDefault="00810822" w:rsidP="0057257B">
      <w:pPr>
        <w:pStyle w:val="Heading2"/>
        <w:numPr>
          <w:ilvl w:val="1"/>
          <w:numId w:val="11"/>
        </w:numPr>
        <w:spacing w:after="0" w:line="276" w:lineRule="auto"/>
        <w:rPr>
          <w:rFonts w:ascii="Arial" w:hAnsi="Arial" w:cs="Arial"/>
        </w:rPr>
      </w:pPr>
      <w:r w:rsidRPr="00275017">
        <w:rPr>
          <w:rFonts w:ascii="Arial" w:hAnsi="Arial" w:cs="Arial"/>
        </w:rPr>
        <w:t xml:space="preserve">Option 2: Implementation of an offshore </w:t>
      </w:r>
      <w:r w:rsidR="00E059ED">
        <w:rPr>
          <w:rFonts w:ascii="Arial" w:hAnsi="Arial" w:cs="Arial"/>
        </w:rPr>
        <w:t>electricity infrastructure</w:t>
      </w:r>
      <w:r w:rsidRPr="00275017">
        <w:rPr>
          <w:rFonts w:ascii="Arial" w:hAnsi="Arial" w:cs="Arial"/>
        </w:rPr>
        <w:t xml:space="preserve"> regulatory framework </w:t>
      </w:r>
    </w:p>
    <w:p w:rsidR="00810822" w:rsidRPr="00275017" w:rsidRDefault="00810822" w:rsidP="0057257B">
      <w:pPr>
        <w:pStyle w:val="Heading3"/>
        <w:keepLines w:val="0"/>
        <w:numPr>
          <w:ilvl w:val="2"/>
          <w:numId w:val="11"/>
        </w:numPr>
        <w:spacing w:before="240" w:after="120" w:line="276" w:lineRule="auto"/>
        <w:ind w:left="0" w:firstLine="0"/>
        <w:rPr>
          <w:rFonts w:ascii="Arial" w:hAnsi="Arial" w:cs="Arial"/>
        </w:rPr>
      </w:pPr>
      <w:r w:rsidRPr="00275017">
        <w:rPr>
          <w:rFonts w:ascii="Arial" w:hAnsi="Arial" w:cs="Arial"/>
        </w:rPr>
        <w:t>Description of the option</w:t>
      </w:r>
    </w:p>
    <w:p w:rsidR="00D6262C" w:rsidRPr="00275017" w:rsidRDefault="00D6262C" w:rsidP="0057257B">
      <w:pPr>
        <w:spacing w:before="120" w:after="120" w:line="276" w:lineRule="auto"/>
        <w:rPr>
          <w:rFonts w:ascii="Arial" w:hAnsi="Arial" w:cs="Arial"/>
        </w:rPr>
      </w:pPr>
      <w:r w:rsidRPr="00275017">
        <w:rPr>
          <w:rFonts w:ascii="Arial" w:hAnsi="Arial" w:cs="Arial"/>
        </w:rPr>
        <w:t xml:space="preserve">The second option is to introduce a regulatory framework for offshore </w:t>
      </w:r>
      <w:r w:rsidR="00E059ED">
        <w:rPr>
          <w:rFonts w:ascii="Arial" w:hAnsi="Arial" w:cs="Arial"/>
        </w:rPr>
        <w:t>electricity</w:t>
      </w:r>
      <w:r w:rsidRPr="00275017">
        <w:rPr>
          <w:rFonts w:ascii="Arial" w:hAnsi="Arial" w:cs="Arial"/>
        </w:rPr>
        <w:t xml:space="preserve"> infrastructure.</w:t>
      </w:r>
    </w:p>
    <w:p w:rsidR="00810822" w:rsidRPr="00275017" w:rsidRDefault="00810822" w:rsidP="0057257B">
      <w:pPr>
        <w:spacing w:before="120" w:after="120" w:line="276" w:lineRule="auto"/>
        <w:rPr>
          <w:rFonts w:ascii="Arial" w:hAnsi="Arial" w:cs="Arial"/>
        </w:rPr>
      </w:pPr>
      <w:r w:rsidRPr="00275017">
        <w:rPr>
          <w:rFonts w:ascii="Arial" w:hAnsi="Arial" w:cs="Arial"/>
        </w:rPr>
        <w:t>Under this option, a core legislative package would be introduced</w:t>
      </w:r>
      <w:r w:rsidR="00177F1E">
        <w:rPr>
          <w:rFonts w:ascii="Arial" w:hAnsi="Arial" w:cs="Arial"/>
        </w:rPr>
        <w:t xml:space="preserve"> to </w:t>
      </w:r>
      <w:r w:rsidR="00361E62">
        <w:rPr>
          <w:rFonts w:ascii="Arial" w:hAnsi="Arial" w:cs="Arial"/>
        </w:rPr>
        <w:t>P</w:t>
      </w:r>
      <w:r w:rsidR="00177F1E">
        <w:rPr>
          <w:rFonts w:ascii="Arial" w:hAnsi="Arial" w:cs="Arial"/>
        </w:rPr>
        <w:t>arli</w:t>
      </w:r>
      <w:r w:rsidR="00361E62">
        <w:rPr>
          <w:rFonts w:ascii="Arial" w:hAnsi="Arial" w:cs="Arial"/>
        </w:rPr>
        <w:t>a</w:t>
      </w:r>
      <w:r w:rsidR="00177F1E">
        <w:rPr>
          <w:rFonts w:ascii="Arial" w:hAnsi="Arial" w:cs="Arial"/>
        </w:rPr>
        <w:t>ment</w:t>
      </w:r>
      <w:r w:rsidRPr="00275017">
        <w:rPr>
          <w:rFonts w:ascii="Arial" w:hAnsi="Arial" w:cs="Arial"/>
        </w:rPr>
        <w:t xml:space="preserve">, with subordinate regulations, rules, and policy developed and introduced following the initial passage of head of powers legislation. </w:t>
      </w:r>
    </w:p>
    <w:p w:rsidR="00810822" w:rsidRPr="00275017" w:rsidRDefault="00810822" w:rsidP="0057257B">
      <w:pPr>
        <w:spacing w:before="120" w:after="120" w:line="276" w:lineRule="auto"/>
        <w:rPr>
          <w:rFonts w:ascii="Arial" w:hAnsi="Arial" w:cs="Arial"/>
        </w:rPr>
      </w:pPr>
      <w:r w:rsidRPr="00275017">
        <w:rPr>
          <w:rFonts w:ascii="Arial" w:hAnsi="Arial" w:cs="Arial"/>
        </w:rPr>
        <w:t xml:space="preserve">Introducing core legislation as soon as possible, followed by subordinate legislation later, would </w:t>
      </w:r>
      <w:r w:rsidR="00177F1E">
        <w:rPr>
          <w:rFonts w:ascii="Arial" w:hAnsi="Arial" w:cs="Arial"/>
        </w:rPr>
        <w:t>assist in providing investment certainty</w:t>
      </w:r>
      <w:r w:rsidRPr="00275017">
        <w:rPr>
          <w:rFonts w:ascii="Arial" w:hAnsi="Arial" w:cs="Arial"/>
        </w:rPr>
        <w:t xml:space="preserve"> </w:t>
      </w:r>
      <w:r w:rsidR="00177F1E">
        <w:rPr>
          <w:rFonts w:ascii="Arial" w:hAnsi="Arial" w:cs="Arial"/>
        </w:rPr>
        <w:t>and provide additional</w:t>
      </w:r>
      <w:r w:rsidRPr="00275017">
        <w:rPr>
          <w:rFonts w:ascii="Arial" w:hAnsi="Arial" w:cs="Arial"/>
        </w:rPr>
        <w:t xml:space="preserve"> time to develop detailed and considered regulations, rules and policy. </w:t>
      </w:r>
    </w:p>
    <w:p w:rsidR="00B87615" w:rsidRPr="00275017" w:rsidRDefault="00B87615" w:rsidP="0057257B">
      <w:pPr>
        <w:pStyle w:val="Heading3"/>
        <w:spacing w:before="120" w:after="120" w:line="276" w:lineRule="auto"/>
      </w:pPr>
      <w:r>
        <w:t>Licen</w:t>
      </w:r>
      <w:r w:rsidR="005949A6">
        <w:t>s</w:t>
      </w:r>
      <w:r>
        <w:t>ing approach</w:t>
      </w:r>
    </w:p>
    <w:p w:rsidR="00810822" w:rsidRPr="00275017" w:rsidRDefault="00810822" w:rsidP="0057257B">
      <w:pPr>
        <w:spacing w:before="120" w:after="120" w:line="276" w:lineRule="auto"/>
        <w:rPr>
          <w:rFonts w:ascii="Arial" w:hAnsi="Arial" w:cs="Arial"/>
        </w:rPr>
      </w:pPr>
      <w:r w:rsidRPr="00275017">
        <w:rPr>
          <w:rFonts w:ascii="Arial" w:hAnsi="Arial" w:cs="Arial"/>
        </w:rPr>
        <w:t>Under Option 2, the regulatory framework proposes approvals to allow:</w:t>
      </w:r>
    </w:p>
    <w:p w:rsidR="00810822" w:rsidRPr="00B40D58" w:rsidRDefault="00810822" w:rsidP="002D5AC3">
      <w:pPr>
        <w:pStyle w:val="Bulletlist"/>
        <w:spacing w:line="276" w:lineRule="auto"/>
        <w:ind w:left="714" w:hanging="357"/>
      </w:pPr>
      <w:r w:rsidRPr="00B40D58">
        <w:rPr>
          <w:i/>
        </w:rPr>
        <w:t>commercial licences</w:t>
      </w:r>
      <w:r w:rsidRPr="00B40D58">
        <w:t xml:space="preserve"> for larger scale, generation focused activities such as large scale offshore wind;</w:t>
      </w:r>
    </w:p>
    <w:p w:rsidR="00810822" w:rsidRPr="002D5AC3" w:rsidRDefault="00AF36C0" w:rsidP="002D5AC3">
      <w:pPr>
        <w:pStyle w:val="Bulletlist"/>
        <w:spacing w:line="276" w:lineRule="auto"/>
        <w:ind w:left="714" w:hanging="357"/>
      </w:pPr>
      <w:r w:rsidRPr="00D679E4">
        <w:rPr>
          <w:i/>
        </w:rPr>
        <w:t>research and demonstration</w:t>
      </w:r>
      <w:r w:rsidR="00810822" w:rsidRPr="00D679E4">
        <w:rPr>
          <w:i/>
        </w:rPr>
        <w:t xml:space="preserve"> licences</w:t>
      </w:r>
      <w:r w:rsidR="00810822" w:rsidRPr="002D5AC3">
        <w:t xml:space="preserve"> </w:t>
      </w:r>
      <w:r w:rsidR="00810822" w:rsidRPr="00B40D58">
        <w:t>for site testing and early stage technology assessment; and</w:t>
      </w:r>
    </w:p>
    <w:p w:rsidR="00810822" w:rsidRPr="002D5AC3" w:rsidRDefault="00810822" w:rsidP="002D5AC3">
      <w:pPr>
        <w:pStyle w:val="Bulletlist"/>
        <w:spacing w:line="276" w:lineRule="auto"/>
        <w:ind w:left="714" w:hanging="357"/>
      </w:pPr>
      <w:r w:rsidRPr="00B40D58">
        <w:rPr>
          <w:i/>
        </w:rPr>
        <w:t xml:space="preserve">transmission and other infrastructure </w:t>
      </w:r>
      <w:r w:rsidRPr="002D5AC3">
        <w:rPr>
          <w:i/>
        </w:rPr>
        <w:t>licences</w:t>
      </w:r>
      <w:r w:rsidRPr="00B40D58">
        <w:t xml:space="preserve"> for offshore generation and shore-to-shore transmission as well as infrastructure used for transmission.</w:t>
      </w:r>
    </w:p>
    <w:p w:rsidR="00810822" w:rsidRDefault="00810822" w:rsidP="0057257B">
      <w:pPr>
        <w:spacing w:before="120" w:after="120" w:line="276" w:lineRule="auto"/>
        <w:rPr>
          <w:rFonts w:ascii="Arial" w:hAnsi="Arial" w:cs="Arial"/>
        </w:rPr>
      </w:pPr>
      <w:r w:rsidRPr="00275017">
        <w:rPr>
          <w:rFonts w:ascii="Arial" w:hAnsi="Arial" w:cs="Arial"/>
        </w:rPr>
        <w:t xml:space="preserve">Before allowing any of the proposed licences to be offered, </w:t>
      </w:r>
      <w:r w:rsidR="00177F1E">
        <w:rPr>
          <w:rFonts w:ascii="Arial" w:hAnsi="Arial" w:cs="Arial"/>
        </w:rPr>
        <w:t>it is proposed the</w:t>
      </w:r>
      <w:r w:rsidR="00177F1E" w:rsidRPr="00275017">
        <w:rPr>
          <w:rFonts w:ascii="Arial" w:hAnsi="Arial" w:cs="Arial"/>
        </w:rPr>
        <w:t xml:space="preserve"> </w:t>
      </w:r>
      <w:r w:rsidRPr="00275017">
        <w:rPr>
          <w:rFonts w:ascii="Arial" w:hAnsi="Arial" w:cs="Arial"/>
        </w:rPr>
        <w:t>Minister</w:t>
      </w:r>
      <w:r w:rsidR="00A0003C">
        <w:rPr>
          <w:rFonts w:ascii="Arial" w:hAnsi="Arial" w:cs="Arial"/>
        </w:rPr>
        <w:t xml:space="preserve"> for Energy</w:t>
      </w:r>
      <w:r w:rsidRPr="00275017">
        <w:rPr>
          <w:rFonts w:ascii="Arial" w:hAnsi="Arial" w:cs="Arial"/>
        </w:rPr>
        <w:t xml:space="preserve"> </w:t>
      </w:r>
      <w:r w:rsidR="0066069C">
        <w:rPr>
          <w:rFonts w:ascii="Arial" w:hAnsi="Arial" w:cs="Arial"/>
        </w:rPr>
        <w:t xml:space="preserve">would </w:t>
      </w:r>
      <w:r w:rsidR="00177F1E">
        <w:rPr>
          <w:rFonts w:ascii="Arial" w:hAnsi="Arial" w:cs="Arial"/>
        </w:rPr>
        <w:t>be</w:t>
      </w:r>
      <w:r w:rsidR="00177F1E" w:rsidRPr="00275017">
        <w:rPr>
          <w:rFonts w:ascii="Arial" w:hAnsi="Arial" w:cs="Arial"/>
        </w:rPr>
        <w:t xml:space="preserve"> </w:t>
      </w:r>
      <w:r w:rsidRPr="00275017">
        <w:rPr>
          <w:rFonts w:ascii="Arial" w:hAnsi="Arial" w:cs="Arial"/>
        </w:rPr>
        <w:t xml:space="preserve">required to consult over an area that may be potentially </w:t>
      </w:r>
      <w:r w:rsidR="00B40D58">
        <w:rPr>
          <w:rFonts w:ascii="Arial" w:hAnsi="Arial" w:cs="Arial"/>
        </w:rPr>
        <w:t xml:space="preserve">“declared” </w:t>
      </w:r>
      <w:r w:rsidRPr="00275017">
        <w:rPr>
          <w:rFonts w:ascii="Arial" w:hAnsi="Arial" w:cs="Arial"/>
        </w:rPr>
        <w:t xml:space="preserve">suitable for offshore </w:t>
      </w:r>
      <w:r w:rsidR="00E059ED">
        <w:rPr>
          <w:rFonts w:ascii="Arial" w:hAnsi="Arial" w:cs="Arial"/>
        </w:rPr>
        <w:t>electricity</w:t>
      </w:r>
      <w:r w:rsidRPr="00275017">
        <w:rPr>
          <w:rFonts w:ascii="Arial" w:hAnsi="Arial" w:cs="Arial"/>
        </w:rPr>
        <w:t xml:space="preserve"> infrastructure development. This is designed to identify and </w:t>
      </w:r>
      <w:r w:rsidR="00177F1E">
        <w:rPr>
          <w:rFonts w:ascii="Arial" w:hAnsi="Arial" w:cs="Arial"/>
        </w:rPr>
        <w:t>mitigate</w:t>
      </w:r>
      <w:r w:rsidR="00177F1E" w:rsidRPr="00275017">
        <w:rPr>
          <w:rFonts w:ascii="Arial" w:hAnsi="Arial" w:cs="Arial"/>
        </w:rPr>
        <w:t xml:space="preserve"> </w:t>
      </w:r>
      <w:r w:rsidRPr="00275017">
        <w:rPr>
          <w:rFonts w:ascii="Arial" w:hAnsi="Arial" w:cs="Arial"/>
        </w:rPr>
        <w:t>potential conflicts in competing interests, and set conditions before a</w:t>
      </w:r>
      <w:r w:rsidR="008F12F3" w:rsidRPr="00275017">
        <w:rPr>
          <w:rFonts w:ascii="Arial" w:hAnsi="Arial" w:cs="Arial"/>
        </w:rPr>
        <w:t>ny</w:t>
      </w:r>
      <w:r w:rsidRPr="00275017">
        <w:rPr>
          <w:rFonts w:ascii="Arial" w:hAnsi="Arial" w:cs="Arial"/>
        </w:rPr>
        <w:t xml:space="preserve"> project could progress, such as </w:t>
      </w:r>
      <w:r w:rsidR="00A0003C">
        <w:rPr>
          <w:rFonts w:ascii="Arial" w:hAnsi="Arial" w:cs="Arial"/>
        </w:rPr>
        <w:t>identifying</w:t>
      </w:r>
      <w:r w:rsidRPr="00275017">
        <w:rPr>
          <w:rFonts w:ascii="Arial" w:hAnsi="Arial" w:cs="Arial"/>
        </w:rPr>
        <w:t xml:space="preserve"> stakeholders and consultation requirements, constraints on types of activities, </w:t>
      </w:r>
      <w:r w:rsidR="00A6049E">
        <w:rPr>
          <w:rFonts w:ascii="Arial" w:hAnsi="Arial" w:cs="Arial"/>
        </w:rPr>
        <w:t>and</w:t>
      </w:r>
      <w:r w:rsidRPr="00275017">
        <w:rPr>
          <w:rFonts w:ascii="Arial" w:hAnsi="Arial" w:cs="Arial"/>
        </w:rPr>
        <w:t xml:space="preserve"> other conditions the Minister </w:t>
      </w:r>
      <w:r w:rsidR="00A0003C">
        <w:rPr>
          <w:rFonts w:ascii="Arial" w:hAnsi="Arial" w:cs="Arial"/>
        </w:rPr>
        <w:t xml:space="preserve">for Energy </w:t>
      </w:r>
      <w:r w:rsidRPr="00275017">
        <w:rPr>
          <w:rFonts w:ascii="Arial" w:hAnsi="Arial" w:cs="Arial"/>
        </w:rPr>
        <w:t xml:space="preserve">considers appropriate. </w:t>
      </w:r>
      <w:r w:rsidR="00706114">
        <w:rPr>
          <w:rFonts w:ascii="Arial" w:hAnsi="Arial" w:cs="Arial"/>
        </w:rPr>
        <w:t xml:space="preserve">For example, the fishing sector may identify </w:t>
      </w:r>
      <w:r w:rsidR="007068DE">
        <w:rPr>
          <w:rFonts w:ascii="Arial" w:hAnsi="Arial" w:cs="Arial"/>
        </w:rPr>
        <w:t xml:space="preserve">specific </w:t>
      </w:r>
      <w:r w:rsidR="00706114">
        <w:rPr>
          <w:rFonts w:ascii="Arial" w:hAnsi="Arial" w:cs="Arial"/>
        </w:rPr>
        <w:t xml:space="preserve">fishing activities, such as trawl fishing, </w:t>
      </w:r>
      <w:r w:rsidR="007068DE">
        <w:rPr>
          <w:rFonts w:ascii="Arial" w:hAnsi="Arial" w:cs="Arial"/>
        </w:rPr>
        <w:t xml:space="preserve">that </w:t>
      </w:r>
      <w:r w:rsidR="00706114">
        <w:rPr>
          <w:rFonts w:ascii="Arial" w:hAnsi="Arial" w:cs="Arial"/>
        </w:rPr>
        <w:t xml:space="preserve">offshore </w:t>
      </w:r>
      <w:r w:rsidR="00E059ED">
        <w:rPr>
          <w:rFonts w:ascii="Arial" w:hAnsi="Arial" w:cs="Arial"/>
        </w:rPr>
        <w:t>electricity infrastructure</w:t>
      </w:r>
      <w:r w:rsidR="00706114">
        <w:rPr>
          <w:rFonts w:ascii="Arial" w:hAnsi="Arial" w:cs="Arial"/>
        </w:rPr>
        <w:t xml:space="preserve"> developers need to consider in developing a proposal. </w:t>
      </w:r>
    </w:p>
    <w:p w:rsidR="00AE0BF6" w:rsidRPr="00275017" w:rsidRDefault="00AE0BF6" w:rsidP="0057257B">
      <w:pPr>
        <w:spacing w:before="120" w:after="120" w:line="276" w:lineRule="auto"/>
        <w:rPr>
          <w:rFonts w:ascii="Arial" w:hAnsi="Arial" w:cs="Arial"/>
        </w:rPr>
      </w:pPr>
      <w:r>
        <w:rPr>
          <w:rFonts w:ascii="Arial" w:hAnsi="Arial" w:cs="Arial"/>
        </w:rPr>
        <w:t xml:space="preserve">The Minister for Energy </w:t>
      </w:r>
      <w:r w:rsidR="0066069C">
        <w:rPr>
          <w:rFonts w:ascii="Arial" w:hAnsi="Arial" w:cs="Arial"/>
        </w:rPr>
        <w:t xml:space="preserve">would </w:t>
      </w:r>
      <w:r>
        <w:rPr>
          <w:rFonts w:ascii="Arial" w:hAnsi="Arial" w:cs="Arial"/>
        </w:rPr>
        <w:t xml:space="preserve">also engage with other ministers </w:t>
      </w:r>
      <w:r w:rsidR="0066069C">
        <w:rPr>
          <w:rFonts w:ascii="Arial" w:hAnsi="Arial" w:cs="Arial"/>
        </w:rPr>
        <w:t xml:space="preserve">with </w:t>
      </w:r>
      <w:r>
        <w:rPr>
          <w:rFonts w:ascii="Arial" w:hAnsi="Arial" w:cs="Arial"/>
        </w:rPr>
        <w:t xml:space="preserve">relevant policy authority, such as the ministers </w:t>
      </w:r>
      <w:r w:rsidR="00D7096C">
        <w:rPr>
          <w:rFonts w:ascii="Arial" w:hAnsi="Arial" w:cs="Arial"/>
        </w:rPr>
        <w:t>with</w:t>
      </w:r>
      <w:r>
        <w:rPr>
          <w:rFonts w:ascii="Arial" w:hAnsi="Arial" w:cs="Arial"/>
        </w:rPr>
        <w:t xml:space="preserve"> responsibility for the environment, fisheries</w:t>
      </w:r>
      <w:r w:rsidR="00D7096C">
        <w:rPr>
          <w:rFonts w:ascii="Arial" w:hAnsi="Arial" w:cs="Arial"/>
        </w:rPr>
        <w:t xml:space="preserve"> </w:t>
      </w:r>
      <w:r w:rsidR="0038155B">
        <w:rPr>
          <w:rFonts w:ascii="Arial" w:hAnsi="Arial" w:cs="Arial"/>
        </w:rPr>
        <w:t>management</w:t>
      </w:r>
      <w:r>
        <w:rPr>
          <w:rFonts w:ascii="Arial" w:hAnsi="Arial" w:cs="Arial"/>
        </w:rPr>
        <w:t>, resources and infrastructure</w:t>
      </w:r>
      <w:r w:rsidR="00D7096C">
        <w:rPr>
          <w:rFonts w:ascii="Arial" w:hAnsi="Arial" w:cs="Arial"/>
        </w:rPr>
        <w:t xml:space="preserve"> in considering a declaration</w:t>
      </w:r>
      <w:r>
        <w:rPr>
          <w:rFonts w:ascii="Arial" w:hAnsi="Arial" w:cs="Arial"/>
        </w:rPr>
        <w:t xml:space="preserve">.  </w:t>
      </w:r>
    </w:p>
    <w:p w:rsidR="00810822" w:rsidRPr="00275017" w:rsidRDefault="00810822" w:rsidP="0057257B">
      <w:pPr>
        <w:spacing w:before="120" w:after="120" w:line="276" w:lineRule="auto"/>
        <w:rPr>
          <w:rFonts w:ascii="Arial" w:hAnsi="Arial" w:cs="Arial"/>
        </w:rPr>
      </w:pPr>
      <w:r w:rsidRPr="002D5AC3">
        <w:rPr>
          <w:rFonts w:ascii="Arial" w:hAnsi="Arial" w:cs="Arial"/>
        </w:rPr>
        <w:t>Commercial activities</w:t>
      </w:r>
      <w:r w:rsidRPr="00B40D58">
        <w:rPr>
          <w:rFonts w:ascii="Arial" w:hAnsi="Arial" w:cs="Arial"/>
        </w:rPr>
        <w:t xml:space="preserve"> are</w:t>
      </w:r>
      <w:r w:rsidRPr="00275017">
        <w:rPr>
          <w:rFonts w:ascii="Arial" w:hAnsi="Arial" w:cs="Arial"/>
        </w:rPr>
        <w:t xml:space="preserve"> proposed to be subject to a two-step approvals pathway. Firstly, following a competitive process, a </w:t>
      </w:r>
      <w:r w:rsidRPr="00275017">
        <w:rPr>
          <w:rFonts w:ascii="Arial" w:hAnsi="Arial" w:cs="Arial"/>
          <w:i/>
          <w:iCs/>
        </w:rPr>
        <w:t>Feasibility Licence</w:t>
      </w:r>
      <w:r w:rsidRPr="00275017">
        <w:rPr>
          <w:rFonts w:ascii="Arial" w:hAnsi="Arial" w:cs="Arial"/>
        </w:rPr>
        <w:t xml:space="preserve"> </w:t>
      </w:r>
      <w:r w:rsidR="00177F1E">
        <w:rPr>
          <w:rFonts w:ascii="Arial" w:hAnsi="Arial" w:cs="Arial"/>
        </w:rPr>
        <w:t xml:space="preserve">would be </w:t>
      </w:r>
      <w:r w:rsidRPr="00275017">
        <w:rPr>
          <w:rFonts w:ascii="Arial" w:hAnsi="Arial" w:cs="Arial"/>
        </w:rPr>
        <w:t xml:space="preserve">awarded over some or all of a declared area </w:t>
      </w:r>
      <w:r w:rsidR="00177F1E">
        <w:rPr>
          <w:rFonts w:ascii="Arial" w:hAnsi="Arial" w:cs="Arial"/>
        </w:rPr>
        <w:t>to provide</w:t>
      </w:r>
      <w:r w:rsidR="00C84412">
        <w:rPr>
          <w:rFonts w:ascii="Arial" w:hAnsi="Arial" w:cs="Arial"/>
        </w:rPr>
        <w:t xml:space="preserve"> the</w:t>
      </w:r>
      <w:r w:rsidRPr="00275017">
        <w:rPr>
          <w:rFonts w:ascii="Arial" w:hAnsi="Arial" w:cs="Arial"/>
        </w:rPr>
        <w:t xml:space="preserve"> developer </w:t>
      </w:r>
      <w:r w:rsidR="00C84412">
        <w:rPr>
          <w:rFonts w:ascii="Arial" w:hAnsi="Arial" w:cs="Arial"/>
        </w:rPr>
        <w:t>an</w:t>
      </w:r>
      <w:r w:rsidR="00C84412" w:rsidRPr="00275017">
        <w:rPr>
          <w:rFonts w:ascii="Arial" w:hAnsi="Arial" w:cs="Arial"/>
        </w:rPr>
        <w:t xml:space="preserve"> </w:t>
      </w:r>
      <w:r w:rsidRPr="00275017">
        <w:rPr>
          <w:rFonts w:ascii="Arial" w:hAnsi="Arial" w:cs="Arial"/>
        </w:rPr>
        <w:t xml:space="preserve">exclusive </w:t>
      </w:r>
      <w:r w:rsidR="0071376F">
        <w:rPr>
          <w:rFonts w:ascii="Arial" w:hAnsi="Arial" w:cs="Arial"/>
        </w:rPr>
        <w:t>opportunity</w:t>
      </w:r>
      <w:r w:rsidRPr="00275017">
        <w:rPr>
          <w:rFonts w:ascii="Arial" w:hAnsi="Arial" w:cs="Arial"/>
        </w:rPr>
        <w:t xml:space="preserve"> to seek a Commercial Licence over the </w:t>
      </w:r>
      <w:r w:rsidR="00B40D58">
        <w:rPr>
          <w:rFonts w:ascii="Arial" w:hAnsi="Arial" w:cs="Arial"/>
        </w:rPr>
        <w:t>l</w:t>
      </w:r>
      <w:r w:rsidRPr="00275017">
        <w:rPr>
          <w:rFonts w:ascii="Arial" w:hAnsi="Arial" w:cs="Arial"/>
        </w:rPr>
        <w:t xml:space="preserve">icence area, subject to any conditions and requirements. The Feasibility Licence provides the proponent a period of up to </w:t>
      </w:r>
      <w:r w:rsidR="002540D2">
        <w:rPr>
          <w:rFonts w:ascii="Arial" w:hAnsi="Arial" w:cs="Arial"/>
        </w:rPr>
        <w:t>seven</w:t>
      </w:r>
      <w:r w:rsidRPr="00275017">
        <w:rPr>
          <w:rFonts w:ascii="Arial" w:hAnsi="Arial" w:cs="Arial"/>
        </w:rPr>
        <w:t xml:space="preserve"> years to demonstrate their ability to manage safety and environmental risks and impacts, and to ensure that the interests of other users of the area are </w:t>
      </w:r>
      <w:r w:rsidR="00C84412">
        <w:rPr>
          <w:rFonts w:ascii="Arial" w:hAnsi="Arial" w:cs="Arial"/>
        </w:rPr>
        <w:t>taken into account</w:t>
      </w:r>
      <w:r w:rsidRPr="00275017">
        <w:rPr>
          <w:rFonts w:ascii="Arial" w:hAnsi="Arial" w:cs="Arial"/>
        </w:rPr>
        <w:t>. </w:t>
      </w:r>
    </w:p>
    <w:p w:rsidR="00810822" w:rsidRPr="00275017" w:rsidRDefault="00810822" w:rsidP="0057257B">
      <w:pPr>
        <w:spacing w:before="120" w:after="120" w:line="276" w:lineRule="auto"/>
        <w:rPr>
          <w:rFonts w:ascii="Arial" w:hAnsi="Arial" w:cs="Arial"/>
        </w:rPr>
      </w:pPr>
      <w:r w:rsidRPr="00275017">
        <w:rPr>
          <w:rFonts w:ascii="Arial" w:hAnsi="Arial" w:cs="Arial"/>
        </w:rPr>
        <w:t xml:space="preserve">During this period a developer </w:t>
      </w:r>
      <w:r w:rsidR="0066069C">
        <w:rPr>
          <w:rFonts w:ascii="Arial" w:hAnsi="Arial" w:cs="Arial"/>
        </w:rPr>
        <w:t>would</w:t>
      </w:r>
      <w:r w:rsidR="0066069C" w:rsidRPr="00275017">
        <w:rPr>
          <w:rFonts w:ascii="Arial" w:hAnsi="Arial" w:cs="Arial"/>
        </w:rPr>
        <w:t xml:space="preserve"> </w:t>
      </w:r>
      <w:r w:rsidRPr="00275017">
        <w:rPr>
          <w:rFonts w:ascii="Arial" w:hAnsi="Arial" w:cs="Arial"/>
        </w:rPr>
        <w:t xml:space="preserve">be required to complete exploration activities, finalise project design, and undertake detailed consultation with other users and regulators. Where appropriate, developers </w:t>
      </w:r>
      <w:r w:rsidR="0066069C">
        <w:rPr>
          <w:rFonts w:ascii="Arial" w:hAnsi="Arial" w:cs="Arial"/>
        </w:rPr>
        <w:t>would</w:t>
      </w:r>
      <w:r w:rsidR="0066069C" w:rsidRPr="00275017">
        <w:rPr>
          <w:rFonts w:ascii="Arial" w:hAnsi="Arial" w:cs="Arial"/>
        </w:rPr>
        <w:t xml:space="preserve"> </w:t>
      </w:r>
      <w:r w:rsidRPr="00275017">
        <w:rPr>
          <w:rFonts w:ascii="Arial" w:hAnsi="Arial" w:cs="Arial"/>
        </w:rPr>
        <w:t xml:space="preserve">reach agreement in relation to plans for interaction with the environment and other users </w:t>
      </w:r>
      <w:r w:rsidR="00D7096C">
        <w:rPr>
          <w:rFonts w:ascii="Arial" w:hAnsi="Arial" w:cs="Arial"/>
        </w:rPr>
        <w:t>in</w:t>
      </w:r>
      <w:r w:rsidR="00D7096C" w:rsidRPr="00275017">
        <w:rPr>
          <w:rFonts w:ascii="Arial" w:hAnsi="Arial" w:cs="Arial"/>
        </w:rPr>
        <w:t xml:space="preserve"> </w:t>
      </w:r>
      <w:r w:rsidRPr="00275017">
        <w:rPr>
          <w:rFonts w:ascii="Arial" w:hAnsi="Arial" w:cs="Arial"/>
        </w:rPr>
        <w:t xml:space="preserve">managing the </w:t>
      </w:r>
      <w:r w:rsidR="00D7096C">
        <w:rPr>
          <w:rFonts w:ascii="Arial" w:hAnsi="Arial" w:cs="Arial"/>
        </w:rPr>
        <w:t xml:space="preserve">potential </w:t>
      </w:r>
      <w:r w:rsidRPr="00275017">
        <w:rPr>
          <w:rFonts w:ascii="Arial" w:hAnsi="Arial" w:cs="Arial"/>
        </w:rPr>
        <w:t>impacts</w:t>
      </w:r>
      <w:r w:rsidR="00D7096C">
        <w:rPr>
          <w:rFonts w:ascii="Arial" w:hAnsi="Arial" w:cs="Arial"/>
        </w:rPr>
        <w:t xml:space="preserve"> of offshore </w:t>
      </w:r>
      <w:r w:rsidR="00E059ED">
        <w:rPr>
          <w:rFonts w:ascii="Arial" w:hAnsi="Arial" w:cs="Arial"/>
        </w:rPr>
        <w:t xml:space="preserve">electricity </w:t>
      </w:r>
      <w:r w:rsidR="00D7096C">
        <w:rPr>
          <w:rFonts w:ascii="Arial" w:hAnsi="Arial" w:cs="Arial"/>
        </w:rPr>
        <w:t xml:space="preserve">infrastructure. </w:t>
      </w:r>
    </w:p>
    <w:p w:rsidR="00810822" w:rsidRPr="00275017" w:rsidRDefault="00810822" w:rsidP="0057257B">
      <w:pPr>
        <w:spacing w:before="120" w:after="120" w:line="276" w:lineRule="auto"/>
        <w:rPr>
          <w:rFonts w:ascii="Arial" w:hAnsi="Arial" w:cs="Arial"/>
        </w:rPr>
      </w:pPr>
      <w:r w:rsidRPr="00275017">
        <w:rPr>
          <w:rFonts w:ascii="Arial" w:hAnsi="Arial" w:cs="Arial"/>
        </w:rPr>
        <w:t>If the Minister</w:t>
      </w:r>
      <w:r w:rsidR="00B40D58">
        <w:rPr>
          <w:rFonts w:ascii="Arial" w:hAnsi="Arial" w:cs="Arial"/>
        </w:rPr>
        <w:t xml:space="preserve"> for Energy</w:t>
      </w:r>
      <w:r w:rsidRPr="00275017">
        <w:rPr>
          <w:rFonts w:ascii="Arial" w:hAnsi="Arial" w:cs="Arial"/>
        </w:rPr>
        <w:t xml:space="preserve"> is satisfied that all conditions and requirements have been met – including the requirement to have a </w:t>
      </w:r>
      <w:r w:rsidR="00B40D58">
        <w:rPr>
          <w:rFonts w:ascii="Arial" w:hAnsi="Arial" w:cs="Arial"/>
        </w:rPr>
        <w:t>p</w:t>
      </w:r>
      <w:r w:rsidRPr="00275017">
        <w:rPr>
          <w:rFonts w:ascii="Arial" w:hAnsi="Arial" w:cs="Arial"/>
        </w:rPr>
        <w:t>lan</w:t>
      </w:r>
      <w:r w:rsidR="00B40D58">
        <w:rPr>
          <w:rFonts w:ascii="Arial" w:hAnsi="Arial" w:cs="Arial"/>
        </w:rPr>
        <w:t xml:space="preserve"> to manage risks</w:t>
      </w:r>
      <w:r w:rsidRPr="00275017">
        <w:rPr>
          <w:rFonts w:ascii="Arial" w:hAnsi="Arial" w:cs="Arial"/>
        </w:rPr>
        <w:t xml:space="preserve"> accepted by the regulator – the proponent can apply for a Commercial Licence.</w:t>
      </w:r>
    </w:p>
    <w:p w:rsidR="00810822" w:rsidRPr="00BC653D" w:rsidRDefault="00810822" w:rsidP="0057257B">
      <w:pPr>
        <w:spacing w:before="120" w:after="120" w:line="276" w:lineRule="auto"/>
        <w:rPr>
          <w:rFonts w:ascii="Arial" w:hAnsi="Arial" w:cs="Arial"/>
        </w:rPr>
      </w:pPr>
      <w:r w:rsidRPr="00275017">
        <w:rPr>
          <w:rFonts w:ascii="Arial" w:hAnsi="Arial" w:cs="Arial"/>
        </w:rPr>
        <w:t xml:space="preserve">A </w:t>
      </w:r>
      <w:r w:rsidRPr="00275017">
        <w:rPr>
          <w:rFonts w:ascii="Arial" w:hAnsi="Arial" w:cs="Arial"/>
          <w:i/>
          <w:iCs/>
        </w:rPr>
        <w:t>Commercial Licence</w:t>
      </w:r>
      <w:r w:rsidRPr="00275017">
        <w:rPr>
          <w:rFonts w:ascii="Arial" w:hAnsi="Arial" w:cs="Arial"/>
        </w:rPr>
        <w:t xml:space="preserve"> </w:t>
      </w:r>
      <w:r w:rsidR="008D4D0D">
        <w:rPr>
          <w:rFonts w:ascii="Arial" w:hAnsi="Arial" w:cs="Arial"/>
        </w:rPr>
        <w:t>would</w:t>
      </w:r>
      <w:r w:rsidR="008D4D0D" w:rsidRPr="00275017">
        <w:rPr>
          <w:rFonts w:ascii="Arial" w:hAnsi="Arial" w:cs="Arial"/>
        </w:rPr>
        <w:t xml:space="preserve"> </w:t>
      </w:r>
      <w:r w:rsidRPr="00275017">
        <w:rPr>
          <w:rFonts w:ascii="Arial" w:hAnsi="Arial" w:cs="Arial"/>
        </w:rPr>
        <w:t xml:space="preserve">provide rights to undertake a commercial offshore </w:t>
      </w:r>
      <w:r w:rsidR="00E059ED">
        <w:rPr>
          <w:rFonts w:ascii="Arial" w:hAnsi="Arial" w:cs="Arial"/>
        </w:rPr>
        <w:t>electricity</w:t>
      </w:r>
      <w:r w:rsidRPr="00275017">
        <w:rPr>
          <w:rFonts w:ascii="Arial" w:hAnsi="Arial" w:cs="Arial"/>
        </w:rPr>
        <w:t xml:space="preserve"> activity for an initial term of up to </w:t>
      </w:r>
      <w:r w:rsidR="00CD5DA2" w:rsidRPr="00275017">
        <w:rPr>
          <w:rFonts w:ascii="Arial" w:hAnsi="Arial" w:cs="Arial"/>
        </w:rPr>
        <w:t>4</w:t>
      </w:r>
      <w:r w:rsidRPr="00275017">
        <w:rPr>
          <w:rFonts w:ascii="Arial" w:hAnsi="Arial" w:cs="Arial"/>
        </w:rPr>
        <w:t>0 years</w:t>
      </w:r>
      <w:r w:rsidR="007C7015">
        <w:rPr>
          <w:rFonts w:ascii="Arial" w:hAnsi="Arial" w:cs="Arial"/>
        </w:rPr>
        <w:t xml:space="preserve"> and possible renewal for a further 4</w:t>
      </w:r>
      <w:r w:rsidR="00B40D58">
        <w:rPr>
          <w:rFonts w:ascii="Arial" w:hAnsi="Arial" w:cs="Arial"/>
        </w:rPr>
        <w:t>0 </w:t>
      </w:r>
      <w:r w:rsidR="007C7015">
        <w:rPr>
          <w:rFonts w:ascii="Arial" w:hAnsi="Arial" w:cs="Arial"/>
        </w:rPr>
        <w:t>years</w:t>
      </w:r>
      <w:r w:rsidRPr="00275017">
        <w:rPr>
          <w:rFonts w:ascii="Arial" w:hAnsi="Arial" w:cs="Arial"/>
        </w:rPr>
        <w:t xml:space="preserve">. </w:t>
      </w:r>
      <w:r w:rsidRPr="00BC653D">
        <w:rPr>
          <w:rFonts w:ascii="Arial" w:hAnsi="Arial" w:cs="Arial"/>
        </w:rPr>
        <w:t>The Commercial Licence entitles the holder to apply to the regulator to (a)</w:t>
      </w:r>
      <w:r w:rsidR="00B40D58">
        <w:rPr>
          <w:rFonts w:ascii="Arial" w:hAnsi="Arial" w:cs="Arial"/>
        </w:rPr>
        <w:t> </w:t>
      </w:r>
      <w:r w:rsidRPr="00BC653D">
        <w:rPr>
          <w:rFonts w:ascii="Arial" w:hAnsi="Arial" w:cs="Arial"/>
        </w:rPr>
        <w:t>construct, test and commission, (b) operate, and (c) decommission the project. </w:t>
      </w:r>
      <w:r w:rsidR="001A7234">
        <w:rPr>
          <w:rFonts w:ascii="Arial" w:hAnsi="Arial" w:cs="Arial"/>
        </w:rPr>
        <w:t>Reco</w:t>
      </w:r>
      <w:r w:rsidR="00276591">
        <w:rPr>
          <w:rFonts w:ascii="Arial" w:hAnsi="Arial" w:cs="Arial"/>
        </w:rPr>
        <w:t>g</w:t>
      </w:r>
      <w:r w:rsidR="001A7234">
        <w:rPr>
          <w:rFonts w:ascii="Arial" w:hAnsi="Arial" w:cs="Arial"/>
        </w:rPr>
        <w:t xml:space="preserve">nising </w:t>
      </w:r>
      <w:r w:rsidR="00545515">
        <w:rPr>
          <w:rFonts w:ascii="Arial" w:hAnsi="Arial" w:cs="Arial"/>
        </w:rPr>
        <w:t xml:space="preserve">both international best practice for offshore </w:t>
      </w:r>
      <w:r w:rsidR="00E059ED">
        <w:rPr>
          <w:rFonts w:ascii="Arial" w:hAnsi="Arial" w:cs="Arial"/>
        </w:rPr>
        <w:t>electricity</w:t>
      </w:r>
      <w:r w:rsidR="00545515">
        <w:rPr>
          <w:rFonts w:ascii="Arial" w:hAnsi="Arial" w:cs="Arial"/>
        </w:rPr>
        <w:t xml:space="preserve"> infrastructure and lessons </w:t>
      </w:r>
      <w:r w:rsidR="001A7234">
        <w:rPr>
          <w:rFonts w:ascii="Arial" w:hAnsi="Arial" w:cs="Arial"/>
        </w:rPr>
        <w:t>from the North</w:t>
      </w:r>
      <w:r w:rsidR="00545515">
        <w:rPr>
          <w:rFonts w:ascii="Arial" w:hAnsi="Arial" w:cs="Arial"/>
        </w:rPr>
        <w:t>ern</w:t>
      </w:r>
      <w:r w:rsidR="001A7234">
        <w:rPr>
          <w:rFonts w:ascii="Arial" w:hAnsi="Arial" w:cs="Arial"/>
        </w:rPr>
        <w:t xml:space="preserve"> Endeavo</w:t>
      </w:r>
      <w:r w:rsidR="00A65480">
        <w:rPr>
          <w:rFonts w:ascii="Arial" w:hAnsi="Arial" w:cs="Arial"/>
        </w:rPr>
        <w:t>u</w:t>
      </w:r>
      <w:r w:rsidR="001A7234">
        <w:rPr>
          <w:rFonts w:ascii="Arial" w:hAnsi="Arial" w:cs="Arial"/>
        </w:rPr>
        <w:t xml:space="preserve">r </w:t>
      </w:r>
      <w:r w:rsidR="001A7234" w:rsidRPr="001A7234">
        <w:rPr>
          <w:rFonts w:ascii="Arial" w:hAnsi="Arial" w:cs="Arial"/>
        </w:rPr>
        <w:t>floating production storage and offtake facility</w:t>
      </w:r>
      <w:r w:rsidR="001A7234">
        <w:rPr>
          <w:rFonts w:ascii="Arial" w:hAnsi="Arial" w:cs="Arial"/>
        </w:rPr>
        <w:t xml:space="preserve">, the approval of a decommissioning management plan </w:t>
      </w:r>
      <w:r w:rsidR="008D4D0D">
        <w:rPr>
          <w:rFonts w:ascii="Arial" w:hAnsi="Arial" w:cs="Arial"/>
        </w:rPr>
        <w:t>would</w:t>
      </w:r>
      <w:r w:rsidR="001A7234">
        <w:rPr>
          <w:rFonts w:ascii="Arial" w:hAnsi="Arial" w:cs="Arial"/>
        </w:rPr>
        <w:t xml:space="preserve"> be a critical element of project approval. </w:t>
      </w:r>
    </w:p>
    <w:p w:rsidR="00810822" w:rsidRPr="00275017" w:rsidRDefault="002F7A0F" w:rsidP="0057257B">
      <w:pPr>
        <w:spacing w:before="120" w:after="120" w:line="276" w:lineRule="auto"/>
        <w:rPr>
          <w:rFonts w:ascii="Arial" w:hAnsi="Arial" w:cs="Arial"/>
        </w:rPr>
      </w:pPr>
      <w:r w:rsidRPr="00BC653D">
        <w:rPr>
          <w:rFonts w:ascii="Arial" w:hAnsi="Arial" w:cs="Arial"/>
          <w:i/>
        </w:rPr>
        <w:t>Research and Demonstration Licences</w:t>
      </w:r>
      <w:r w:rsidR="00810822" w:rsidRPr="00BC653D">
        <w:rPr>
          <w:rFonts w:ascii="Arial" w:hAnsi="Arial" w:cs="Arial"/>
        </w:rPr>
        <w:t xml:space="preserve"> </w:t>
      </w:r>
      <w:r w:rsidR="008D4D0D">
        <w:rPr>
          <w:rFonts w:ascii="Arial" w:eastAsia="Calibri" w:hAnsi="Arial" w:cs="Arial"/>
        </w:rPr>
        <w:t>would</w:t>
      </w:r>
      <w:r w:rsidR="008D4D0D" w:rsidRPr="00BC653D">
        <w:rPr>
          <w:rFonts w:ascii="Arial" w:eastAsia="Calibri" w:hAnsi="Arial" w:cs="Arial"/>
        </w:rPr>
        <w:t xml:space="preserve"> </w:t>
      </w:r>
      <w:r w:rsidR="00810822" w:rsidRPr="00BC653D">
        <w:rPr>
          <w:rFonts w:ascii="Arial" w:eastAsia="Calibri" w:hAnsi="Arial" w:cs="Arial"/>
        </w:rPr>
        <w:t>provide</w:t>
      </w:r>
      <w:r w:rsidR="00810822" w:rsidRPr="00275017">
        <w:rPr>
          <w:rFonts w:ascii="Arial" w:eastAsia="Calibri" w:hAnsi="Arial" w:cs="Arial"/>
        </w:rPr>
        <w:t xml:space="preserve"> a lower-cost pathway to support pre-commercial seismic exploration or genuinely innovative offshore </w:t>
      </w:r>
      <w:r w:rsidR="00555D93">
        <w:rPr>
          <w:rFonts w:ascii="Arial" w:eastAsia="Calibri" w:hAnsi="Arial" w:cs="Arial"/>
        </w:rPr>
        <w:t>electricity</w:t>
      </w:r>
      <w:r w:rsidR="00810822" w:rsidRPr="00275017">
        <w:rPr>
          <w:rFonts w:ascii="Arial" w:eastAsia="Calibri" w:hAnsi="Arial" w:cs="Arial"/>
        </w:rPr>
        <w:t xml:space="preserve"> demonstration projects (such as wave or tidal projects)</w:t>
      </w:r>
      <w:r w:rsidR="00B40D58">
        <w:rPr>
          <w:rFonts w:ascii="Arial" w:eastAsia="Calibri" w:hAnsi="Arial" w:cs="Arial"/>
        </w:rPr>
        <w:t>. This is</w:t>
      </w:r>
      <w:r w:rsidR="00810822" w:rsidRPr="00275017">
        <w:rPr>
          <w:rFonts w:ascii="Arial" w:eastAsia="Calibri" w:hAnsi="Arial" w:cs="Arial"/>
        </w:rPr>
        <w:t xml:space="preserve"> to ensure that these activities are regulated for safety and environmental matters, and appropriately decommissioned once they cease. The term of a </w:t>
      </w:r>
      <w:r w:rsidRPr="00275017">
        <w:rPr>
          <w:rFonts w:ascii="Arial" w:eastAsia="Calibri" w:hAnsi="Arial" w:cs="Arial"/>
        </w:rPr>
        <w:t>Research and Demonstration</w:t>
      </w:r>
      <w:r w:rsidR="00810822" w:rsidRPr="00275017">
        <w:rPr>
          <w:rFonts w:ascii="Arial" w:eastAsia="Calibri" w:hAnsi="Arial" w:cs="Arial"/>
        </w:rPr>
        <w:t xml:space="preserve"> Licence is limited to 10 years and does not lead to a Commercial Licence.  </w:t>
      </w:r>
    </w:p>
    <w:p w:rsidR="00810822" w:rsidRDefault="00810822" w:rsidP="00EC1F4D">
      <w:pPr>
        <w:spacing w:before="120" w:after="120" w:line="276" w:lineRule="auto"/>
        <w:rPr>
          <w:rFonts w:ascii="Arial" w:eastAsia="Calibri" w:hAnsi="Arial" w:cs="Arial"/>
        </w:rPr>
      </w:pPr>
      <w:r w:rsidRPr="00275017">
        <w:rPr>
          <w:rFonts w:ascii="Arial" w:hAnsi="Arial" w:cs="Arial"/>
        </w:rPr>
        <w:t xml:space="preserve">A non-exclusive </w:t>
      </w:r>
      <w:r w:rsidRPr="00275017">
        <w:rPr>
          <w:rStyle w:val="Emphasis"/>
          <w:rFonts w:ascii="Arial" w:hAnsi="Arial" w:cs="Arial"/>
        </w:rPr>
        <w:t xml:space="preserve">Transmission and Infrastructure </w:t>
      </w:r>
      <w:r w:rsidR="002F7A0F" w:rsidRPr="00275017">
        <w:rPr>
          <w:rStyle w:val="Emphasis"/>
          <w:rFonts w:ascii="Arial" w:hAnsi="Arial" w:cs="Arial"/>
        </w:rPr>
        <w:t>Licence</w:t>
      </w:r>
      <w:r w:rsidRPr="00275017">
        <w:rPr>
          <w:rFonts w:ascii="Arial" w:eastAsia="Calibri" w:hAnsi="Arial" w:cs="Arial"/>
        </w:rPr>
        <w:t xml:space="preserve"> for construction and operation of transmission or other infrastructure (e.g. offshore </w:t>
      </w:r>
      <w:r w:rsidR="008B3B0C">
        <w:rPr>
          <w:rFonts w:ascii="Arial" w:eastAsia="Calibri" w:hAnsi="Arial" w:cs="Arial"/>
        </w:rPr>
        <w:t>electricity</w:t>
      </w:r>
      <w:r w:rsidR="008B3B0C" w:rsidRPr="00275017">
        <w:rPr>
          <w:rFonts w:ascii="Arial" w:eastAsia="Calibri" w:hAnsi="Arial" w:cs="Arial"/>
        </w:rPr>
        <w:t xml:space="preserve"> </w:t>
      </w:r>
      <w:r w:rsidRPr="00275017">
        <w:rPr>
          <w:rFonts w:ascii="Arial" w:eastAsia="Calibri" w:hAnsi="Arial" w:cs="Arial"/>
        </w:rPr>
        <w:t xml:space="preserve">sub-stations) is proposed. The </w:t>
      </w:r>
      <w:r w:rsidR="002F7A0F" w:rsidRPr="00275017">
        <w:rPr>
          <w:rFonts w:ascii="Arial" w:eastAsia="Calibri" w:hAnsi="Arial" w:cs="Arial"/>
        </w:rPr>
        <w:t>licence</w:t>
      </w:r>
      <w:r w:rsidRPr="00275017">
        <w:rPr>
          <w:rFonts w:ascii="Arial" w:eastAsia="Calibri" w:hAnsi="Arial" w:cs="Arial"/>
        </w:rPr>
        <w:t xml:space="preserve"> </w:t>
      </w:r>
      <w:r w:rsidR="008D4D0D">
        <w:rPr>
          <w:rFonts w:ascii="Arial" w:eastAsia="Calibri" w:hAnsi="Arial" w:cs="Arial"/>
        </w:rPr>
        <w:t>would</w:t>
      </w:r>
      <w:r w:rsidR="008D4D0D" w:rsidRPr="00275017">
        <w:rPr>
          <w:rFonts w:ascii="Arial" w:eastAsia="Calibri" w:hAnsi="Arial" w:cs="Arial"/>
        </w:rPr>
        <w:t xml:space="preserve"> </w:t>
      </w:r>
      <w:r w:rsidRPr="00275017">
        <w:rPr>
          <w:rFonts w:ascii="Arial" w:eastAsia="Calibri" w:hAnsi="Arial" w:cs="Arial"/>
        </w:rPr>
        <w:t xml:space="preserve">typically </w:t>
      </w:r>
      <w:r w:rsidR="002F7A0F" w:rsidRPr="00275017">
        <w:rPr>
          <w:rFonts w:ascii="Arial" w:eastAsia="Calibri" w:hAnsi="Arial" w:cs="Arial"/>
        </w:rPr>
        <w:t xml:space="preserve">be </w:t>
      </w:r>
      <w:r w:rsidRPr="00275017">
        <w:rPr>
          <w:rFonts w:ascii="Arial" w:eastAsia="Calibri" w:hAnsi="Arial" w:cs="Arial"/>
        </w:rPr>
        <w:t>granted in conjunction with commercial or</w:t>
      </w:r>
      <w:r w:rsidR="001B1517">
        <w:rPr>
          <w:rFonts w:ascii="Arial" w:eastAsia="Calibri" w:hAnsi="Arial" w:cs="Arial"/>
        </w:rPr>
        <w:t xml:space="preserve"> research and development licences</w:t>
      </w:r>
      <w:r w:rsidRPr="00275017">
        <w:rPr>
          <w:rFonts w:ascii="Arial" w:eastAsia="Calibri" w:hAnsi="Arial" w:cs="Arial"/>
        </w:rPr>
        <w:t xml:space="preserve">. The Minister </w:t>
      </w:r>
      <w:r w:rsidR="00B40D58">
        <w:rPr>
          <w:rFonts w:ascii="Arial" w:eastAsia="Calibri" w:hAnsi="Arial" w:cs="Arial"/>
        </w:rPr>
        <w:t xml:space="preserve">for Energy </w:t>
      </w:r>
      <w:r w:rsidR="008D4D0D">
        <w:rPr>
          <w:rFonts w:ascii="Arial" w:eastAsia="Calibri" w:hAnsi="Arial" w:cs="Arial"/>
        </w:rPr>
        <w:t>would</w:t>
      </w:r>
      <w:r w:rsidR="008D4D0D" w:rsidRPr="00275017">
        <w:rPr>
          <w:rFonts w:ascii="Arial" w:eastAsia="Calibri" w:hAnsi="Arial" w:cs="Arial"/>
        </w:rPr>
        <w:t xml:space="preserve"> </w:t>
      </w:r>
      <w:r w:rsidRPr="00275017">
        <w:rPr>
          <w:rFonts w:ascii="Arial" w:eastAsia="Calibri" w:hAnsi="Arial" w:cs="Arial"/>
        </w:rPr>
        <w:t xml:space="preserve">also have the power to award a Transmission and Infrastructure </w:t>
      </w:r>
      <w:r w:rsidR="002F7A0F" w:rsidRPr="00275017">
        <w:rPr>
          <w:rFonts w:ascii="Arial" w:eastAsia="Calibri" w:hAnsi="Arial" w:cs="Arial"/>
        </w:rPr>
        <w:t>Licence</w:t>
      </w:r>
      <w:r w:rsidRPr="00275017">
        <w:rPr>
          <w:rFonts w:ascii="Arial" w:eastAsia="Calibri" w:hAnsi="Arial" w:cs="Arial"/>
        </w:rPr>
        <w:t xml:space="preserve"> for the purpose of transmitting energy generated onshore through the offshore environment. </w:t>
      </w:r>
    </w:p>
    <w:p w:rsidR="008F6D8D" w:rsidRPr="004B6B60" w:rsidRDefault="008F6D8D" w:rsidP="0057257B">
      <w:pPr>
        <w:pStyle w:val="Bulletlist"/>
        <w:spacing w:line="276" w:lineRule="auto"/>
        <w:ind w:left="714" w:hanging="357"/>
      </w:pPr>
      <w:r w:rsidRPr="004B6B60">
        <w:t xml:space="preserve">Existing regulation in relation to offshore cable infrastructure </w:t>
      </w:r>
      <w:r w:rsidR="00EC1F4D" w:rsidRPr="004B6B60">
        <w:t xml:space="preserve">is insufficient for the development of offshore </w:t>
      </w:r>
      <w:r w:rsidR="00555D93">
        <w:t>electricity</w:t>
      </w:r>
      <w:r w:rsidR="00EC1F4D" w:rsidRPr="004B6B60">
        <w:t xml:space="preserve"> as, in the case of the </w:t>
      </w:r>
      <w:r w:rsidR="00EC1F4D" w:rsidRPr="004B6B60">
        <w:rPr>
          <w:i/>
        </w:rPr>
        <w:t>Telecommunication Act 1997</w:t>
      </w:r>
      <w:r w:rsidR="00B409BB">
        <w:t xml:space="preserve">, </w:t>
      </w:r>
      <w:r w:rsidR="00EC1F4D" w:rsidRPr="004B6B60">
        <w:t>it is principally</w:t>
      </w:r>
      <w:r w:rsidR="004B6B60" w:rsidRPr="004B6B60">
        <w:t xml:space="preserve"> intended to regulate </w:t>
      </w:r>
      <w:r w:rsidR="00EC1F4D" w:rsidRPr="004B6B60">
        <w:t xml:space="preserve">communications infrastructure not energy transmission, or in the case of </w:t>
      </w:r>
      <w:r w:rsidR="00EC1F4D" w:rsidRPr="004B6B60">
        <w:rPr>
          <w:i/>
        </w:rPr>
        <w:t>Submarine Cables and Pipelines Protection Act 1963</w:t>
      </w:r>
      <w:r w:rsidR="003777F3" w:rsidRPr="004B6B60">
        <w:rPr>
          <w:i/>
        </w:rPr>
        <w:t>,</w:t>
      </w:r>
      <w:r w:rsidR="00EC1F4D" w:rsidRPr="004B6B60">
        <w:rPr>
          <w:i/>
        </w:rPr>
        <w:t xml:space="preserve"> </w:t>
      </w:r>
      <w:r w:rsidR="00EC1F4D" w:rsidRPr="004B6B60">
        <w:t xml:space="preserve">is aimed at protection of cables in </w:t>
      </w:r>
      <w:r w:rsidR="003777F3" w:rsidRPr="004B6B60">
        <w:t xml:space="preserve">international waters. </w:t>
      </w:r>
    </w:p>
    <w:p w:rsidR="0048286A" w:rsidRPr="004B6B60" w:rsidRDefault="0048286A" w:rsidP="0057257B">
      <w:pPr>
        <w:pStyle w:val="Bulletlist"/>
        <w:spacing w:line="276" w:lineRule="auto"/>
        <w:ind w:left="714" w:hanging="357"/>
      </w:pPr>
      <w:r w:rsidRPr="004B6B60">
        <w:t xml:space="preserve">Greater investor certainty is provided through providing a single </w:t>
      </w:r>
      <w:r w:rsidR="00B409BB" w:rsidRPr="004B6B60">
        <w:t>licen</w:t>
      </w:r>
      <w:r w:rsidR="00B409BB">
        <w:t>si</w:t>
      </w:r>
      <w:r w:rsidR="00B409BB" w:rsidRPr="004B6B60">
        <w:t xml:space="preserve">ng </w:t>
      </w:r>
      <w:r w:rsidRPr="004B6B60">
        <w:t>r</w:t>
      </w:r>
      <w:r w:rsidR="00360901" w:rsidRPr="004B6B60">
        <w:t>egime</w:t>
      </w:r>
      <w:r w:rsidR="009E5AC0">
        <w:t xml:space="preserve"> that is designed specifically for the offshore </w:t>
      </w:r>
      <w:r w:rsidR="00555D93">
        <w:t>electricity</w:t>
      </w:r>
      <w:r w:rsidR="009E5AC0">
        <w:t xml:space="preserve"> sector.</w:t>
      </w:r>
      <w:r w:rsidR="00360901" w:rsidRPr="004B6B60">
        <w:t xml:space="preserve"> </w:t>
      </w:r>
    </w:p>
    <w:p w:rsidR="00275017" w:rsidRPr="006B371D" w:rsidRDefault="00275017" w:rsidP="0057257B">
      <w:pPr>
        <w:pStyle w:val="Heading3"/>
        <w:spacing w:before="120" w:after="120" w:line="276" w:lineRule="auto"/>
      </w:pPr>
      <w:r>
        <w:t xml:space="preserve"> </w:t>
      </w:r>
      <w:r w:rsidR="00810822" w:rsidRPr="00275017">
        <w:t>Regulatory features</w:t>
      </w:r>
    </w:p>
    <w:p w:rsidR="00C22764" w:rsidRPr="00957277" w:rsidRDefault="00D5588B" w:rsidP="002D5AC3">
      <w:pPr>
        <w:spacing w:before="120" w:after="120" w:line="276" w:lineRule="auto"/>
        <w:rPr>
          <w:rFonts w:ascii="Arial" w:hAnsi="Arial" w:cs="Arial"/>
        </w:rPr>
      </w:pPr>
      <w:r w:rsidRPr="00957277">
        <w:rPr>
          <w:rFonts w:ascii="Arial" w:hAnsi="Arial" w:cs="Arial"/>
        </w:rPr>
        <w:t>Where appropriate, t</w:t>
      </w:r>
      <w:r w:rsidR="00C22764" w:rsidRPr="00957277">
        <w:rPr>
          <w:rFonts w:ascii="Arial" w:hAnsi="Arial" w:cs="Arial"/>
        </w:rPr>
        <w:t>he</w:t>
      </w:r>
      <w:r w:rsidRPr="00957277">
        <w:rPr>
          <w:rFonts w:ascii="Arial" w:hAnsi="Arial" w:cs="Arial"/>
        </w:rPr>
        <w:t xml:space="preserve"> key features of the</w:t>
      </w:r>
      <w:r w:rsidR="00C22764" w:rsidRPr="00957277">
        <w:rPr>
          <w:rFonts w:ascii="Arial" w:hAnsi="Arial" w:cs="Arial"/>
        </w:rPr>
        <w:t xml:space="preserve"> regulatory framework would </w:t>
      </w:r>
      <w:r w:rsidRPr="00957277">
        <w:rPr>
          <w:rFonts w:ascii="Arial" w:hAnsi="Arial" w:cs="Arial"/>
        </w:rPr>
        <w:t xml:space="preserve">be consistent with existing regulations in place for the development of offshore infrastructure in other industries, such as the offshore petroleum and telecommunication industries. This will minimise risks and deliver an effective regime by leveraging existing </w:t>
      </w:r>
      <w:r w:rsidR="00767B14" w:rsidRPr="00957277">
        <w:rPr>
          <w:rFonts w:ascii="Arial" w:hAnsi="Arial" w:cs="Arial"/>
        </w:rPr>
        <w:t xml:space="preserve">arrangements and </w:t>
      </w:r>
      <w:r w:rsidR="00104D77">
        <w:rPr>
          <w:rFonts w:ascii="Arial" w:hAnsi="Arial" w:cs="Arial"/>
        </w:rPr>
        <w:t xml:space="preserve">utilising </w:t>
      </w:r>
      <w:r w:rsidRPr="00957277">
        <w:rPr>
          <w:rFonts w:ascii="Arial" w:hAnsi="Arial" w:cs="Arial"/>
        </w:rPr>
        <w:t xml:space="preserve">experienced </w:t>
      </w:r>
      <w:r w:rsidR="00767B14" w:rsidRPr="00957277">
        <w:rPr>
          <w:rFonts w:ascii="Arial" w:hAnsi="Arial" w:cs="Arial"/>
        </w:rPr>
        <w:t>regulators and administrators to provide regulatory oversight</w:t>
      </w:r>
      <w:r w:rsidRPr="00957277">
        <w:rPr>
          <w:rFonts w:ascii="Arial" w:hAnsi="Arial" w:cs="Arial"/>
        </w:rPr>
        <w:t xml:space="preserve">.  </w:t>
      </w:r>
    </w:p>
    <w:p w:rsidR="00172557" w:rsidRPr="002D5AC3" w:rsidRDefault="00172557" w:rsidP="002D5AC3">
      <w:pPr>
        <w:spacing w:before="120" w:after="120" w:line="276" w:lineRule="auto"/>
        <w:rPr>
          <w:rFonts w:cs="Arial"/>
          <w:u w:val="single"/>
        </w:rPr>
      </w:pPr>
      <w:r w:rsidRPr="002D5AC3">
        <w:rPr>
          <w:rFonts w:ascii="Arial" w:hAnsi="Arial" w:cs="Arial"/>
          <w:u w:val="single"/>
        </w:rPr>
        <w:t xml:space="preserve">Legislative structure </w:t>
      </w:r>
    </w:p>
    <w:p w:rsidR="00A83C2F" w:rsidRDefault="00A83C2F" w:rsidP="0057257B">
      <w:pPr>
        <w:spacing w:before="120" w:after="120" w:line="276" w:lineRule="auto"/>
        <w:rPr>
          <w:rFonts w:ascii="Arial" w:hAnsi="Arial" w:cs="Arial"/>
        </w:rPr>
      </w:pPr>
      <w:r w:rsidRPr="00172557">
        <w:rPr>
          <w:rFonts w:ascii="Arial" w:hAnsi="Arial" w:cs="Arial"/>
        </w:rPr>
        <w:t xml:space="preserve">The regulatory framework </w:t>
      </w:r>
      <w:r w:rsidR="008D4D0D">
        <w:rPr>
          <w:rFonts w:ascii="Arial" w:hAnsi="Arial" w:cs="Arial"/>
        </w:rPr>
        <w:t>would</w:t>
      </w:r>
      <w:r w:rsidR="008D4D0D" w:rsidRPr="00172557">
        <w:rPr>
          <w:rFonts w:ascii="Arial" w:hAnsi="Arial" w:cs="Arial"/>
        </w:rPr>
        <w:t xml:space="preserve"> </w:t>
      </w:r>
      <w:r w:rsidRPr="00172557">
        <w:rPr>
          <w:rFonts w:ascii="Arial" w:hAnsi="Arial" w:cs="Arial"/>
        </w:rPr>
        <w:t xml:space="preserve">provide high level powers in its Act, with the ability to </w:t>
      </w:r>
      <w:r w:rsidR="009E5AC0">
        <w:rPr>
          <w:rFonts w:ascii="Arial" w:hAnsi="Arial" w:cs="Arial"/>
        </w:rPr>
        <w:softHyphen/>
      </w:r>
      <w:r w:rsidR="009E5AC0">
        <w:rPr>
          <w:rFonts w:ascii="Arial" w:hAnsi="Arial" w:cs="Arial"/>
        </w:rPr>
        <w:softHyphen/>
      </w:r>
      <w:r w:rsidR="009E5AC0">
        <w:rPr>
          <w:rFonts w:ascii="Arial" w:hAnsi="Arial" w:cs="Arial"/>
        </w:rPr>
        <w:softHyphen/>
      </w:r>
      <w:r w:rsidRPr="00172557">
        <w:rPr>
          <w:rFonts w:ascii="Arial" w:hAnsi="Arial" w:cs="Arial"/>
        </w:rPr>
        <w:t xml:space="preserve">create subordinate legislation and policy for detailed settings. This approach is designed to meet a changing industry profile, while provide business certainty for long term investment. The approach of providing for heads of power in the Act, and sufficient subordinate legislation and policy matters is consistent with current best practices for legislative structure.  </w:t>
      </w:r>
    </w:p>
    <w:p w:rsidR="00275017" w:rsidRPr="002D5AC3" w:rsidRDefault="00275017" w:rsidP="002D5AC3">
      <w:pPr>
        <w:spacing w:before="120" w:after="120" w:line="276" w:lineRule="auto"/>
        <w:rPr>
          <w:rFonts w:cs="Arial"/>
          <w:u w:val="single"/>
        </w:rPr>
      </w:pPr>
      <w:r w:rsidRPr="002D5AC3">
        <w:rPr>
          <w:rFonts w:ascii="Arial" w:hAnsi="Arial" w:cs="Arial"/>
          <w:u w:val="single"/>
        </w:rPr>
        <w:t xml:space="preserve">Existing rights </w:t>
      </w:r>
    </w:p>
    <w:p w:rsidR="00275017" w:rsidRDefault="00275017" w:rsidP="0057257B">
      <w:pPr>
        <w:spacing w:before="120" w:after="120" w:line="276" w:lineRule="auto"/>
        <w:rPr>
          <w:rFonts w:ascii="Arial" w:hAnsi="Arial" w:cs="Arial"/>
        </w:rPr>
      </w:pPr>
      <w:r w:rsidRPr="00275017">
        <w:rPr>
          <w:rFonts w:ascii="Arial" w:hAnsi="Arial" w:cs="Arial"/>
        </w:rPr>
        <w:t xml:space="preserve">Offshore </w:t>
      </w:r>
      <w:r w:rsidR="002343A1">
        <w:rPr>
          <w:rFonts w:ascii="Arial" w:hAnsi="Arial" w:cs="Arial"/>
        </w:rPr>
        <w:t>electricity</w:t>
      </w:r>
      <w:r w:rsidRPr="00275017">
        <w:rPr>
          <w:rFonts w:ascii="Arial" w:hAnsi="Arial" w:cs="Arial"/>
        </w:rPr>
        <w:t xml:space="preserve"> exploration is already being undertaken, and offshore transmission assets are being operated</w:t>
      </w:r>
      <w:r w:rsidR="00B3266F">
        <w:rPr>
          <w:rFonts w:ascii="Arial" w:hAnsi="Arial" w:cs="Arial"/>
        </w:rPr>
        <w:t>.</w:t>
      </w:r>
      <w:r w:rsidRPr="00275017">
        <w:rPr>
          <w:rFonts w:ascii="Arial" w:hAnsi="Arial" w:cs="Arial"/>
        </w:rPr>
        <w:t xml:space="preserve"> </w:t>
      </w:r>
      <w:r w:rsidR="00B3266F">
        <w:rPr>
          <w:rFonts w:ascii="Arial" w:hAnsi="Arial" w:cs="Arial"/>
        </w:rPr>
        <w:t>T</w:t>
      </w:r>
      <w:r w:rsidRPr="00275017">
        <w:rPr>
          <w:rFonts w:ascii="Arial" w:hAnsi="Arial" w:cs="Arial"/>
        </w:rPr>
        <w:t xml:space="preserve">hese rights </w:t>
      </w:r>
      <w:r w:rsidR="008D4D0D">
        <w:rPr>
          <w:rFonts w:ascii="Arial" w:hAnsi="Arial" w:cs="Arial"/>
        </w:rPr>
        <w:t>would</w:t>
      </w:r>
      <w:r w:rsidR="008D4D0D" w:rsidRPr="00275017">
        <w:rPr>
          <w:rFonts w:ascii="Arial" w:hAnsi="Arial" w:cs="Arial"/>
        </w:rPr>
        <w:t xml:space="preserve"> </w:t>
      </w:r>
      <w:r w:rsidRPr="00275017">
        <w:rPr>
          <w:rFonts w:ascii="Arial" w:hAnsi="Arial" w:cs="Arial"/>
        </w:rPr>
        <w:t xml:space="preserve">be recognised and continue to operate under current arrangements. Any successive or new exploration or development activity or new transmission projects </w:t>
      </w:r>
      <w:r w:rsidR="008D4D0D">
        <w:rPr>
          <w:rFonts w:ascii="Arial" w:hAnsi="Arial" w:cs="Arial"/>
        </w:rPr>
        <w:t>would</w:t>
      </w:r>
      <w:r w:rsidR="008D4D0D" w:rsidRPr="00275017">
        <w:rPr>
          <w:rFonts w:ascii="Arial" w:hAnsi="Arial" w:cs="Arial"/>
        </w:rPr>
        <w:t xml:space="preserve"> </w:t>
      </w:r>
      <w:r w:rsidRPr="00275017">
        <w:rPr>
          <w:rFonts w:ascii="Arial" w:hAnsi="Arial" w:cs="Arial"/>
        </w:rPr>
        <w:t>be subject to the framework.</w:t>
      </w:r>
    </w:p>
    <w:p w:rsidR="00172557" w:rsidRPr="002D5AC3" w:rsidRDefault="00172557" w:rsidP="002D5AC3">
      <w:pPr>
        <w:spacing w:before="120" w:after="120" w:line="276" w:lineRule="auto"/>
        <w:rPr>
          <w:rFonts w:cs="Arial"/>
          <w:u w:val="single"/>
        </w:rPr>
      </w:pPr>
      <w:r w:rsidRPr="002D5AC3">
        <w:rPr>
          <w:rFonts w:ascii="Arial" w:hAnsi="Arial" w:cs="Arial"/>
          <w:u w:val="single"/>
        </w:rPr>
        <w:t>Co-existence and existing rights</w:t>
      </w:r>
    </w:p>
    <w:p w:rsidR="00172557" w:rsidRDefault="00172557" w:rsidP="0057257B">
      <w:pPr>
        <w:spacing w:before="120" w:after="120" w:line="276" w:lineRule="auto"/>
        <w:rPr>
          <w:rFonts w:ascii="Arial" w:hAnsi="Arial" w:cs="Arial"/>
        </w:rPr>
      </w:pPr>
      <w:r w:rsidRPr="00172557">
        <w:rPr>
          <w:rFonts w:ascii="Arial" w:hAnsi="Arial" w:cs="Arial"/>
        </w:rPr>
        <w:t xml:space="preserve">The Australian Government promotes shared use of Commonwealth waters, balancing competing interests while pursuing the economically efficient use of the offshore area and its resources. Consistent with this approach, the proposed regulatory framework </w:t>
      </w:r>
      <w:r w:rsidR="008D4D0D">
        <w:rPr>
          <w:rFonts w:ascii="Arial" w:hAnsi="Arial" w:cs="Arial"/>
        </w:rPr>
        <w:t>would</w:t>
      </w:r>
      <w:r w:rsidR="008D4D0D" w:rsidRPr="00172557">
        <w:rPr>
          <w:rFonts w:ascii="Arial" w:hAnsi="Arial" w:cs="Arial"/>
        </w:rPr>
        <w:t xml:space="preserve"> </w:t>
      </w:r>
      <w:r w:rsidRPr="00172557">
        <w:rPr>
          <w:rFonts w:ascii="Arial" w:hAnsi="Arial" w:cs="Arial"/>
        </w:rPr>
        <w:t>require comprehensive and detailed consultation throughout the regulatory process (from site identification through to decommissioning) for each development.</w:t>
      </w:r>
    </w:p>
    <w:p w:rsidR="00360901" w:rsidRDefault="00360901" w:rsidP="0057257B">
      <w:pPr>
        <w:spacing w:before="120" w:after="120" w:line="276" w:lineRule="auto"/>
        <w:rPr>
          <w:rFonts w:ascii="Arial" w:hAnsi="Arial" w:cs="Arial"/>
        </w:rPr>
      </w:pPr>
      <w:r>
        <w:rPr>
          <w:rFonts w:ascii="Arial" w:hAnsi="Arial" w:cs="Arial"/>
        </w:rPr>
        <w:t xml:space="preserve">More specifically, consultation </w:t>
      </w:r>
      <w:r w:rsidR="008D4D0D">
        <w:rPr>
          <w:rFonts w:ascii="Arial" w:hAnsi="Arial" w:cs="Arial"/>
        </w:rPr>
        <w:t xml:space="preserve">would </w:t>
      </w:r>
      <w:r>
        <w:rPr>
          <w:rFonts w:ascii="Arial" w:hAnsi="Arial" w:cs="Arial"/>
        </w:rPr>
        <w:t>include</w:t>
      </w:r>
      <w:r w:rsidR="00DD57A8">
        <w:rPr>
          <w:rFonts w:ascii="Arial" w:hAnsi="Arial" w:cs="Arial"/>
        </w:rPr>
        <w:t xml:space="preserve"> but not be limited to</w:t>
      </w:r>
      <w:r>
        <w:rPr>
          <w:rFonts w:ascii="Arial" w:hAnsi="Arial" w:cs="Arial"/>
        </w:rPr>
        <w:t>:</w:t>
      </w:r>
    </w:p>
    <w:p w:rsidR="00360901" w:rsidRPr="00D679E4" w:rsidRDefault="00DD57A8" w:rsidP="002D5AC3">
      <w:pPr>
        <w:pStyle w:val="Bulletlist"/>
        <w:spacing w:line="276" w:lineRule="auto"/>
        <w:ind w:left="714" w:hanging="357"/>
      </w:pPr>
      <w:r w:rsidRPr="00B40D58">
        <w:t>Shipping industry and regulatory authorities</w:t>
      </w:r>
    </w:p>
    <w:p w:rsidR="00DD57A8" w:rsidRPr="00831F9B" w:rsidRDefault="00DD57A8" w:rsidP="002D5AC3">
      <w:pPr>
        <w:pStyle w:val="Bulletlist"/>
        <w:spacing w:line="276" w:lineRule="auto"/>
        <w:ind w:left="714" w:hanging="357"/>
      </w:pPr>
      <w:r w:rsidRPr="00831F9B">
        <w:t>Defence</w:t>
      </w:r>
    </w:p>
    <w:p w:rsidR="00DD57A8" w:rsidRPr="00831F9B" w:rsidRDefault="00DD57A8" w:rsidP="002D5AC3">
      <w:pPr>
        <w:pStyle w:val="Bulletlist"/>
        <w:spacing w:line="276" w:lineRule="auto"/>
        <w:ind w:left="714" w:hanging="357"/>
      </w:pPr>
      <w:r w:rsidRPr="00831F9B">
        <w:t>Fishers</w:t>
      </w:r>
    </w:p>
    <w:p w:rsidR="00DD57A8" w:rsidRPr="002D5AC3" w:rsidRDefault="00DD57A8" w:rsidP="002D5AC3">
      <w:pPr>
        <w:pStyle w:val="Bulletlist"/>
        <w:spacing w:line="276" w:lineRule="auto"/>
        <w:ind w:left="714" w:hanging="357"/>
      </w:pPr>
      <w:r w:rsidRPr="002D5AC3">
        <w:t>Managers of communications and transmission infrastructure</w:t>
      </w:r>
    </w:p>
    <w:p w:rsidR="00DD57A8" w:rsidRPr="00B40D58" w:rsidRDefault="00B40D58" w:rsidP="002D5AC3">
      <w:pPr>
        <w:pStyle w:val="Bulletlist"/>
        <w:spacing w:line="276" w:lineRule="auto"/>
        <w:ind w:left="714" w:hanging="357"/>
      </w:pPr>
      <w:r>
        <w:t xml:space="preserve">Managers of </w:t>
      </w:r>
      <w:r w:rsidR="00DD57A8" w:rsidRPr="00D679E4">
        <w:t>Native Title matters</w:t>
      </w:r>
    </w:p>
    <w:p w:rsidR="00DD57A8" w:rsidRPr="00D679E4" w:rsidRDefault="00DD57A8" w:rsidP="002D5AC3">
      <w:pPr>
        <w:pStyle w:val="Bulletlist"/>
        <w:spacing w:line="276" w:lineRule="auto"/>
        <w:ind w:left="714" w:hanging="357"/>
      </w:pPr>
      <w:r w:rsidRPr="00D679E4">
        <w:t>State and territory governments</w:t>
      </w:r>
    </w:p>
    <w:p w:rsidR="00DD57A8" w:rsidRPr="00831F9B" w:rsidRDefault="00DD57A8" w:rsidP="002D5AC3">
      <w:pPr>
        <w:pStyle w:val="Bulletlist"/>
        <w:spacing w:line="276" w:lineRule="auto"/>
        <w:ind w:left="714" w:hanging="357"/>
      </w:pPr>
      <w:r w:rsidRPr="00831F9B">
        <w:t>General public</w:t>
      </w:r>
    </w:p>
    <w:p w:rsidR="00DD57A8" w:rsidRPr="002D5AC3" w:rsidRDefault="00DD57A8" w:rsidP="002D5AC3">
      <w:pPr>
        <w:pStyle w:val="Bulletlist"/>
        <w:spacing w:line="276" w:lineRule="auto"/>
        <w:ind w:left="714" w:hanging="357"/>
      </w:pPr>
      <w:r w:rsidRPr="002D5AC3">
        <w:t>Environmental managers and regulators</w:t>
      </w:r>
    </w:p>
    <w:p w:rsidR="000F2F1A" w:rsidRPr="002D5AC3" w:rsidRDefault="00AF588A" w:rsidP="002D5AC3">
      <w:pPr>
        <w:pStyle w:val="Bulletlist"/>
        <w:spacing w:line="276" w:lineRule="auto"/>
        <w:ind w:left="714" w:hanging="357"/>
      </w:pPr>
      <w:r w:rsidRPr="002D5AC3">
        <w:t>Local</w:t>
      </w:r>
      <w:r w:rsidR="006C3902" w:rsidRPr="002D5AC3">
        <w:t xml:space="preserve"> community</w:t>
      </w:r>
    </w:p>
    <w:p w:rsidR="00AF588A" w:rsidRPr="002D5AC3" w:rsidRDefault="00AF588A" w:rsidP="002D5AC3">
      <w:pPr>
        <w:pStyle w:val="Bulletlist"/>
        <w:spacing w:line="276" w:lineRule="auto"/>
        <w:ind w:left="714" w:hanging="357"/>
      </w:pPr>
      <w:r w:rsidRPr="002D5AC3">
        <w:t xml:space="preserve">Offshore </w:t>
      </w:r>
      <w:r w:rsidR="00BE3964">
        <w:t>electricity</w:t>
      </w:r>
      <w:r w:rsidRPr="002D5AC3">
        <w:t xml:space="preserve"> workforce</w:t>
      </w:r>
      <w:r w:rsidR="008B3B0C">
        <w:t>.</w:t>
      </w:r>
      <w:r w:rsidRPr="002D5AC3">
        <w:t xml:space="preserve"> </w:t>
      </w:r>
    </w:p>
    <w:p w:rsidR="00D7096C" w:rsidRDefault="00172557" w:rsidP="00B86ED3">
      <w:pPr>
        <w:spacing w:after="140" w:line="276" w:lineRule="auto"/>
        <w:ind w:right="144"/>
        <w:textAlignment w:val="baseline"/>
        <w:rPr>
          <w:rFonts w:ascii="Arial" w:hAnsi="Arial" w:cs="Arial"/>
        </w:rPr>
      </w:pPr>
      <w:r w:rsidRPr="00172557">
        <w:rPr>
          <w:rFonts w:ascii="Arial" w:hAnsi="Arial" w:cs="Arial"/>
        </w:rPr>
        <w:t xml:space="preserve">The framework </w:t>
      </w:r>
      <w:r w:rsidR="008D4D0D">
        <w:rPr>
          <w:rFonts w:ascii="Arial" w:hAnsi="Arial" w:cs="Arial"/>
        </w:rPr>
        <w:t>would</w:t>
      </w:r>
      <w:r w:rsidR="008D4D0D" w:rsidRPr="00172557">
        <w:rPr>
          <w:rFonts w:ascii="Arial" w:hAnsi="Arial" w:cs="Arial"/>
        </w:rPr>
        <w:t xml:space="preserve"> </w:t>
      </w:r>
      <w:r w:rsidRPr="00172557">
        <w:rPr>
          <w:rFonts w:ascii="Arial" w:hAnsi="Arial" w:cs="Arial"/>
        </w:rPr>
        <w:t xml:space="preserve">incentivise project design, consultation and operation of offshore </w:t>
      </w:r>
      <w:r w:rsidR="00C06800">
        <w:rPr>
          <w:rFonts w:ascii="Arial" w:hAnsi="Arial" w:cs="Arial"/>
        </w:rPr>
        <w:t>electricity</w:t>
      </w:r>
      <w:r w:rsidR="00C06800" w:rsidRPr="00172557">
        <w:rPr>
          <w:rFonts w:ascii="Arial" w:hAnsi="Arial" w:cs="Arial"/>
        </w:rPr>
        <w:t xml:space="preserve"> </w:t>
      </w:r>
      <w:r w:rsidRPr="00172557">
        <w:rPr>
          <w:rFonts w:ascii="Arial" w:hAnsi="Arial" w:cs="Arial"/>
        </w:rPr>
        <w:t xml:space="preserve">technology, to maximise commercial, co-existence and existing rights and interests. </w:t>
      </w:r>
      <w:r w:rsidR="00D7096C">
        <w:rPr>
          <w:rFonts w:ascii="Arial" w:hAnsi="Arial" w:cs="Arial"/>
        </w:rPr>
        <w:t>The m</w:t>
      </w:r>
      <w:r w:rsidR="00D7096C" w:rsidRPr="00BC3315">
        <w:rPr>
          <w:rFonts w:ascii="Arial" w:hAnsi="Arial" w:cs="Arial"/>
        </w:rPr>
        <w:t xml:space="preserve">ultiple </w:t>
      </w:r>
      <w:r w:rsidR="00690055">
        <w:rPr>
          <w:rFonts w:ascii="Arial" w:hAnsi="Arial" w:cs="Arial"/>
        </w:rPr>
        <w:t>consultation</w:t>
      </w:r>
      <w:r w:rsidR="00D7096C">
        <w:rPr>
          <w:rFonts w:ascii="Arial" w:hAnsi="Arial" w:cs="Arial"/>
        </w:rPr>
        <w:t xml:space="preserve"> points ahea</w:t>
      </w:r>
      <w:r w:rsidR="006A59AB">
        <w:rPr>
          <w:rFonts w:ascii="Arial" w:hAnsi="Arial" w:cs="Arial"/>
        </w:rPr>
        <w:t xml:space="preserve">d of a commercial licence being </w:t>
      </w:r>
      <w:r w:rsidR="00690055">
        <w:rPr>
          <w:rFonts w:ascii="Arial" w:hAnsi="Arial" w:cs="Arial"/>
        </w:rPr>
        <w:t xml:space="preserve">issued </w:t>
      </w:r>
      <w:r w:rsidR="006A59AB">
        <w:rPr>
          <w:rFonts w:ascii="Arial" w:hAnsi="Arial" w:cs="Arial"/>
        </w:rPr>
        <w:t xml:space="preserve">aim to ensure </w:t>
      </w:r>
      <w:r w:rsidR="00540A96">
        <w:rPr>
          <w:rFonts w:ascii="Arial" w:hAnsi="Arial" w:cs="Arial"/>
        </w:rPr>
        <w:t>potential</w:t>
      </w:r>
      <w:r w:rsidR="00690055">
        <w:rPr>
          <w:rFonts w:ascii="Arial" w:hAnsi="Arial" w:cs="Arial"/>
        </w:rPr>
        <w:t xml:space="preserve"> conflict</w:t>
      </w:r>
      <w:r w:rsidR="00540A96">
        <w:rPr>
          <w:rFonts w:ascii="Arial" w:hAnsi="Arial" w:cs="Arial"/>
        </w:rPr>
        <w:t>s</w:t>
      </w:r>
      <w:r w:rsidR="006A59AB">
        <w:rPr>
          <w:rFonts w:ascii="Arial" w:hAnsi="Arial" w:cs="Arial"/>
        </w:rPr>
        <w:t xml:space="preserve"> can be addressed in the design </w:t>
      </w:r>
      <w:r w:rsidR="00690055">
        <w:rPr>
          <w:rFonts w:ascii="Arial" w:hAnsi="Arial" w:cs="Arial"/>
        </w:rPr>
        <w:t xml:space="preserve">or operation </w:t>
      </w:r>
      <w:r w:rsidR="006A59AB">
        <w:rPr>
          <w:rFonts w:ascii="Arial" w:hAnsi="Arial" w:cs="Arial"/>
        </w:rPr>
        <w:t xml:space="preserve">of the offshore </w:t>
      </w:r>
      <w:r w:rsidR="00BE3964">
        <w:rPr>
          <w:rFonts w:ascii="Arial" w:hAnsi="Arial" w:cs="Arial"/>
        </w:rPr>
        <w:t>electricity</w:t>
      </w:r>
      <w:r w:rsidR="00690055">
        <w:rPr>
          <w:rFonts w:ascii="Arial" w:hAnsi="Arial" w:cs="Arial"/>
        </w:rPr>
        <w:t xml:space="preserve"> infrastructure. The effectiveness of consultation </w:t>
      </w:r>
      <w:r w:rsidR="008D4D0D">
        <w:rPr>
          <w:rFonts w:ascii="Arial" w:hAnsi="Arial" w:cs="Arial"/>
        </w:rPr>
        <w:t xml:space="preserve">would </w:t>
      </w:r>
      <w:r w:rsidR="00690055">
        <w:rPr>
          <w:rFonts w:ascii="Arial" w:hAnsi="Arial" w:cs="Arial"/>
        </w:rPr>
        <w:t xml:space="preserve">be further assessed as part of management plan reviews. </w:t>
      </w:r>
    </w:p>
    <w:p w:rsidR="00172557" w:rsidRDefault="00B86ED3" w:rsidP="00B86ED3">
      <w:pPr>
        <w:spacing w:after="140" w:line="276" w:lineRule="auto"/>
        <w:ind w:right="144"/>
        <w:textAlignment w:val="baseline"/>
        <w:rPr>
          <w:rFonts w:ascii="Arial" w:hAnsi="Arial" w:cs="Arial"/>
        </w:rPr>
      </w:pPr>
      <w:r w:rsidRPr="00B86ED3">
        <w:rPr>
          <w:rFonts w:ascii="Arial" w:hAnsi="Arial" w:cs="Arial"/>
        </w:rPr>
        <w:t xml:space="preserve">For any rights conferred by a licence, </w:t>
      </w:r>
      <w:r w:rsidR="00CE6F62">
        <w:rPr>
          <w:rFonts w:ascii="Arial" w:hAnsi="Arial" w:cs="Arial"/>
        </w:rPr>
        <w:t xml:space="preserve">the </w:t>
      </w:r>
      <w:r w:rsidR="008B3B0C">
        <w:rPr>
          <w:rFonts w:ascii="Arial" w:hAnsi="Arial" w:cs="Arial"/>
        </w:rPr>
        <w:t>department</w:t>
      </w:r>
      <w:r w:rsidR="008B3B0C" w:rsidRPr="00B86ED3">
        <w:rPr>
          <w:rFonts w:ascii="Arial" w:hAnsi="Arial" w:cs="Arial"/>
        </w:rPr>
        <w:t xml:space="preserve"> </w:t>
      </w:r>
      <w:r w:rsidRPr="00B86ED3">
        <w:rPr>
          <w:rFonts w:ascii="Arial" w:hAnsi="Arial" w:cs="Arial"/>
        </w:rPr>
        <w:t>propose</w:t>
      </w:r>
      <w:r w:rsidR="00CE6F62">
        <w:rPr>
          <w:rFonts w:ascii="Arial" w:hAnsi="Arial" w:cs="Arial"/>
        </w:rPr>
        <w:t>s</w:t>
      </w:r>
      <w:r w:rsidRPr="00B86ED3">
        <w:rPr>
          <w:rFonts w:ascii="Arial" w:hAnsi="Arial" w:cs="Arial"/>
        </w:rPr>
        <w:t xml:space="preserve"> to include a requirement similar to section 280 of the </w:t>
      </w:r>
      <w:r w:rsidRPr="002D5AC3">
        <w:rPr>
          <w:rFonts w:ascii="Arial" w:hAnsi="Arial" w:cs="Arial"/>
          <w:i/>
        </w:rPr>
        <w:t>Offshore Petroleum and Greenhouse Gas Storage Act 2006</w:t>
      </w:r>
      <w:r w:rsidRPr="00B86ED3">
        <w:rPr>
          <w:rFonts w:ascii="Arial" w:hAnsi="Arial" w:cs="Arial"/>
        </w:rPr>
        <w:t>, which provides that activities under a licence must not interfere with other rights to a greater extent than is necessary for the reasonable exercise of the rights</w:t>
      </w:r>
      <w:r w:rsidR="00172557" w:rsidRPr="00172557">
        <w:rPr>
          <w:rFonts w:ascii="Arial" w:hAnsi="Arial" w:cs="Arial"/>
        </w:rPr>
        <w:t xml:space="preserve">. </w:t>
      </w:r>
    </w:p>
    <w:p w:rsidR="00275017" w:rsidRPr="002D5AC3" w:rsidRDefault="00275017" w:rsidP="002D5AC3">
      <w:pPr>
        <w:spacing w:before="120" w:after="120" w:line="276" w:lineRule="auto"/>
        <w:rPr>
          <w:rFonts w:cs="Arial"/>
          <w:u w:val="single"/>
        </w:rPr>
      </w:pPr>
      <w:r w:rsidRPr="002D5AC3">
        <w:rPr>
          <w:rFonts w:ascii="Arial" w:hAnsi="Arial" w:cs="Arial"/>
          <w:u w:val="single"/>
        </w:rPr>
        <w:t>Asset protection, offences and penalties</w:t>
      </w:r>
    </w:p>
    <w:p w:rsidR="00275017" w:rsidRPr="00275017" w:rsidRDefault="00275017" w:rsidP="0057257B">
      <w:pPr>
        <w:spacing w:before="120" w:after="120" w:line="276" w:lineRule="auto"/>
        <w:rPr>
          <w:rFonts w:ascii="Arial" w:hAnsi="Arial" w:cs="Arial"/>
        </w:rPr>
      </w:pPr>
      <w:r>
        <w:rPr>
          <w:rFonts w:ascii="Arial" w:hAnsi="Arial" w:cs="Arial"/>
        </w:rPr>
        <w:t xml:space="preserve">This option </w:t>
      </w:r>
      <w:r w:rsidR="008D4D0D">
        <w:rPr>
          <w:rFonts w:ascii="Arial" w:hAnsi="Arial" w:cs="Arial"/>
        </w:rPr>
        <w:t xml:space="preserve">would </w:t>
      </w:r>
      <w:r w:rsidRPr="00275017">
        <w:rPr>
          <w:rFonts w:ascii="Arial" w:hAnsi="Arial" w:cs="Arial"/>
        </w:rPr>
        <w:t xml:space="preserve">establish penalties to protect against interference with offshore </w:t>
      </w:r>
      <w:r w:rsidR="00BE3964">
        <w:rPr>
          <w:rFonts w:ascii="Arial" w:hAnsi="Arial" w:cs="Arial"/>
        </w:rPr>
        <w:t>electricity</w:t>
      </w:r>
      <w:r w:rsidRPr="00275017">
        <w:rPr>
          <w:rFonts w:ascii="Arial" w:hAnsi="Arial" w:cs="Arial"/>
        </w:rPr>
        <w:t xml:space="preserve"> infrastructure, operations and works. Offshore </w:t>
      </w:r>
      <w:r w:rsidR="00BE3964">
        <w:rPr>
          <w:rFonts w:ascii="Arial" w:hAnsi="Arial" w:cs="Arial"/>
        </w:rPr>
        <w:t>electricity</w:t>
      </w:r>
      <w:r w:rsidRPr="00275017">
        <w:rPr>
          <w:rFonts w:ascii="Arial" w:hAnsi="Arial" w:cs="Arial"/>
        </w:rPr>
        <w:t xml:space="preserve"> infrastructure licence holders </w:t>
      </w:r>
      <w:r w:rsidR="008D4D0D">
        <w:rPr>
          <w:rFonts w:ascii="Arial" w:hAnsi="Arial" w:cs="Arial"/>
        </w:rPr>
        <w:t>would</w:t>
      </w:r>
      <w:r w:rsidR="008D4D0D" w:rsidRPr="00275017">
        <w:rPr>
          <w:rFonts w:ascii="Arial" w:hAnsi="Arial" w:cs="Arial"/>
        </w:rPr>
        <w:t xml:space="preserve"> </w:t>
      </w:r>
      <w:r w:rsidRPr="00275017">
        <w:rPr>
          <w:rFonts w:ascii="Arial" w:hAnsi="Arial" w:cs="Arial"/>
        </w:rPr>
        <w:t>be able to apply to the regulator for safety zones to be established to protect infrastructure, workers and other assets during the construction phase, and easements for ongoing protection of assets where required.</w:t>
      </w:r>
    </w:p>
    <w:p w:rsidR="00275017" w:rsidRPr="002D5AC3" w:rsidRDefault="00275017" w:rsidP="002D5AC3">
      <w:pPr>
        <w:spacing w:before="120" w:after="120" w:line="276" w:lineRule="auto"/>
        <w:rPr>
          <w:rFonts w:cs="Arial"/>
          <w:u w:val="single"/>
        </w:rPr>
      </w:pPr>
      <w:r w:rsidRPr="002D5AC3">
        <w:rPr>
          <w:rFonts w:ascii="Arial" w:hAnsi="Arial" w:cs="Arial"/>
          <w:u w:val="single"/>
        </w:rPr>
        <w:t>Environmental approvals</w:t>
      </w:r>
    </w:p>
    <w:p w:rsidR="00275017" w:rsidRPr="00275017" w:rsidRDefault="00031695" w:rsidP="0057257B">
      <w:pPr>
        <w:spacing w:before="120" w:after="120" w:line="276" w:lineRule="auto"/>
        <w:rPr>
          <w:rFonts w:ascii="Arial" w:hAnsi="Arial" w:cs="Arial"/>
        </w:rPr>
      </w:pPr>
      <w:r>
        <w:rPr>
          <w:rFonts w:ascii="Arial" w:hAnsi="Arial" w:cs="Arial"/>
        </w:rPr>
        <w:t xml:space="preserve">Environmental approval </w:t>
      </w:r>
      <w:r w:rsidR="008D4D0D">
        <w:rPr>
          <w:rFonts w:ascii="Arial" w:hAnsi="Arial" w:cs="Arial"/>
        </w:rPr>
        <w:t>would</w:t>
      </w:r>
      <w:r w:rsidR="008D4D0D" w:rsidRPr="00275017">
        <w:rPr>
          <w:rFonts w:ascii="Arial" w:hAnsi="Arial" w:cs="Arial"/>
        </w:rPr>
        <w:t xml:space="preserve"> </w:t>
      </w:r>
      <w:r w:rsidR="00275017" w:rsidRPr="00275017">
        <w:rPr>
          <w:rFonts w:ascii="Arial" w:hAnsi="Arial" w:cs="Arial"/>
        </w:rPr>
        <w:t xml:space="preserve">be undertaken through existing </w:t>
      </w:r>
      <w:r w:rsidR="00275017" w:rsidRPr="002D5AC3">
        <w:rPr>
          <w:rFonts w:ascii="Arial" w:hAnsi="Arial" w:cs="Arial"/>
          <w:i/>
        </w:rPr>
        <w:t>Environment Protection and Biodiversity Conservation Act 1999</w:t>
      </w:r>
      <w:r w:rsidR="00275017" w:rsidRPr="00275017">
        <w:rPr>
          <w:rFonts w:ascii="Arial" w:hAnsi="Arial" w:cs="Arial"/>
        </w:rPr>
        <w:t xml:space="preserve"> approvals and assessment processes. The regulator </w:t>
      </w:r>
      <w:r w:rsidR="008D4D0D">
        <w:rPr>
          <w:rFonts w:ascii="Arial" w:hAnsi="Arial" w:cs="Arial"/>
        </w:rPr>
        <w:t>would</w:t>
      </w:r>
      <w:r w:rsidR="008D4D0D" w:rsidRPr="00275017">
        <w:rPr>
          <w:rFonts w:ascii="Arial" w:hAnsi="Arial" w:cs="Arial"/>
        </w:rPr>
        <w:t xml:space="preserve"> </w:t>
      </w:r>
      <w:r w:rsidR="00275017" w:rsidRPr="00275017">
        <w:rPr>
          <w:rFonts w:ascii="Arial" w:hAnsi="Arial" w:cs="Arial"/>
        </w:rPr>
        <w:t xml:space="preserve">monitor compliance with approvals </w:t>
      </w:r>
      <w:r w:rsidR="00B40D58">
        <w:rPr>
          <w:rFonts w:ascii="Arial" w:hAnsi="Arial" w:cs="Arial"/>
        </w:rPr>
        <w:t xml:space="preserve">under this Act </w:t>
      </w:r>
      <w:r w:rsidR="00275017" w:rsidRPr="00275017">
        <w:rPr>
          <w:rFonts w:ascii="Arial" w:hAnsi="Arial" w:cs="Arial"/>
        </w:rPr>
        <w:t>and ensure that continuous improvement in environmental management performance is achieved through periodic revision of management plans to ensure impacts and risks are being managed to as low as reasonably practicable.</w:t>
      </w:r>
    </w:p>
    <w:p w:rsidR="00275017" w:rsidRPr="002D5AC3" w:rsidRDefault="00275017" w:rsidP="002D5AC3">
      <w:pPr>
        <w:spacing w:before="120" w:after="120" w:line="276" w:lineRule="auto"/>
        <w:rPr>
          <w:rFonts w:cs="Arial"/>
          <w:u w:val="single"/>
        </w:rPr>
      </w:pPr>
      <w:r w:rsidRPr="002D5AC3">
        <w:rPr>
          <w:rFonts w:ascii="Arial" w:hAnsi="Arial" w:cs="Arial"/>
          <w:u w:val="single"/>
        </w:rPr>
        <w:t xml:space="preserve">Work, health and Safety (WHS) and structural integrity </w:t>
      </w:r>
    </w:p>
    <w:p w:rsidR="00A83C2F" w:rsidRPr="004B5B17" w:rsidRDefault="00CB5688" w:rsidP="0057257B">
      <w:pPr>
        <w:spacing w:before="120" w:after="120" w:line="276" w:lineRule="auto"/>
        <w:rPr>
          <w:rFonts w:ascii="Arial" w:hAnsi="Arial" w:cs="Arial"/>
        </w:rPr>
      </w:pPr>
      <w:r w:rsidRPr="006863D5">
        <w:rPr>
          <w:rFonts w:ascii="Arial" w:hAnsi="Arial" w:cs="Arial"/>
        </w:rPr>
        <w:t xml:space="preserve">The design of </w:t>
      </w:r>
      <w:r w:rsidR="00B40D58">
        <w:rPr>
          <w:rFonts w:ascii="Arial" w:hAnsi="Arial" w:cs="Arial"/>
        </w:rPr>
        <w:t xml:space="preserve">the </w:t>
      </w:r>
      <w:r w:rsidRPr="006863D5">
        <w:rPr>
          <w:rFonts w:ascii="Arial" w:hAnsi="Arial" w:cs="Arial"/>
        </w:rPr>
        <w:t xml:space="preserve">WHS </w:t>
      </w:r>
      <w:r w:rsidR="00B40D58">
        <w:rPr>
          <w:rFonts w:ascii="Arial" w:hAnsi="Arial" w:cs="Arial"/>
        </w:rPr>
        <w:t xml:space="preserve">component of the </w:t>
      </w:r>
      <w:r w:rsidRPr="006863D5">
        <w:rPr>
          <w:rFonts w:ascii="Arial" w:hAnsi="Arial" w:cs="Arial"/>
        </w:rPr>
        <w:t>framework aims to address</w:t>
      </w:r>
      <w:r w:rsidR="009E5AC0">
        <w:rPr>
          <w:rFonts w:ascii="Arial" w:hAnsi="Arial" w:cs="Arial"/>
        </w:rPr>
        <w:t xml:space="preserve"> the range of</w:t>
      </w:r>
      <w:r w:rsidR="009B3F4C">
        <w:rPr>
          <w:rFonts w:ascii="Arial" w:hAnsi="Arial" w:cs="Arial"/>
        </w:rPr>
        <w:t xml:space="preserve"> </w:t>
      </w:r>
      <w:r w:rsidR="00A83C2F" w:rsidRPr="006863D5">
        <w:rPr>
          <w:rFonts w:ascii="Arial" w:hAnsi="Arial" w:cs="Arial"/>
        </w:rPr>
        <w:t xml:space="preserve">WHS laws </w:t>
      </w:r>
      <w:r w:rsidRPr="006863D5">
        <w:rPr>
          <w:rFonts w:ascii="Arial" w:hAnsi="Arial" w:cs="Arial"/>
        </w:rPr>
        <w:t>applying</w:t>
      </w:r>
      <w:r w:rsidR="00A83C2F" w:rsidRPr="006863D5">
        <w:rPr>
          <w:rFonts w:ascii="Arial" w:hAnsi="Arial" w:cs="Arial"/>
        </w:rPr>
        <w:t xml:space="preserve"> in </w:t>
      </w:r>
      <w:r w:rsidR="009E5AC0">
        <w:rPr>
          <w:rFonts w:ascii="Arial" w:hAnsi="Arial" w:cs="Arial"/>
        </w:rPr>
        <w:t xml:space="preserve">the maritime region and any gaps of existing WHS laws. The proposed </w:t>
      </w:r>
      <w:r w:rsidR="00A83C2F" w:rsidRPr="006863D5">
        <w:rPr>
          <w:rFonts w:ascii="Arial" w:hAnsi="Arial" w:cs="Arial"/>
        </w:rPr>
        <w:t xml:space="preserve">regulatory framework </w:t>
      </w:r>
      <w:r w:rsidR="008D4D0D">
        <w:rPr>
          <w:rFonts w:ascii="Arial" w:hAnsi="Arial" w:cs="Arial"/>
        </w:rPr>
        <w:t>would</w:t>
      </w:r>
      <w:r w:rsidR="008D4D0D" w:rsidRPr="006863D5">
        <w:rPr>
          <w:rFonts w:ascii="Arial" w:hAnsi="Arial" w:cs="Arial"/>
        </w:rPr>
        <w:t xml:space="preserve"> </w:t>
      </w:r>
      <w:r w:rsidR="00A83C2F" w:rsidRPr="006863D5">
        <w:rPr>
          <w:rFonts w:ascii="Arial" w:hAnsi="Arial" w:cs="Arial"/>
        </w:rPr>
        <w:t xml:space="preserve">provide WHS coverage for vessels and other facilities conducting offshore </w:t>
      </w:r>
      <w:r w:rsidR="00BE3964">
        <w:rPr>
          <w:rFonts w:ascii="Arial" w:hAnsi="Arial" w:cs="Arial"/>
        </w:rPr>
        <w:t>electricity</w:t>
      </w:r>
      <w:r w:rsidR="00A83C2F" w:rsidRPr="006863D5">
        <w:rPr>
          <w:rFonts w:ascii="Arial" w:hAnsi="Arial" w:cs="Arial"/>
        </w:rPr>
        <w:t xml:space="preserve"> activities. WHS coverage </w:t>
      </w:r>
      <w:r w:rsidR="008D4D0D">
        <w:rPr>
          <w:rFonts w:ascii="Arial" w:hAnsi="Arial" w:cs="Arial"/>
        </w:rPr>
        <w:t xml:space="preserve">would </w:t>
      </w:r>
      <w:r w:rsidR="00A83C2F" w:rsidRPr="006863D5">
        <w:rPr>
          <w:rFonts w:ascii="Arial" w:hAnsi="Arial" w:cs="Arial"/>
        </w:rPr>
        <w:t>include constructing</w:t>
      </w:r>
      <w:r w:rsidR="00A83C2F" w:rsidRPr="004B5B17">
        <w:rPr>
          <w:rFonts w:ascii="Arial" w:hAnsi="Arial" w:cs="Arial"/>
        </w:rPr>
        <w:t xml:space="preserve">, installing, operating or decommissioning offshore </w:t>
      </w:r>
      <w:r w:rsidR="00BE3964">
        <w:rPr>
          <w:rFonts w:ascii="Arial" w:hAnsi="Arial" w:cs="Arial"/>
        </w:rPr>
        <w:t>electricity</w:t>
      </w:r>
      <w:r w:rsidR="00BE3964" w:rsidRPr="004B5B17">
        <w:rPr>
          <w:rFonts w:ascii="Arial" w:hAnsi="Arial" w:cs="Arial"/>
        </w:rPr>
        <w:t xml:space="preserve"> </w:t>
      </w:r>
      <w:r w:rsidR="00A83C2F" w:rsidRPr="004B5B17">
        <w:rPr>
          <w:rFonts w:ascii="Arial" w:hAnsi="Arial" w:cs="Arial"/>
        </w:rPr>
        <w:t xml:space="preserve">infrastructure or conducting operations and works in connection with those activities. WHS for all other vessel based activities would </w:t>
      </w:r>
      <w:r w:rsidR="00657488">
        <w:rPr>
          <w:rFonts w:ascii="Arial" w:hAnsi="Arial" w:cs="Arial"/>
        </w:rPr>
        <w:t xml:space="preserve">continue to </w:t>
      </w:r>
      <w:r w:rsidR="00A83C2F" w:rsidRPr="004B5B17">
        <w:rPr>
          <w:rFonts w:ascii="Arial" w:hAnsi="Arial" w:cs="Arial"/>
        </w:rPr>
        <w:t xml:space="preserve">be covered under the </w:t>
      </w:r>
      <w:r w:rsidR="00543880" w:rsidRPr="002D5AC3">
        <w:rPr>
          <w:rFonts w:ascii="Arial" w:hAnsi="Arial" w:cs="Arial"/>
          <w:i/>
        </w:rPr>
        <w:t xml:space="preserve">Occupational </w:t>
      </w:r>
      <w:r w:rsidR="00A83C2F" w:rsidRPr="002D5AC3">
        <w:rPr>
          <w:rFonts w:ascii="Arial" w:hAnsi="Arial" w:cs="Arial"/>
          <w:i/>
        </w:rPr>
        <w:t>H</w:t>
      </w:r>
      <w:r w:rsidR="00B40D58" w:rsidRPr="002D5AC3">
        <w:rPr>
          <w:rFonts w:ascii="Arial" w:hAnsi="Arial" w:cs="Arial"/>
          <w:i/>
        </w:rPr>
        <w:t xml:space="preserve">ealth and </w:t>
      </w:r>
      <w:r w:rsidR="00A83C2F" w:rsidRPr="002D5AC3">
        <w:rPr>
          <w:rFonts w:ascii="Arial" w:hAnsi="Arial" w:cs="Arial"/>
          <w:i/>
        </w:rPr>
        <w:t>S</w:t>
      </w:r>
      <w:r w:rsidR="00B40D58" w:rsidRPr="002D5AC3">
        <w:rPr>
          <w:rFonts w:ascii="Arial" w:hAnsi="Arial" w:cs="Arial"/>
          <w:i/>
        </w:rPr>
        <w:t>afety</w:t>
      </w:r>
      <w:r w:rsidR="00A83C2F" w:rsidRPr="002D5AC3">
        <w:rPr>
          <w:rFonts w:ascii="Arial" w:hAnsi="Arial" w:cs="Arial"/>
          <w:i/>
        </w:rPr>
        <w:t xml:space="preserve"> (M</w:t>
      </w:r>
      <w:r w:rsidR="00B40D58" w:rsidRPr="002D5AC3">
        <w:rPr>
          <w:rFonts w:ascii="Arial" w:hAnsi="Arial" w:cs="Arial"/>
          <w:i/>
        </w:rPr>
        <w:t xml:space="preserve">aritime </w:t>
      </w:r>
      <w:r w:rsidR="00A83C2F" w:rsidRPr="002D5AC3">
        <w:rPr>
          <w:rFonts w:ascii="Arial" w:hAnsi="Arial" w:cs="Arial"/>
          <w:i/>
        </w:rPr>
        <w:t>I</w:t>
      </w:r>
      <w:r w:rsidR="00B40D58" w:rsidRPr="002D5AC3">
        <w:rPr>
          <w:rFonts w:ascii="Arial" w:hAnsi="Arial" w:cs="Arial"/>
          <w:i/>
        </w:rPr>
        <w:t>ndustry</w:t>
      </w:r>
      <w:r w:rsidR="00A83C2F" w:rsidRPr="002D5AC3">
        <w:rPr>
          <w:rFonts w:ascii="Arial" w:hAnsi="Arial" w:cs="Arial"/>
          <w:i/>
        </w:rPr>
        <w:t>) Act</w:t>
      </w:r>
      <w:r w:rsidR="00543880">
        <w:rPr>
          <w:rFonts w:ascii="Arial" w:hAnsi="Arial" w:cs="Arial"/>
          <w:i/>
        </w:rPr>
        <w:t> </w:t>
      </w:r>
      <w:r w:rsidR="00543880" w:rsidRPr="002D5AC3">
        <w:rPr>
          <w:rFonts w:ascii="Arial" w:hAnsi="Arial" w:cs="Arial"/>
          <w:i/>
        </w:rPr>
        <w:t>1993</w:t>
      </w:r>
      <w:r w:rsidR="00543880">
        <w:rPr>
          <w:rFonts w:ascii="Arial" w:hAnsi="Arial" w:cs="Arial"/>
        </w:rPr>
        <w:t xml:space="preserve"> </w:t>
      </w:r>
      <w:r w:rsidR="00A83C2F" w:rsidRPr="004B5B17">
        <w:rPr>
          <w:rFonts w:ascii="Arial" w:hAnsi="Arial" w:cs="Arial"/>
        </w:rPr>
        <w:t xml:space="preserve">and other relevant legislation (e.g. </w:t>
      </w:r>
      <w:r w:rsidR="00A83C2F" w:rsidRPr="002D5AC3">
        <w:rPr>
          <w:rFonts w:ascii="Arial" w:hAnsi="Arial" w:cs="Arial"/>
          <w:i/>
        </w:rPr>
        <w:t>Navigation Act</w:t>
      </w:r>
      <w:r w:rsidR="00543880" w:rsidRPr="002D5AC3">
        <w:rPr>
          <w:rFonts w:ascii="Arial" w:hAnsi="Arial" w:cs="Arial"/>
          <w:i/>
        </w:rPr>
        <w:t xml:space="preserve"> 2012</w:t>
      </w:r>
      <w:r w:rsidR="00A83C2F" w:rsidRPr="004B5B17">
        <w:rPr>
          <w:rFonts w:ascii="Arial" w:hAnsi="Arial" w:cs="Arial"/>
        </w:rPr>
        <w:t xml:space="preserve">). </w:t>
      </w:r>
    </w:p>
    <w:p w:rsidR="00A83C2F" w:rsidRPr="004B5B17" w:rsidRDefault="00A83C2F" w:rsidP="0057257B">
      <w:pPr>
        <w:spacing w:before="120" w:after="120" w:line="276" w:lineRule="auto"/>
        <w:rPr>
          <w:rFonts w:ascii="Arial" w:hAnsi="Arial" w:cs="Arial"/>
        </w:rPr>
      </w:pPr>
      <w:r w:rsidRPr="004B5B17">
        <w:rPr>
          <w:rFonts w:ascii="Arial" w:hAnsi="Arial" w:cs="Arial"/>
        </w:rPr>
        <w:t xml:space="preserve">The regulatory regime </w:t>
      </w:r>
      <w:r w:rsidR="008D4D0D">
        <w:rPr>
          <w:rFonts w:ascii="Arial" w:hAnsi="Arial" w:cs="Arial"/>
        </w:rPr>
        <w:t>would</w:t>
      </w:r>
      <w:r w:rsidR="008D4D0D" w:rsidRPr="004B5B17">
        <w:rPr>
          <w:rFonts w:ascii="Arial" w:hAnsi="Arial" w:cs="Arial"/>
        </w:rPr>
        <w:t xml:space="preserve"> </w:t>
      </w:r>
      <w:r w:rsidRPr="004B5B17">
        <w:rPr>
          <w:rFonts w:ascii="Arial" w:hAnsi="Arial" w:cs="Arial"/>
        </w:rPr>
        <w:t xml:space="preserve">apply the Commonwealth </w:t>
      </w:r>
      <w:r w:rsidRPr="002D5AC3">
        <w:rPr>
          <w:rFonts w:ascii="Arial" w:hAnsi="Arial" w:cs="Arial"/>
          <w:i/>
        </w:rPr>
        <w:t>Work Health and Safety Act 2011</w:t>
      </w:r>
      <w:r w:rsidRPr="004B5B17">
        <w:rPr>
          <w:rFonts w:ascii="Arial" w:hAnsi="Arial" w:cs="Arial"/>
        </w:rPr>
        <w:t xml:space="preserve"> (WHS</w:t>
      </w:r>
      <w:r w:rsidR="00B830F3">
        <w:rPr>
          <w:rFonts w:ascii="Arial" w:hAnsi="Arial" w:cs="Arial"/>
        </w:rPr>
        <w:t> </w:t>
      </w:r>
      <w:r w:rsidRPr="004B5B17">
        <w:rPr>
          <w:rFonts w:ascii="Arial" w:hAnsi="Arial" w:cs="Arial"/>
        </w:rPr>
        <w:t xml:space="preserve">Act), to the greatest extent possible. As the existing WHS Act does not provide appropriate measures (e.g. structural integrity), the WHS Act provisions </w:t>
      </w:r>
      <w:r w:rsidR="008D4D0D">
        <w:rPr>
          <w:rFonts w:ascii="Arial" w:hAnsi="Arial" w:cs="Arial"/>
        </w:rPr>
        <w:t>would</w:t>
      </w:r>
      <w:r w:rsidR="008D4D0D" w:rsidRPr="004B5B17">
        <w:rPr>
          <w:rFonts w:ascii="Arial" w:hAnsi="Arial" w:cs="Arial"/>
        </w:rPr>
        <w:t xml:space="preserve"> </w:t>
      </w:r>
      <w:r w:rsidRPr="004B5B17">
        <w:rPr>
          <w:rFonts w:ascii="Arial" w:hAnsi="Arial" w:cs="Arial"/>
        </w:rPr>
        <w:t xml:space="preserve">be applied where possible and modifications or new provisions drafted within the regulatory framework as necessary. Regulations under the regulatory framework </w:t>
      </w:r>
      <w:r w:rsidR="008D4D0D">
        <w:rPr>
          <w:rFonts w:ascii="Arial" w:hAnsi="Arial" w:cs="Arial"/>
        </w:rPr>
        <w:t>would</w:t>
      </w:r>
      <w:r w:rsidR="008D4D0D" w:rsidRPr="004B5B17">
        <w:rPr>
          <w:rFonts w:ascii="Arial" w:hAnsi="Arial" w:cs="Arial"/>
        </w:rPr>
        <w:t xml:space="preserve"> </w:t>
      </w:r>
      <w:r w:rsidRPr="004B5B17">
        <w:rPr>
          <w:rFonts w:ascii="Arial" w:hAnsi="Arial" w:cs="Arial"/>
        </w:rPr>
        <w:t>lay o</w:t>
      </w:r>
      <w:r w:rsidR="0067587D">
        <w:rPr>
          <w:rFonts w:ascii="Arial" w:hAnsi="Arial" w:cs="Arial"/>
        </w:rPr>
        <w:t>ut requirements in relation to management p</w:t>
      </w:r>
      <w:r w:rsidRPr="004B5B17">
        <w:rPr>
          <w:rFonts w:ascii="Arial" w:hAnsi="Arial" w:cs="Arial"/>
        </w:rPr>
        <w:t xml:space="preserve">lans </w:t>
      </w:r>
      <w:r w:rsidR="00B830F3">
        <w:rPr>
          <w:rFonts w:ascii="Arial" w:hAnsi="Arial" w:cs="Arial"/>
        </w:rPr>
        <w:t>that</w:t>
      </w:r>
      <w:r w:rsidR="00B830F3" w:rsidRPr="004B5B17">
        <w:rPr>
          <w:rFonts w:ascii="Arial" w:hAnsi="Arial" w:cs="Arial"/>
        </w:rPr>
        <w:t xml:space="preserve"> </w:t>
      </w:r>
      <w:r w:rsidR="008D4D0D">
        <w:rPr>
          <w:rFonts w:ascii="Arial" w:hAnsi="Arial" w:cs="Arial"/>
        </w:rPr>
        <w:t>would</w:t>
      </w:r>
      <w:r w:rsidR="008D4D0D" w:rsidRPr="004B5B17">
        <w:rPr>
          <w:rFonts w:ascii="Arial" w:hAnsi="Arial" w:cs="Arial"/>
        </w:rPr>
        <w:t xml:space="preserve"> </w:t>
      </w:r>
      <w:r w:rsidRPr="004B5B17">
        <w:rPr>
          <w:rFonts w:ascii="Arial" w:hAnsi="Arial" w:cs="Arial"/>
        </w:rPr>
        <w:t xml:space="preserve">provide a framework for the management of hazards and risks including as they relate to WHS. </w:t>
      </w:r>
    </w:p>
    <w:p w:rsidR="00A83C2F" w:rsidRPr="004B5B17" w:rsidRDefault="00A83C2F" w:rsidP="0057257B">
      <w:pPr>
        <w:spacing w:before="120" w:after="120" w:line="276" w:lineRule="auto"/>
        <w:rPr>
          <w:rFonts w:ascii="Arial" w:hAnsi="Arial" w:cs="Arial"/>
        </w:rPr>
      </w:pPr>
      <w:r w:rsidRPr="004B5B17">
        <w:rPr>
          <w:rFonts w:ascii="Arial" w:hAnsi="Arial" w:cs="Arial"/>
        </w:rPr>
        <w:t xml:space="preserve">Providing WHS coverage under </w:t>
      </w:r>
      <w:r w:rsidR="00EB3493">
        <w:rPr>
          <w:rFonts w:ascii="Arial" w:hAnsi="Arial" w:cs="Arial"/>
        </w:rPr>
        <w:t>the framework</w:t>
      </w:r>
      <w:r w:rsidRPr="004B5B17">
        <w:rPr>
          <w:rFonts w:ascii="Arial" w:hAnsi="Arial" w:cs="Arial"/>
        </w:rPr>
        <w:t xml:space="preserve"> </w:t>
      </w:r>
      <w:r w:rsidR="008D4D0D">
        <w:rPr>
          <w:rFonts w:ascii="Arial" w:hAnsi="Arial" w:cs="Arial"/>
        </w:rPr>
        <w:t>would</w:t>
      </w:r>
      <w:r w:rsidR="008D4D0D" w:rsidRPr="004B5B17">
        <w:rPr>
          <w:rFonts w:ascii="Arial" w:hAnsi="Arial" w:cs="Arial"/>
        </w:rPr>
        <w:t xml:space="preserve"> </w:t>
      </w:r>
      <w:r w:rsidR="005D2C37" w:rsidRPr="004B5B17">
        <w:rPr>
          <w:rFonts w:ascii="Arial" w:hAnsi="Arial" w:cs="Arial"/>
        </w:rPr>
        <w:t xml:space="preserve">make the </w:t>
      </w:r>
      <w:r w:rsidR="00B830F3">
        <w:rPr>
          <w:rFonts w:ascii="Arial" w:hAnsi="Arial" w:cs="Arial"/>
        </w:rPr>
        <w:t>M</w:t>
      </w:r>
      <w:r w:rsidR="005D2C37" w:rsidRPr="004B5B17">
        <w:rPr>
          <w:rFonts w:ascii="Arial" w:hAnsi="Arial" w:cs="Arial"/>
        </w:rPr>
        <w:t xml:space="preserve">inister for Energy </w:t>
      </w:r>
      <w:r w:rsidRPr="004B5B17">
        <w:rPr>
          <w:rFonts w:ascii="Arial" w:hAnsi="Arial" w:cs="Arial"/>
        </w:rPr>
        <w:t xml:space="preserve">the responsible minister for WHS matters. This is consistent with analogous regimes, such as the </w:t>
      </w:r>
      <w:r w:rsidR="00E73FCC" w:rsidRPr="00985B67">
        <w:rPr>
          <w:rFonts w:ascii="Arial" w:hAnsi="Arial" w:cs="Arial"/>
          <w:i/>
        </w:rPr>
        <w:t>Offshore Petroleum and Greenhouse Gas Storage Act 2006</w:t>
      </w:r>
      <w:r w:rsidRPr="004B5B17">
        <w:rPr>
          <w:rFonts w:ascii="Arial" w:hAnsi="Arial" w:cs="Arial"/>
        </w:rPr>
        <w:t xml:space="preserve">. </w:t>
      </w:r>
    </w:p>
    <w:p w:rsidR="00810822" w:rsidRPr="002D5AC3" w:rsidRDefault="00810822" w:rsidP="002D5AC3">
      <w:pPr>
        <w:spacing w:before="120" w:after="120" w:line="276" w:lineRule="auto"/>
        <w:rPr>
          <w:rFonts w:cs="Arial"/>
          <w:u w:val="single"/>
        </w:rPr>
      </w:pPr>
      <w:r w:rsidRPr="002D5AC3">
        <w:rPr>
          <w:rFonts w:ascii="Arial" w:hAnsi="Arial" w:cs="Arial"/>
          <w:u w:val="single"/>
        </w:rPr>
        <w:t>Regulatory oversight</w:t>
      </w:r>
    </w:p>
    <w:p w:rsidR="00275017" w:rsidRPr="00275017" w:rsidRDefault="00275017" w:rsidP="0057257B">
      <w:pPr>
        <w:spacing w:before="120" w:after="120" w:line="276" w:lineRule="auto"/>
        <w:rPr>
          <w:rFonts w:ascii="Arial" w:hAnsi="Arial" w:cs="Arial"/>
        </w:rPr>
      </w:pPr>
      <w:r w:rsidRPr="004B5B17">
        <w:rPr>
          <w:rFonts w:ascii="Arial" w:hAnsi="Arial" w:cs="Arial"/>
        </w:rPr>
        <w:t>It is proposed for National Offshore Petroleum Safety and Environmental Management Authority (NOPSEMA) and the National Offshore Petroleum Titles Administrator (NOPTA) to act as the regulator and registrar respectively. These agencies provide existing expertise in regulating offshore infrastructure</w:t>
      </w:r>
      <w:r w:rsidRPr="00275017">
        <w:rPr>
          <w:rFonts w:ascii="Arial" w:hAnsi="Arial" w:cs="Arial"/>
        </w:rPr>
        <w:t xml:space="preserve"> and </w:t>
      </w:r>
      <w:r w:rsidR="00EB3493">
        <w:rPr>
          <w:rFonts w:ascii="Arial" w:hAnsi="Arial" w:cs="Arial"/>
        </w:rPr>
        <w:t xml:space="preserve">using them </w:t>
      </w:r>
      <w:r w:rsidR="008D4D0D">
        <w:rPr>
          <w:rFonts w:ascii="Arial" w:hAnsi="Arial" w:cs="Arial"/>
        </w:rPr>
        <w:t xml:space="preserve">would </w:t>
      </w:r>
      <w:r w:rsidRPr="00275017">
        <w:rPr>
          <w:rFonts w:ascii="Arial" w:hAnsi="Arial" w:cs="Arial"/>
        </w:rPr>
        <w:t xml:space="preserve">avoid additional costs </w:t>
      </w:r>
      <w:r w:rsidR="00EB3493">
        <w:rPr>
          <w:rFonts w:ascii="Arial" w:hAnsi="Arial" w:cs="Arial"/>
        </w:rPr>
        <w:t xml:space="preserve">that would otherwise be involved in the </w:t>
      </w:r>
      <w:r w:rsidR="00EB3493" w:rsidRPr="00275017">
        <w:rPr>
          <w:rFonts w:ascii="Arial" w:hAnsi="Arial" w:cs="Arial"/>
        </w:rPr>
        <w:t>establish</w:t>
      </w:r>
      <w:r w:rsidR="00EB3493">
        <w:rPr>
          <w:rFonts w:ascii="Arial" w:hAnsi="Arial" w:cs="Arial"/>
        </w:rPr>
        <w:t>ment of</w:t>
      </w:r>
      <w:r w:rsidR="00EB3493" w:rsidRPr="00275017">
        <w:rPr>
          <w:rFonts w:ascii="Arial" w:hAnsi="Arial" w:cs="Arial"/>
        </w:rPr>
        <w:t xml:space="preserve"> </w:t>
      </w:r>
      <w:r w:rsidRPr="00275017">
        <w:rPr>
          <w:rFonts w:ascii="Arial" w:hAnsi="Arial" w:cs="Arial"/>
        </w:rPr>
        <w:t xml:space="preserve">new agencies.  </w:t>
      </w:r>
    </w:p>
    <w:p w:rsidR="00275017" w:rsidRDefault="00275017" w:rsidP="0057257B">
      <w:pPr>
        <w:spacing w:before="120" w:after="120" w:line="276" w:lineRule="auto"/>
        <w:rPr>
          <w:rFonts w:ascii="Arial" w:hAnsi="Arial" w:cs="Arial"/>
        </w:rPr>
      </w:pPr>
      <w:r w:rsidRPr="00275017">
        <w:rPr>
          <w:rFonts w:ascii="Arial" w:hAnsi="Arial" w:cs="Arial"/>
        </w:rPr>
        <w:t xml:space="preserve">The </w:t>
      </w:r>
      <w:r w:rsidR="00241DBD">
        <w:rPr>
          <w:rFonts w:ascii="Arial" w:hAnsi="Arial" w:cs="Arial"/>
        </w:rPr>
        <w:t>Regulator</w:t>
      </w:r>
      <w:r w:rsidRPr="00275017">
        <w:rPr>
          <w:rFonts w:ascii="Arial" w:hAnsi="Arial" w:cs="Arial"/>
        </w:rPr>
        <w:t xml:space="preserve"> </w:t>
      </w:r>
      <w:r w:rsidR="008D4D0D">
        <w:rPr>
          <w:rFonts w:ascii="Arial" w:hAnsi="Arial" w:cs="Arial"/>
        </w:rPr>
        <w:t>would</w:t>
      </w:r>
      <w:r w:rsidR="008D4D0D" w:rsidRPr="00275017">
        <w:rPr>
          <w:rFonts w:ascii="Arial" w:hAnsi="Arial" w:cs="Arial"/>
        </w:rPr>
        <w:t xml:space="preserve"> </w:t>
      </w:r>
      <w:r w:rsidRPr="00275017">
        <w:rPr>
          <w:rFonts w:ascii="Arial" w:hAnsi="Arial" w:cs="Arial"/>
        </w:rPr>
        <w:t xml:space="preserve">be provided with sufficient powers and enforcement tools to effectively monitor and enforce compliance with the requirements of the offshore </w:t>
      </w:r>
      <w:r w:rsidR="00BE3964">
        <w:rPr>
          <w:rFonts w:ascii="Arial" w:hAnsi="Arial" w:cs="Arial"/>
        </w:rPr>
        <w:t>electricity</w:t>
      </w:r>
      <w:r w:rsidRPr="00275017">
        <w:rPr>
          <w:rFonts w:ascii="Arial" w:hAnsi="Arial" w:cs="Arial"/>
        </w:rPr>
        <w:t xml:space="preserve"> infrastructure regulatory framework, including the ability to appoint inspectors. The inspectors </w:t>
      </w:r>
      <w:r w:rsidR="008D4D0D">
        <w:rPr>
          <w:rFonts w:ascii="Arial" w:hAnsi="Arial" w:cs="Arial"/>
        </w:rPr>
        <w:t>would</w:t>
      </w:r>
      <w:r w:rsidR="008D4D0D" w:rsidRPr="00275017">
        <w:rPr>
          <w:rFonts w:ascii="Arial" w:hAnsi="Arial" w:cs="Arial"/>
        </w:rPr>
        <w:t xml:space="preserve"> </w:t>
      </w:r>
      <w:r w:rsidRPr="00275017">
        <w:rPr>
          <w:rFonts w:ascii="Arial" w:hAnsi="Arial" w:cs="Arial"/>
        </w:rPr>
        <w:t>be given necessary powers to conduct inspections and investigations to determine whether licence holders are co</w:t>
      </w:r>
      <w:r w:rsidR="003645A8">
        <w:rPr>
          <w:rFonts w:ascii="Arial" w:hAnsi="Arial" w:cs="Arial"/>
        </w:rPr>
        <w:t>mplying with requirements. The R</w:t>
      </w:r>
      <w:r w:rsidRPr="00275017">
        <w:rPr>
          <w:rFonts w:ascii="Arial" w:hAnsi="Arial" w:cs="Arial"/>
        </w:rPr>
        <w:t xml:space="preserve">egulator </w:t>
      </w:r>
      <w:r w:rsidR="008D4D0D">
        <w:rPr>
          <w:rFonts w:ascii="Arial" w:hAnsi="Arial" w:cs="Arial"/>
        </w:rPr>
        <w:t>would</w:t>
      </w:r>
      <w:r w:rsidR="008D4D0D" w:rsidRPr="00275017">
        <w:rPr>
          <w:rFonts w:ascii="Arial" w:hAnsi="Arial" w:cs="Arial"/>
        </w:rPr>
        <w:t xml:space="preserve"> </w:t>
      </w:r>
      <w:r w:rsidRPr="00275017">
        <w:rPr>
          <w:rFonts w:ascii="Arial" w:hAnsi="Arial" w:cs="Arial"/>
        </w:rPr>
        <w:t>also be provided with enforcement tools, including the power to issue notices, financial penalties and directions and to seek prosecutions for offences.</w:t>
      </w:r>
    </w:p>
    <w:p w:rsidR="00DA2976" w:rsidRDefault="00823B4F" w:rsidP="0057257B">
      <w:pPr>
        <w:spacing w:before="120" w:after="120" w:line="276" w:lineRule="auto"/>
        <w:rPr>
          <w:rFonts w:ascii="Arial" w:hAnsi="Arial" w:cs="Arial"/>
        </w:rPr>
      </w:pPr>
      <w:r>
        <w:rPr>
          <w:rFonts w:ascii="Arial" w:hAnsi="Arial" w:cs="Arial"/>
        </w:rPr>
        <w:t>The R</w:t>
      </w:r>
      <w:r w:rsidR="008B7DBE">
        <w:rPr>
          <w:rFonts w:ascii="Arial" w:hAnsi="Arial" w:cs="Arial"/>
        </w:rPr>
        <w:t xml:space="preserve">egistrar </w:t>
      </w:r>
      <w:r w:rsidR="008D4D0D">
        <w:rPr>
          <w:rFonts w:ascii="Arial" w:hAnsi="Arial" w:cs="Arial"/>
        </w:rPr>
        <w:t xml:space="preserve">would </w:t>
      </w:r>
      <w:r w:rsidR="003645A8">
        <w:rPr>
          <w:rFonts w:ascii="Arial" w:hAnsi="Arial" w:cs="Arial"/>
        </w:rPr>
        <w:t>undertake a range of functions including advising</w:t>
      </w:r>
      <w:r w:rsidR="008B7DBE">
        <w:rPr>
          <w:rFonts w:ascii="Arial" w:hAnsi="Arial" w:cs="Arial"/>
        </w:rPr>
        <w:t xml:space="preserve"> and support</w:t>
      </w:r>
      <w:r w:rsidR="00B830F3">
        <w:rPr>
          <w:rFonts w:ascii="Arial" w:hAnsi="Arial" w:cs="Arial"/>
        </w:rPr>
        <w:t>ing</w:t>
      </w:r>
      <w:r w:rsidR="008B7DBE">
        <w:rPr>
          <w:rFonts w:ascii="Arial" w:hAnsi="Arial" w:cs="Arial"/>
        </w:rPr>
        <w:t xml:space="preserve"> the Minister</w:t>
      </w:r>
      <w:r w:rsidR="00B830F3">
        <w:rPr>
          <w:rFonts w:ascii="Arial" w:hAnsi="Arial" w:cs="Arial"/>
        </w:rPr>
        <w:t xml:space="preserve"> for Energy</w:t>
      </w:r>
      <w:r w:rsidR="008B7DBE">
        <w:rPr>
          <w:rFonts w:ascii="Arial" w:hAnsi="Arial" w:cs="Arial"/>
        </w:rPr>
        <w:t xml:space="preserve"> in relation to licence administration; administer</w:t>
      </w:r>
      <w:r w:rsidR="003645A8">
        <w:rPr>
          <w:rFonts w:ascii="Arial" w:hAnsi="Arial" w:cs="Arial"/>
        </w:rPr>
        <w:t>ing</w:t>
      </w:r>
      <w:r w:rsidR="008B7DBE">
        <w:rPr>
          <w:rFonts w:ascii="Arial" w:hAnsi="Arial" w:cs="Arial"/>
        </w:rPr>
        <w:t xml:space="preserve"> licences and </w:t>
      </w:r>
      <w:r w:rsidR="003645A8">
        <w:rPr>
          <w:rFonts w:ascii="Arial" w:hAnsi="Arial" w:cs="Arial"/>
        </w:rPr>
        <w:t>maintaining a register of licences and</w:t>
      </w:r>
      <w:r w:rsidR="008B7DBE">
        <w:rPr>
          <w:rFonts w:ascii="Arial" w:hAnsi="Arial" w:cs="Arial"/>
        </w:rPr>
        <w:t xml:space="preserve"> collect</w:t>
      </w:r>
      <w:r w:rsidR="003645A8">
        <w:rPr>
          <w:rFonts w:ascii="Arial" w:hAnsi="Arial" w:cs="Arial"/>
        </w:rPr>
        <w:t>ing and managing</w:t>
      </w:r>
      <w:r w:rsidR="008B7DBE">
        <w:rPr>
          <w:rFonts w:ascii="Arial" w:hAnsi="Arial" w:cs="Arial"/>
        </w:rPr>
        <w:t xml:space="preserve"> data, reports and informat</w:t>
      </w:r>
      <w:r w:rsidR="003645A8">
        <w:rPr>
          <w:rFonts w:ascii="Arial" w:hAnsi="Arial" w:cs="Arial"/>
        </w:rPr>
        <w:t>ion in relation these licences.</w:t>
      </w:r>
    </w:p>
    <w:p w:rsidR="00B830F3" w:rsidRPr="00DA2976" w:rsidRDefault="00B830F3" w:rsidP="0057257B">
      <w:pPr>
        <w:spacing w:before="120" w:after="120" w:line="276" w:lineRule="auto"/>
        <w:rPr>
          <w:rFonts w:ascii="Arial" w:hAnsi="Arial" w:cs="Arial"/>
        </w:rPr>
      </w:pPr>
    </w:p>
    <w:p w:rsidR="00810822" w:rsidRPr="00162C7C" w:rsidRDefault="00162C7C" w:rsidP="0057257B">
      <w:pPr>
        <w:pStyle w:val="Heading3"/>
        <w:numPr>
          <w:ilvl w:val="2"/>
          <w:numId w:val="11"/>
        </w:numPr>
        <w:spacing w:before="120" w:after="120" w:line="276" w:lineRule="auto"/>
      </w:pPr>
      <w:r w:rsidRPr="00162C7C">
        <w:t xml:space="preserve"> </w:t>
      </w:r>
      <w:r w:rsidR="00C3417A">
        <w:rPr>
          <w:rFonts w:ascii="Arial" w:hAnsi="Arial" w:cs="Arial"/>
        </w:rPr>
        <w:t>How it would work – advantages and</w:t>
      </w:r>
      <w:r w:rsidRPr="00463361">
        <w:rPr>
          <w:rFonts w:ascii="Arial" w:hAnsi="Arial" w:cs="Arial"/>
        </w:rPr>
        <w:t xml:space="preserve"> disadvantages</w:t>
      </w:r>
    </w:p>
    <w:p w:rsidR="00AF1D91" w:rsidRPr="008029A7" w:rsidRDefault="00AF1D91" w:rsidP="008029A7">
      <w:pPr>
        <w:spacing w:before="120" w:after="120" w:line="276" w:lineRule="auto"/>
        <w:rPr>
          <w:rFonts w:ascii="Arial" w:hAnsi="Arial" w:cs="Arial"/>
        </w:rPr>
      </w:pPr>
      <w:r w:rsidRPr="00AF1D91">
        <w:rPr>
          <w:rFonts w:ascii="Arial" w:hAnsi="Arial" w:cs="Arial"/>
        </w:rPr>
        <w:t>A</w:t>
      </w:r>
      <w:r>
        <w:rPr>
          <w:rFonts w:ascii="Arial" w:hAnsi="Arial" w:cs="Arial"/>
        </w:rPr>
        <w:t xml:space="preserve">n </w:t>
      </w:r>
      <w:r w:rsidRPr="00AF1D91">
        <w:rPr>
          <w:rFonts w:ascii="Arial" w:hAnsi="Arial" w:cs="Arial"/>
        </w:rPr>
        <w:t xml:space="preserve">advantage of </w:t>
      </w:r>
      <w:r>
        <w:rPr>
          <w:rFonts w:ascii="Arial" w:hAnsi="Arial" w:cs="Arial"/>
        </w:rPr>
        <w:t xml:space="preserve">option 2 is that it creates a legislative framework to allow investment to be made in offshore </w:t>
      </w:r>
      <w:r w:rsidR="00BE3964">
        <w:rPr>
          <w:rFonts w:ascii="Arial" w:hAnsi="Arial" w:cs="Arial"/>
        </w:rPr>
        <w:t>electricity</w:t>
      </w:r>
      <w:r>
        <w:rPr>
          <w:rFonts w:ascii="Arial" w:hAnsi="Arial" w:cs="Arial"/>
        </w:rPr>
        <w:t>, the associated advantages to the economy, em</w:t>
      </w:r>
      <w:r w:rsidR="00A83C2F">
        <w:rPr>
          <w:rFonts w:ascii="Arial" w:hAnsi="Arial" w:cs="Arial"/>
        </w:rPr>
        <w:t xml:space="preserve">ployment and </w:t>
      </w:r>
      <w:r w:rsidR="00DE4E6B">
        <w:rPr>
          <w:rFonts w:ascii="Arial" w:hAnsi="Arial" w:cs="Arial"/>
        </w:rPr>
        <w:t>our energy sector</w:t>
      </w:r>
      <w:r w:rsidR="00A83C2F">
        <w:rPr>
          <w:rFonts w:ascii="Arial" w:hAnsi="Arial" w:cs="Arial"/>
        </w:rPr>
        <w:t xml:space="preserve">. </w:t>
      </w:r>
      <w:r w:rsidR="00676DAF">
        <w:rPr>
          <w:rFonts w:ascii="Arial" w:hAnsi="Arial" w:cs="Arial"/>
        </w:rPr>
        <w:t>As outlined in section 1, these benefits include:</w:t>
      </w:r>
    </w:p>
    <w:p w:rsidR="00DE4E6B" w:rsidRDefault="00DE4E6B" w:rsidP="002D5AC3">
      <w:pPr>
        <w:pStyle w:val="Bulletlist"/>
        <w:spacing w:line="276" w:lineRule="auto"/>
        <w:ind w:left="714" w:hanging="357"/>
      </w:pPr>
      <w:r>
        <w:t>Timely delivery of critical transmission infrastructure.</w:t>
      </w:r>
    </w:p>
    <w:p w:rsidR="00AF1D91" w:rsidRDefault="00EA1590" w:rsidP="002D5AC3">
      <w:pPr>
        <w:pStyle w:val="Bulletlist"/>
        <w:spacing w:line="276" w:lineRule="auto"/>
        <w:ind w:left="714" w:hanging="357"/>
      </w:pPr>
      <w:r>
        <w:t xml:space="preserve">Starting to implement a regulatory framework </w:t>
      </w:r>
      <w:r w:rsidR="00EF4354">
        <w:t xml:space="preserve">now </w:t>
      </w:r>
      <w:r>
        <w:t>allows</w:t>
      </w:r>
      <w:r w:rsidR="00132F90">
        <w:t xml:space="preserve"> </w:t>
      </w:r>
      <w:r w:rsidR="00EF4354">
        <w:t xml:space="preserve">industry </w:t>
      </w:r>
      <w:r w:rsidR="00132F90">
        <w:t xml:space="preserve">time to develop projects for the Australian market, noting the long timeframe for developing large scale projects such as offshore transmission infrastructure and offshore wind farms. </w:t>
      </w:r>
    </w:p>
    <w:p w:rsidR="00AF1D91" w:rsidRDefault="00AF1D91" w:rsidP="002D5AC3">
      <w:pPr>
        <w:pStyle w:val="Bulletlist"/>
        <w:spacing w:line="276" w:lineRule="auto"/>
        <w:ind w:left="714" w:hanging="357"/>
      </w:pPr>
      <w:r>
        <w:t>The framework is flexible to accommodate ongoing learning and refinement as the sector grows</w:t>
      </w:r>
      <w:r w:rsidR="008029A7">
        <w:t>.</w:t>
      </w:r>
    </w:p>
    <w:p w:rsidR="00DE4E6B" w:rsidRDefault="00DE4E6B" w:rsidP="002D5AC3">
      <w:pPr>
        <w:pStyle w:val="Bulletlist"/>
        <w:spacing w:line="276" w:lineRule="auto"/>
        <w:ind w:left="714" w:hanging="357"/>
      </w:pPr>
      <w:r>
        <w:t>Providing investor confidence.</w:t>
      </w:r>
    </w:p>
    <w:p w:rsidR="00AF1D91" w:rsidRDefault="00AF1D91" w:rsidP="002D5AC3">
      <w:pPr>
        <w:pStyle w:val="Bulletlist"/>
        <w:spacing w:line="276" w:lineRule="auto"/>
        <w:ind w:left="714" w:hanging="357"/>
      </w:pPr>
      <w:r>
        <w:t xml:space="preserve">The management costs are met on a cost recovery basis once the </w:t>
      </w:r>
      <w:r w:rsidR="00B830F3">
        <w:t xml:space="preserve">framework is </w:t>
      </w:r>
      <w:r>
        <w:t xml:space="preserve">implemented. </w:t>
      </w:r>
    </w:p>
    <w:p w:rsidR="00EF4354" w:rsidRPr="00B830F3" w:rsidRDefault="00854CC9" w:rsidP="00D679E4">
      <w:pPr>
        <w:spacing w:before="120" w:after="120" w:line="276" w:lineRule="auto"/>
        <w:rPr>
          <w:rFonts w:ascii="Arial" w:hAnsi="Arial" w:cs="Arial"/>
        </w:rPr>
      </w:pPr>
      <w:r w:rsidRPr="00D679E4">
        <w:rPr>
          <w:rFonts w:ascii="Arial" w:hAnsi="Arial" w:cs="Arial"/>
        </w:rPr>
        <w:t xml:space="preserve">Potential disadvantages and risks of this </w:t>
      </w:r>
      <w:r w:rsidR="008029A7" w:rsidRPr="00831F9B">
        <w:rPr>
          <w:rFonts w:ascii="Arial" w:hAnsi="Arial" w:cs="Arial"/>
        </w:rPr>
        <w:t>option</w:t>
      </w:r>
      <w:r w:rsidR="00CC3709" w:rsidRPr="00831F9B">
        <w:rPr>
          <w:rFonts w:ascii="Arial" w:hAnsi="Arial" w:cs="Arial"/>
        </w:rPr>
        <w:t xml:space="preserve"> include:</w:t>
      </w:r>
    </w:p>
    <w:p w:rsidR="007F7C13" w:rsidRDefault="008029A7" w:rsidP="00957277">
      <w:pPr>
        <w:pStyle w:val="Bulletlist"/>
        <w:spacing w:line="276" w:lineRule="auto"/>
        <w:ind w:left="714" w:hanging="357"/>
      </w:pPr>
      <w:r>
        <w:t xml:space="preserve">An argument can be made that is may be preferable to delay or further stagger development of a regulatory framework until the sector is further </w:t>
      </w:r>
      <w:r w:rsidR="00B830F3">
        <w:t xml:space="preserve">matured </w:t>
      </w:r>
      <w:r>
        <w:t>in Australia.</w:t>
      </w:r>
      <w:r w:rsidR="00604E39">
        <w:t xml:space="preserve"> </w:t>
      </w:r>
      <w:r w:rsidR="00EB3493">
        <w:t xml:space="preserve">However, </w:t>
      </w:r>
      <w:r w:rsidR="002758DC">
        <w:t>in the absence of an established framework, it may frustrate development of an offshore electricity infrastructure sector. C</w:t>
      </w:r>
      <w:r w:rsidR="00EB3493">
        <w:t xml:space="preserve">onsidering </w:t>
      </w:r>
      <w:r w:rsidR="00604E39">
        <w:t>the enabling nature of this framework</w:t>
      </w:r>
      <w:r w:rsidR="002758DC">
        <w:t xml:space="preserve">, </w:t>
      </w:r>
      <w:r w:rsidR="00DE4E6B">
        <w:t>the critical nature of projects like Marinus link</w:t>
      </w:r>
      <w:r w:rsidR="002758DC">
        <w:t xml:space="preserve"> the</w:t>
      </w:r>
      <w:r w:rsidR="00191C1C">
        <w:t xml:space="preserve"> relatively low cost to develop, </w:t>
      </w:r>
      <w:r w:rsidR="00604E39">
        <w:t>the need to provide investor confidence early</w:t>
      </w:r>
      <w:r w:rsidR="00E3415C">
        <w:t xml:space="preserve">, and the potential for significant delay costs, earlier action </w:t>
      </w:r>
      <w:r w:rsidR="002758DC">
        <w:t xml:space="preserve">is needed </w:t>
      </w:r>
      <w:r w:rsidR="00EB3493">
        <w:t>support</w:t>
      </w:r>
      <w:r w:rsidR="00E3415C">
        <w:t xml:space="preserve"> </w:t>
      </w:r>
      <w:r w:rsidR="00EB3493">
        <w:t>an emerging industry</w:t>
      </w:r>
      <w:r w:rsidR="00E3415C">
        <w:t xml:space="preserve">. </w:t>
      </w:r>
    </w:p>
    <w:p w:rsidR="008029A7" w:rsidRPr="00D679E4" w:rsidRDefault="00CC3709" w:rsidP="00E47E7A">
      <w:pPr>
        <w:pStyle w:val="Bulletlist"/>
        <w:spacing w:line="276" w:lineRule="auto"/>
        <w:ind w:left="714" w:hanging="357"/>
      </w:pPr>
      <w:r>
        <w:t>Estimating specific impacts to affected industries is uncertain</w:t>
      </w:r>
      <w:r w:rsidR="00263D5C">
        <w:t xml:space="preserve">, </w:t>
      </w:r>
      <w:r w:rsidR="00BA789D">
        <w:t xml:space="preserve">and while coexistence </w:t>
      </w:r>
      <w:r w:rsidR="00CB246C">
        <w:t>through consultation</w:t>
      </w:r>
      <w:r w:rsidR="00250EB1">
        <w:t xml:space="preserve"> and negotiation is the intended outcome</w:t>
      </w:r>
      <w:r w:rsidR="00CB246C">
        <w:t xml:space="preserve">, </w:t>
      </w:r>
      <w:r w:rsidR="002758DC">
        <w:t xml:space="preserve">some </w:t>
      </w:r>
      <w:r w:rsidR="00CB246C">
        <w:t xml:space="preserve">costs to affected parties </w:t>
      </w:r>
      <w:r w:rsidR="002758DC">
        <w:t>may result</w:t>
      </w:r>
      <w:r w:rsidR="00CB246C">
        <w:t xml:space="preserve">. </w:t>
      </w:r>
      <w:r w:rsidR="002758DC">
        <w:t>T</w:t>
      </w:r>
      <w:r w:rsidR="0067587D">
        <w:t xml:space="preserve">he </w:t>
      </w:r>
      <w:r w:rsidR="003D44C1">
        <w:t xml:space="preserve">pre-declaration </w:t>
      </w:r>
      <w:r w:rsidR="00530D05">
        <w:t xml:space="preserve">processes can be calibrated to better consider site assessment </w:t>
      </w:r>
      <w:r w:rsidR="003D44C1">
        <w:t>and</w:t>
      </w:r>
      <w:r w:rsidR="00530D05">
        <w:t xml:space="preserve"> </w:t>
      </w:r>
      <w:r w:rsidR="0067587D">
        <w:t xml:space="preserve">project assessment criteria </w:t>
      </w:r>
      <w:r w:rsidR="00530D05">
        <w:t xml:space="preserve">consultation requirements during </w:t>
      </w:r>
      <w:r w:rsidR="0067587D">
        <w:t xml:space="preserve">project development. Management plans can </w:t>
      </w:r>
      <w:r w:rsidR="00B22F20">
        <w:t xml:space="preserve">also </w:t>
      </w:r>
      <w:r w:rsidR="0067587D">
        <w:t xml:space="preserve">be reviewed </w:t>
      </w:r>
      <w:r w:rsidR="00000171">
        <w:t xml:space="preserve">to ensure impacts on affected industries are as low as reasonably practical. </w:t>
      </w:r>
    </w:p>
    <w:p w:rsidR="00EF4354" w:rsidRDefault="00EF4354" w:rsidP="0057257B">
      <w:pPr>
        <w:pStyle w:val="Heading3"/>
        <w:spacing w:before="120" w:after="120" w:line="276" w:lineRule="auto"/>
      </w:pPr>
      <w:r w:rsidRPr="00275017">
        <w:t xml:space="preserve">Alternative </w:t>
      </w:r>
      <w:r w:rsidR="004071B6">
        <w:t>options considered</w:t>
      </w:r>
      <w:r w:rsidRPr="00275017">
        <w:t xml:space="preserve"> </w:t>
      </w:r>
    </w:p>
    <w:p w:rsidR="00EF4354" w:rsidRDefault="001B3DBD" w:rsidP="0057257B">
      <w:pPr>
        <w:spacing w:before="120" w:after="120" w:line="276" w:lineRule="auto"/>
        <w:rPr>
          <w:rFonts w:ascii="Arial" w:hAnsi="Arial" w:cs="Arial"/>
        </w:rPr>
      </w:pPr>
      <w:r>
        <w:rPr>
          <w:rFonts w:ascii="Arial" w:hAnsi="Arial" w:cs="Arial"/>
        </w:rPr>
        <w:t>Within option 2, broad</w:t>
      </w:r>
      <w:r w:rsidR="009524B1">
        <w:rPr>
          <w:rFonts w:ascii="Arial" w:hAnsi="Arial" w:cs="Arial"/>
        </w:rPr>
        <w:t xml:space="preserve"> alternative desig</w:t>
      </w:r>
      <w:r w:rsidR="003D44C1">
        <w:rPr>
          <w:rFonts w:ascii="Arial" w:hAnsi="Arial" w:cs="Arial"/>
        </w:rPr>
        <w:t xml:space="preserve">n approaches </w:t>
      </w:r>
      <w:r>
        <w:rPr>
          <w:rFonts w:ascii="Arial" w:hAnsi="Arial" w:cs="Arial"/>
        </w:rPr>
        <w:t>were considered but early analysis indicated they were not sufficiently robust a</w:t>
      </w:r>
      <w:r w:rsidR="00B22F20">
        <w:rPr>
          <w:rFonts w:ascii="Arial" w:hAnsi="Arial" w:cs="Arial"/>
        </w:rPr>
        <w:t>s</w:t>
      </w:r>
      <w:r>
        <w:rPr>
          <w:rFonts w:ascii="Arial" w:hAnsi="Arial" w:cs="Arial"/>
        </w:rPr>
        <w:t xml:space="preserve"> long term option</w:t>
      </w:r>
      <w:r w:rsidR="00B22F20">
        <w:rPr>
          <w:rFonts w:ascii="Arial" w:hAnsi="Arial" w:cs="Arial"/>
        </w:rPr>
        <w:t>s</w:t>
      </w:r>
      <w:r>
        <w:rPr>
          <w:rFonts w:ascii="Arial" w:hAnsi="Arial" w:cs="Arial"/>
        </w:rPr>
        <w:t>:</w:t>
      </w:r>
    </w:p>
    <w:p w:rsidR="00EF4354" w:rsidRDefault="001B3DBD" w:rsidP="002D5AC3">
      <w:pPr>
        <w:pStyle w:val="Bulletlist"/>
        <w:spacing w:line="276" w:lineRule="auto"/>
        <w:ind w:left="714" w:hanging="357"/>
      </w:pPr>
      <w:r>
        <w:t>A</w:t>
      </w:r>
      <w:r w:rsidR="00EF4354">
        <w:t xml:space="preserve">mendments to the </w:t>
      </w:r>
      <w:r w:rsidR="00E73FCC" w:rsidRPr="00985B67">
        <w:rPr>
          <w:rFonts w:cs="Arial"/>
          <w:i/>
        </w:rPr>
        <w:t>Offshore Petroleum and Greenhouse Gas Storage Act 2006</w:t>
      </w:r>
      <w:r>
        <w:t>: As part of initial planning consider</w:t>
      </w:r>
      <w:r w:rsidR="00B830F3">
        <w:t>ation</w:t>
      </w:r>
      <w:r>
        <w:t xml:space="preserve"> </w:t>
      </w:r>
      <w:r w:rsidR="00B22F20">
        <w:t>was given to amending</w:t>
      </w:r>
      <w:r>
        <w:t xml:space="preserve"> the </w:t>
      </w:r>
      <w:r w:rsidR="00E73FCC" w:rsidRPr="00985B67">
        <w:rPr>
          <w:rFonts w:cs="Arial"/>
          <w:i/>
        </w:rPr>
        <w:t>Offshore Petroleum and Greenhouse Gas Storage Act 2006</w:t>
      </w:r>
      <w:r w:rsidR="00E73FCC">
        <w:rPr>
          <w:rFonts w:cs="Arial"/>
          <w:i/>
        </w:rPr>
        <w:t xml:space="preserve"> </w:t>
      </w:r>
      <w:r>
        <w:t xml:space="preserve">to incorporate offshore </w:t>
      </w:r>
      <w:r w:rsidR="00BE3964">
        <w:t>electricity</w:t>
      </w:r>
      <w:r>
        <w:t xml:space="preserve">. However, </w:t>
      </w:r>
      <w:r w:rsidR="00B22F20">
        <w:t xml:space="preserve">as </w:t>
      </w:r>
      <w:r>
        <w:t xml:space="preserve">this could require amendments to a number of core elements of the </w:t>
      </w:r>
      <w:r w:rsidR="00E73FCC">
        <w:t>Act</w:t>
      </w:r>
      <w:r>
        <w:t xml:space="preserve"> such as definitions, this option was not practical. </w:t>
      </w:r>
      <w:r w:rsidR="003D44C1">
        <w:t xml:space="preserve">Establishing new, bespoke legislation was determined to be more cost effective for government and </w:t>
      </w:r>
      <w:r w:rsidR="008D4D0D">
        <w:t xml:space="preserve">would </w:t>
      </w:r>
      <w:r w:rsidR="00B22F20">
        <w:t xml:space="preserve">pose </w:t>
      </w:r>
      <w:r w:rsidR="003D44C1">
        <w:t>less impost on existing operators.</w:t>
      </w:r>
    </w:p>
    <w:p w:rsidR="00EF4354" w:rsidRPr="00DA2976" w:rsidRDefault="00EF4354" w:rsidP="002D5AC3">
      <w:pPr>
        <w:pStyle w:val="Bulletlist"/>
        <w:spacing w:line="276" w:lineRule="auto"/>
        <w:ind w:left="714" w:hanging="357"/>
      </w:pPr>
      <w:r>
        <w:t xml:space="preserve">Staggered implementation of </w:t>
      </w:r>
      <w:r w:rsidR="00B22F20">
        <w:t xml:space="preserve">the </w:t>
      </w:r>
      <w:r>
        <w:t>legislative package</w:t>
      </w:r>
      <w:r w:rsidR="001B3DBD">
        <w:t xml:space="preserve">: In order to develop industry confidence in the proposed framework, early consideration was given to introducing the legislation in stages such as </w:t>
      </w:r>
      <w:r w:rsidR="004712EA">
        <w:t>an initial</w:t>
      </w:r>
      <w:r w:rsidR="001B3DBD">
        <w:t xml:space="preserve"> simple head of power bill</w:t>
      </w:r>
      <w:r w:rsidR="004712EA">
        <w:t xml:space="preserve"> to allow a declaration to be made, a second bill containing more technically complex matters, and later the rules and regulations. However, this approach does not provide value to developers as licence</w:t>
      </w:r>
      <w:r w:rsidR="003D44C1">
        <w:t>s</w:t>
      </w:r>
      <w:r w:rsidR="004712EA">
        <w:t xml:space="preserve"> </w:t>
      </w:r>
      <w:r w:rsidR="00883607">
        <w:t>would not be able to be issued any earlier</w:t>
      </w:r>
      <w:r w:rsidR="00B22F20">
        <w:t>.</w:t>
      </w:r>
      <w:r w:rsidR="004712EA">
        <w:t xml:space="preserve"> </w:t>
      </w:r>
    </w:p>
    <w:p w:rsidR="006F0706" w:rsidRDefault="006F0706" w:rsidP="0057257B">
      <w:pPr>
        <w:spacing w:before="120" w:after="120" w:line="276" w:lineRule="auto"/>
        <w:rPr>
          <w:rFonts w:ascii="Arial" w:hAnsi="Arial" w:cs="Arial"/>
        </w:rPr>
      </w:pPr>
    </w:p>
    <w:p w:rsidR="00F972A4" w:rsidRDefault="00F972A4">
      <w:pPr>
        <w:rPr>
          <w:rFonts w:ascii="Arial" w:eastAsiaTheme="majorEastAsia" w:hAnsi="Arial" w:cs="Arial"/>
          <w:color w:val="005677" w:themeColor="text2"/>
          <w:sz w:val="48"/>
          <w:szCs w:val="32"/>
        </w:rPr>
      </w:pPr>
      <w:r>
        <w:rPr>
          <w:rFonts w:ascii="Arial" w:hAnsi="Arial" w:cs="Arial"/>
        </w:rPr>
        <w:br w:type="page"/>
      </w:r>
    </w:p>
    <w:p w:rsidR="00810822" w:rsidRPr="00275017" w:rsidRDefault="00810822" w:rsidP="0057257B">
      <w:pPr>
        <w:pStyle w:val="Heading1"/>
        <w:numPr>
          <w:ilvl w:val="0"/>
          <w:numId w:val="11"/>
        </w:numPr>
        <w:spacing w:after="0" w:line="276" w:lineRule="auto"/>
        <w:rPr>
          <w:rFonts w:ascii="Arial" w:hAnsi="Arial" w:cs="Arial"/>
        </w:rPr>
      </w:pPr>
      <w:bookmarkStart w:id="15" w:name="_Toc69917403"/>
      <w:r w:rsidRPr="00275017">
        <w:rPr>
          <w:rFonts w:ascii="Arial" w:hAnsi="Arial" w:cs="Arial"/>
        </w:rPr>
        <w:t>Impact analysis</w:t>
      </w:r>
      <w:bookmarkEnd w:id="15"/>
    </w:p>
    <w:p w:rsidR="00810822" w:rsidRPr="00275017" w:rsidRDefault="00810822" w:rsidP="0057257B">
      <w:pPr>
        <w:spacing w:line="276" w:lineRule="auto"/>
        <w:rPr>
          <w:rFonts w:ascii="Arial" w:hAnsi="Arial" w:cs="Arial"/>
        </w:rPr>
      </w:pPr>
    </w:p>
    <w:p w:rsidR="00810822" w:rsidRPr="00275017" w:rsidRDefault="00810822" w:rsidP="0057257B">
      <w:pPr>
        <w:spacing w:line="276" w:lineRule="auto"/>
        <w:rPr>
          <w:rFonts w:ascii="Arial" w:hAnsi="Arial" w:cs="Arial"/>
        </w:rPr>
      </w:pPr>
      <w:r w:rsidRPr="00275017">
        <w:rPr>
          <w:rFonts w:ascii="Arial" w:hAnsi="Arial" w:cs="Arial"/>
        </w:rPr>
        <w:t xml:space="preserve">This section details the expected impact of each policy option on stakeholders. New regulation can typically incur costs through compliance burdens, lost time, inconvenience and threats to competitiveness. In contrast, the current lack of regulation has inhibited the development of an offshore </w:t>
      </w:r>
      <w:r w:rsidR="00961E2D">
        <w:rPr>
          <w:rFonts w:ascii="Arial" w:hAnsi="Arial" w:cs="Arial"/>
        </w:rPr>
        <w:t>electricity</w:t>
      </w:r>
      <w:r w:rsidRPr="00275017">
        <w:rPr>
          <w:rFonts w:ascii="Arial" w:hAnsi="Arial" w:cs="Arial"/>
        </w:rPr>
        <w:t xml:space="preserve"> industry, as relevant stakeholders have been unwilling to invest in an unregulated environment. Introducing a regulatory framework would encourage investment from offshore </w:t>
      </w:r>
      <w:r w:rsidR="00961E2D">
        <w:rPr>
          <w:rFonts w:ascii="Arial" w:hAnsi="Arial" w:cs="Arial"/>
        </w:rPr>
        <w:t>electricity project</w:t>
      </w:r>
      <w:r w:rsidRPr="00275017">
        <w:rPr>
          <w:rFonts w:ascii="Arial" w:hAnsi="Arial" w:cs="Arial"/>
        </w:rPr>
        <w:t xml:space="preserve"> developers, providing critical commercial</w:t>
      </w:r>
      <w:r w:rsidR="00C06688">
        <w:rPr>
          <w:rFonts w:ascii="Arial" w:hAnsi="Arial" w:cs="Arial"/>
        </w:rPr>
        <w:t>, environmental</w:t>
      </w:r>
      <w:r w:rsidRPr="00275017">
        <w:rPr>
          <w:rFonts w:ascii="Arial" w:hAnsi="Arial" w:cs="Arial"/>
        </w:rPr>
        <w:t xml:space="preserve"> and safety assurance. </w:t>
      </w:r>
    </w:p>
    <w:p w:rsidR="00810822" w:rsidRPr="00275017" w:rsidRDefault="000E1DEF" w:rsidP="0057257B">
      <w:pPr>
        <w:spacing w:line="276" w:lineRule="auto"/>
        <w:rPr>
          <w:rFonts w:ascii="Arial" w:hAnsi="Arial" w:cs="Arial"/>
        </w:rPr>
      </w:pPr>
      <w:r w:rsidRPr="00B14504">
        <w:rPr>
          <w:rFonts w:ascii="Arial" w:hAnsi="Arial" w:cs="Arial"/>
        </w:rPr>
        <w:t>O</w:t>
      </w:r>
      <w:r w:rsidR="00810822" w:rsidRPr="00B14504">
        <w:rPr>
          <w:rFonts w:ascii="Arial" w:hAnsi="Arial" w:cs="Arial"/>
        </w:rPr>
        <w:t>rganisations</w:t>
      </w:r>
      <w:r w:rsidRPr="00B14504">
        <w:rPr>
          <w:rFonts w:ascii="Arial" w:hAnsi="Arial" w:cs="Arial"/>
        </w:rPr>
        <w:t xml:space="preserve"> </w:t>
      </w:r>
      <w:r w:rsidR="00810822" w:rsidRPr="00275017">
        <w:rPr>
          <w:rFonts w:ascii="Arial" w:hAnsi="Arial" w:cs="Arial"/>
        </w:rPr>
        <w:t>likely to be impacted by the regulation propos</w:t>
      </w:r>
      <w:r w:rsidR="00AA4BB6">
        <w:rPr>
          <w:rFonts w:ascii="Arial" w:hAnsi="Arial" w:cs="Arial"/>
        </w:rPr>
        <w:t xml:space="preserve">ed under </w:t>
      </w:r>
      <w:r w:rsidR="005658F1">
        <w:rPr>
          <w:rFonts w:ascii="Arial" w:hAnsi="Arial" w:cs="Arial"/>
        </w:rPr>
        <w:br/>
      </w:r>
      <w:r w:rsidR="00AA4BB6">
        <w:rPr>
          <w:rFonts w:ascii="Arial" w:hAnsi="Arial" w:cs="Arial"/>
        </w:rPr>
        <w:t>option</w:t>
      </w:r>
      <w:r w:rsidR="003042E2">
        <w:rPr>
          <w:rFonts w:ascii="Arial" w:hAnsi="Arial" w:cs="Arial"/>
        </w:rPr>
        <w:t xml:space="preserve"> 2 include</w:t>
      </w:r>
      <w:r w:rsidR="00810822" w:rsidRPr="00275017">
        <w:rPr>
          <w:rFonts w:ascii="Arial" w:hAnsi="Arial" w:cs="Arial"/>
        </w:rPr>
        <w:t xml:space="preserve">: </w:t>
      </w:r>
    </w:p>
    <w:p w:rsidR="003042E2" w:rsidRPr="00831F9B" w:rsidRDefault="000E1DEF" w:rsidP="002D5AC3">
      <w:pPr>
        <w:pStyle w:val="Bulletlist"/>
        <w:spacing w:line="276" w:lineRule="auto"/>
        <w:ind w:left="714" w:hanging="357"/>
      </w:pPr>
      <w:r w:rsidRPr="00D679E4">
        <w:t>Commonwealth and state g</w:t>
      </w:r>
      <w:r w:rsidR="003042E2" w:rsidRPr="00D679E4">
        <w:t>overnment</w:t>
      </w:r>
      <w:r w:rsidR="00C06688" w:rsidRPr="00831F9B">
        <w:t>s</w:t>
      </w:r>
      <w:r w:rsidR="003042E2" w:rsidRPr="00831F9B">
        <w:t xml:space="preserve"> </w:t>
      </w:r>
    </w:p>
    <w:p w:rsidR="00810822" w:rsidRPr="002D5AC3" w:rsidRDefault="003042E2" w:rsidP="002D5AC3">
      <w:pPr>
        <w:pStyle w:val="Bulletlist"/>
        <w:spacing w:line="276" w:lineRule="auto"/>
        <w:ind w:left="714" w:hanging="357"/>
      </w:pPr>
      <w:r w:rsidRPr="002D5AC3">
        <w:t xml:space="preserve">Offshore </w:t>
      </w:r>
      <w:r w:rsidR="00961E2D">
        <w:t>electricity</w:t>
      </w:r>
      <w:r w:rsidRPr="002D5AC3">
        <w:t xml:space="preserve"> project d</w:t>
      </w:r>
      <w:r w:rsidR="00810822" w:rsidRPr="002D5AC3">
        <w:t>evelopers</w:t>
      </w:r>
    </w:p>
    <w:p w:rsidR="00C3788E" w:rsidRPr="00D679E4" w:rsidRDefault="003042E2" w:rsidP="002D5AC3">
      <w:pPr>
        <w:pStyle w:val="Bulletlist"/>
        <w:spacing w:line="276" w:lineRule="auto"/>
        <w:ind w:left="714" w:hanging="357"/>
      </w:pPr>
      <w:r w:rsidRPr="002D5AC3">
        <w:t>Other affected stakeholders</w:t>
      </w:r>
      <w:r w:rsidR="00B830F3">
        <w:t xml:space="preserve"> and b</w:t>
      </w:r>
      <w:r w:rsidR="002E10DE" w:rsidRPr="007378E3">
        <w:t>roader</w:t>
      </w:r>
      <w:r w:rsidR="002E10DE" w:rsidRPr="00275017">
        <w:t xml:space="preserve"> community</w:t>
      </w:r>
      <w:r w:rsidR="006C37E5">
        <w:t>.</w:t>
      </w:r>
    </w:p>
    <w:p w:rsidR="00715324" w:rsidRPr="008019AF" w:rsidRDefault="00715324" w:rsidP="006362A0">
      <w:pPr>
        <w:pStyle w:val="Bulletlist"/>
        <w:numPr>
          <w:ilvl w:val="0"/>
          <w:numId w:val="0"/>
        </w:numPr>
        <w:ind w:left="717" w:hanging="360"/>
        <w:rPr>
          <w:rFonts w:cs="Arial"/>
        </w:rPr>
      </w:pPr>
    </w:p>
    <w:p w:rsidR="00C3788E" w:rsidRPr="00275017" w:rsidRDefault="00C3788E" w:rsidP="0057257B">
      <w:pPr>
        <w:pStyle w:val="Heading2"/>
        <w:numPr>
          <w:ilvl w:val="1"/>
          <w:numId w:val="11"/>
        </w:numPr>
        <w:spacing w:after="0" w:line="276" w:lineRule="auto"/>
        <w:rPr>
          <w:rFonts w:ascii="Arial" w:hAnsi="Arial" w:cs="Arial"/>
        </w:rPr>
      </w:pPr>
      <w:r w:rsidRPr="00275017">
        <w:rPr>
          <w:rFonts w:ascii="Arial" w:hAnsi="Arial" w:cs="Arial"/>
        </w:rPr>
        <w:t>Cost-benefit analysis</w:t>
      </w:r>
      <w:r w:rsidR="00B830F3">
        <w:rPr>
          <w:rFonts w:ascii="Arial" w:hAnsi="Arial" w:cs="Arial"/>
        </w:rPr>
        <w:t xml:space="preserve"> (CBA)</w:t>
      </w:r>
    </w:p>
    <w:p w:rsidR="00AE2BB7" w:rsidRPr="00831F9B" w:rsidRDefault="00AE2BB7" w:rsidP="00831F9B">
      <w:pPr>
        <w:pStyle w:val="Heading3"/>
        <w:spacing w:line="276" w:lineRule="auto"/>
        <w:rPr>
          <w:rFonts w:ascii="Arial" w:hAnsi="Arial" w:cs="Arial"/>
        </w:rPr>
      </w:pPr>
      <w:r w:rsidRPr="00831F9B">
        <w:rPr>
          <w:rFonts w:ascii="Arial" w:hAnsi="Arial" w:cs="Arial"/>
        </w:rPr>
        <w:t>Challenges in undertaking the CBA</w:t>
      </w:r>
    </w:p>
    <w:p w:rsidR="00BB7EBF" w:rsidRPr="00275017" w:rsidRDefault="00AE2BB7" w:rsidP="0057257B">
      <w:pPr>
        <w:spacing w:before="120" w:after="120" w:line="276" w:lineRule="auto"/>
        <w:rPr>
          <w:rFonts w:ascii="Arial" w:hAnsi="Arial" w:cs="Arial"/>
        </w:rPr>
      </w:pPr>
      <w:r w:rsidRPr="00275017">
        <w:rPr>
          <w:rFonts w:ascii="Arial" w:hAnsi="Arial" w:cs="Arial"/>
        </w:rPr>
        <w:t xml:space="preserve">There are significant challenges in undertaking a </w:t>
      </w:r>
      <w:r w:rsidR="006A53AD" w:rsidRPr="00275017">
        <w:rPr>
          <w:rFonts w:ascii="Arial" w:hAnsi="Arial" w:cs="Arial"/>
        </w:rPr>
        <w:t xml:space="preserve">quantitative </w:t>
      </w:r>
      <w:r w:rsidRPr="00275017">
        <w:rPr>
          <w:rFonts w:ascii="Arial" w:hAnsi="Arial" w:cs="Arial"/>
        </w:rPr>
        <w:t xml:space="preserve">CBA of the offshore </w:t>
      </w:r>
      <w:r w:rsidR="00C06800">
        <w:rPr>
          <w:rFonts w:ascii="Arial" w:hAnsi="Arial" w:cs="Arial"/>
        </w:rPr>
        <w:t>electricity</w:t>
      </w:r>
      <w:r w:rsidR="00C06800" w:rsidRPr="00275017">
        <w:rPr>
          <w:rFonts w:ascii="Arial" w:hAnsi="Arial" w:cs="Arial"/>
        </w:rPr>
        <w:t xml:space="preserve"> </w:t>
      </w:r>
      <w:r w:rsidRPr="00275017">
        <w:rPr>
          <w:rFonts w:ascii="Arial" w:hAnsi="Arial" w:cs="Arial"/>
        </w:rPr>
        <w:t xml:space="preserve">sector </w:t>
      </w:r>
      <w:r w:rsidR="006A53AD" w:rsidRPr="00275017">
        <w:rPr>
          <w:rFonts w:ascii="Arial" w:hAnsi="Arial" w:cs="Arial"/>
        </w:rPr>
        <w:t>at this time</w:t>
      </w:r>
      <w:r w:rsidR="00BB7EBF" w:rsidRPr="00275017">
        <w:rPr>
          <w:rFonts w:ascii="Arial" w:hAnsi="Arial" w:cs="Arial"/>
        </w:rPr>
        <w:t xml:space="preserve"> in Australia</w:t>
      </w:r>
      <w:r w:rsidR="00DB0D85">
        <w:rPr>
          <w:rFonts w:ascii="Arial" w:hAnsi="Arial" w:cs="Arial"/>
        </w:rPr>
        <w:t xml:space="preserve"> as previously outlined in section 3.2</w:t>
      </w:r>
      <w:r w:rsidR="00BB7EBF" w:rsidRPr="00275017">
        <w:rPr>
          <w:rFonts w:ascii="Arial" w:hAnsi="Arial" w:cs="Arial"/>
        </w:rPr>
        <w:t xml:space="preserve">. </w:t>
      </w:r>
    </w:p>
    <w:p w:rsidR="00AE2BB7" w:rsidRPr="00275017" w:rsidRDefault="00DE19B2" w:rsidP="0057257B">
      <w:pPr>
        <w:spacing w:before="120" w:after="120" w:line="276" w:lineRule="auto"/>
        <w:rPr>
          <w:rFonts w:ascii="Arial" w:hAnsi="Arial" w:cs="Arial"/>
        </w:rPr>
      </w:pPr>
      <w:r>
        <w:rPr>
          <w:rFonts w:ascii="Arial" w:hAnsi="Arial" w:cs="Arial"/>
        </w:rPr>
        <w:t>E</w:t>
      </w:r>
      <w:r w:rsidR="003B1A4B" w:rsidRPr="00275017">
        <w:rPr>
          <w:rFonts w:ascii="Arial" w:hAnsi="Arial" w:cs="Arial"/>
        </w:rPr>
        <w:t>stimates of the sector’s growth are based on indicative, reasonable and transparent</w:t>
      </w:r>
      <w:r w:rsidR="00204FDB" w:rsidRPr="00275017">
        <w:rPr>
          <w:rFonts w:ascii="Arial" w:hAnsi="Arial" w:cs="Arial"/>
        </w:rPr>
        <w:t xml:space="preserve"> assessment</w:t>
      </w:r>
      <w:r w:rsidR="007031DD">
        <w:rPr>
          <w:rFonts w:ascii="Arial" w:hAnsi="Arial" w:cs="Arial"/>
        </w:rPr>
        <w:t xml:space="preserve"> of the opportunity</w:t>
      </w:r>
      <w:r w:rsidR="00204FDB" w:rsidRPr="00275017">
        <w:rPr>
          <w:rFonts w:ascii="Arial" w:hAnsi="Arial" w:cs="Arial"/>
        </w:rPr>
        <w:t xml:space="preserve">. </w:t>
      </w:r>
    </w:p>
    <w:p w:rsidR="00AE2BB7" w:rsidRPr="00831F9B" w:rsidRDefault="00AE2BB7" w:rsidP="002D5AC3">
      <w:pPr>
        <w:pStyle w:val="Heading3"/>
        <w:spacing w:line="276" w:lineRule="auto"/>
        <w:rPr>
          <w:rFonts w:ascii="Arial" w:hAnsi="Arial" w:cs="Arial"/>
        </w:rPr>
      </w:pPr>
      <w:r w:rsidRPr="00831F9B">
        <w:rPr>
          <w:rFonts w:ascii="Arial" w:hAnsi="Arial" w:cs="Arial"/>
        </w:rPr>
        <w:t>Identify</w:t>
      </w:r>
      <w:r w:rsidR="00BA0224" w:rsidRPr="00831F9B">
        <w:rPr>
          <w:rFonts w:ascii="Arial" w:hAnsi="Arial" w:cs="Arial"/>
        </w:rPr>
        <w:t>ing</w:t>
      </w:r>
      <w:r w:rsidRPr="00831F9B">
        <w:rPr>
          <w:rFonts w:ascii="Arial" w:hAnsi="Arial" w:cs="Arial"/>
        </w:rPr>
        <w:t xml:space="preserve"> the impacts</w:t>
      </w:r>
    </w:p>
    <w:p w:rsidR="0029295C" w:rsidRDefault="00A20578" w:rsidP="0057257B">
      <w:pPr>
        <w:spacing w:before="120" w:after="120" w:line="276" w:lineRule="auto"/>
        <w:rPr>
          <w:rFonts w:ascii="Arial" w:hAnsi="Arial" w:cs="Arial"/>
        </w:rPr>
      </w:pPr>
      <w:r w:rsidRPr="00275017">
        <w:rPr>
          <w:rFonts w:ascii="Arial" w:hAnsi="Arial" w:cs="Arial"/>
        </w:rPr>
        <w:t xml:space="preserve">Noting the limitations outlined above, </w:t>
      </w:r>
      <w:r w:rsidR="00CE6F62">
        <w:rPr>
          <w:rFonts w:ascii="Arial" w:hAnsi="Arial" w:cs="Arial"/>
        </w:rPr>
        <w:t xml:space="preserve">the </w:t>
      </w:r>
      <w:r w:rsidR="0009546F">
        <w:rPr>
          <w:rFonts w:ascii="Arial" w:hAnsi="Arial" w:cs="Arial"/>
        </w:rPr>
        <w:t>d</w:t>
      </w:r>
      <w:r w:rsidR="00CE6F62">
        <w:rPr>
          <w:rFonts w:ascii="Arial" w:hAnsi="Arial" w:cs="Arial"/>
        </w:rPr>
        <w:t>epartment</w:t>
      </w:r>
      <w:r w:rsidRPr="00275017">
        <w:rPr>
          <w:rFonts w:ascii="Arial" w:hAnsi="Arial" w:cs="Arial"/>
        </w:rPr>
        <w:t xml:space="preserve"> </w:t>
      </w:r>
      <w:r w:rsidR="00CE6F62">
        <w:rPr>
          <w:rFonts w:ascii="Arial" w:hAnsi="Arial" w:cs="Arial"/>
        </w:rPr>
        <w:t>has</w:t>
      </w:r>
      <w:r w:rsidR="00CE6F62" w:rsidRPr="00275017">
        <w:rPr>
          <w:rFonts w:ascii="Arial" w:hAnsi="Arial" w:cs="Arial"/>
        </w:rPr>
        <w:t xml:space="preserve"> </w:t>
      </w:r>
      <w:r w:rsidRPr="00275017">
        <w:rPr>
          <w:rFonts w:ascii="Arial" w:hAnsi="Arial" w:cs="Arial"/>
        </w:rPr>
        <w:t xml:space="preserve">attempted to </w:t>
      </w:r>
      <w:r w:rsidR="008F3C70">
        <w:rPr>
          <w:rFonts w:ascii="Arial" w:hAnsi="Arial" w:cs="Arial"/>
        </w:rPr>
        <w:t>describe</w:t>
      </w:r>
      <w:r w:rsidRPr="00275017">
        <w:rPr>
          <w:rFonts w:ascii="Arial" w:hAnsi="Arial" w:cs="Arial"/>
        </w:rPr>
        <w:t xml:space="preserve"> costs</w:t>
      </w:r>
      <w:r w:rsidR="00BA0224" w:rsidRPr="00275017">
        <w:rPr>
          <w:rFonts w:ascii="Arial" w:hAnsi="Arial" w:cs="Arial"/>
        </w:rPr>
        <w:t xml:space="preserve"> </w:t>
      </w:r>
      <w:r w:rsidR="008F3C70">
        <w:rPr>
          <w:rFonts w:ascii="Arial" w:hAnsi="Arial" w:cs="Arial"/>
        </w:rPr>
        <w:t xml:space="preserve">and benefits </w:t>
      </w:r>
      <w:r w:rsidR="00BA0224" w:rsidRPr="00275017">
        <w:rPr>
          <w:rFonts w:ascii="Arial" w:hAnsi="Arial" w:cs="Arial"/>
        </w:rPr>
        <w:t xml:space="preserve">across government, business and the broader community and economy. </w:t>
      </w:r>
      <w:r w:rsidRPr="00275017">
        <w:rPr>
          <w:rFonts w:ascii="Arial" w:hAnsi="Arial" w:cs="Arial"/>
        </w:rPr>
        <w:t xml:space="preserve"> </w:t>
      </w:r>
    </w:p>
    <w:p w:rsidR="00E04E8F" w:rsidRPr="00275017" w:rsidRDefault="00CE4B75" w:rsidP="0057257B">
      <w:pPr>
        <w:spacing w:before="120" w:after="120" w:line="276" w:lineRule="auto"/>
        <w:rPr>
          <w:rFonts w:ascii="Arial" w:hAnsi="Arial" w:cs="Arial"/>
        </w:rPr>
      </w:pPr>
      <w:r>
        <w:rPr>
          <w:rFonts w:ascii="Arial" w:hAnsi="Arial" w:cs="Arial"/>
        </w:rPr>
        <w:t>Note: For the sake of consistency, l</w:t>
      </w:r>
      <w:r w:rsidRPr="00CE4B75">
        <w:rPr>
          <w:rFonts w:ascii="Arial" w:hAnsi="Arial" w:cs="Arial"/>
        </w:rPr>
        <w:t>abour costs have been assum</w:t>
      </w:r>
      <w:r>
        <w:rPr>
          <w:rFonts w:ascii="Arial" w:hAnsi="Arial" w:cs="Arial"/>
        </w:rPr>
        <w:t>ed to be administrative costs</w:t>
      </w:r>
      <w:r w:rsidRPr="00CE4B75">
        <w:rPr>
          <w:rFonts w:ascii="Arial" w:hAnsi="Arial" w:cs="Arial"/>
        </w:rPr>
        <w:t>. A</w:t>
      </w:r>
      <w:r w:rsidR="004339A7">
        <w:rPr>
          <w:rFonts w:ascii="Arial" w:hAnsi="Arial" w:cs="Arial"/>
        </w:rPr>
        <w:t xml:space="preserve">ll non-labour costs such as </w:t>
      </w:r>
      <w:r>
        <w:rPr>
          <w:rFonts w:ascii="Arial" w:hAnsi="Arial" w:cs="Arial"/>
        </w:rPr>
        <w:t>consultancies</w:t>
      </w:r>
      <w:r w:rsidRPr="00CE4B75">
        <w:rPr>
          <w:rFonts w:ascii="Arial" w:hAnsi="Arial" w:cs="Arial"/>
        </w:rPr>
        <w:t xml:space="preserve"> </w:t>
      </w:r>
      <w:r w:rsidR="004339A7">
        <w:rPr>
          <w:rFonts w:ascii="Arial" w:hAnsi="Arial" w:cs="Arial"/>
        </w:rPr>
        <w:t xml:space="preserve">or business impacts </w:t>
      </w:r>
      <w:r w:rsidRPr="00CE4B75">
        <w:rPr>
          <w:rFonts w:ascii="Arial" w:hAnsi="Arial" w:cs="Arial"/>
        </w:rPr>
        <w:t xml:space="preserve">are </w:t>
      </w:r>
      <w:r>
        <w:rPr>
          <w:rFonts w:ascii="Arial" w:hAnsi="Arial" w:cs="Arial"/>
        </w:rPr>
        <w:t>captured as</w:t>
      </w:r>
      <w:r w:rsidR="004339A7">
        <w:rPr>
          <w:rFonts w:ascii="Arial" w:hAnsi="Arial" w:cs="Arial"/>
        </w:rPr>
        <w:t xml:space="preserve"> </w:t>
      </w:r>
      <w:r>
        <w:rPr>
          <w:rFonts w:ascii="Arial" w:hAnsi="Arial" w:cs="Arial"/>
        </w:rPr>
        <w:t>substantive compliance costs</w:t>
      </w:r>
      <w:r w:rsidRPr="00CE4B75">
        <w:rPr>
          <w:rFonts w:ascii="Arial" w:hAnsi="Arial" w:cs="Arial"/>
        </w:rPr>
        <w:t>.</w:t>
      </w:r>
    </w:p>
    <w:p w:rsidR="00A20578" w:rsidRPr="00D679E4" w:rsidRDefault="0029295C" w:rsidP="002D5AC3">
      <w:pPr>
        <w:pStyle w:val="Bulletlist"/>
        <w:spacing w:line="276" w:lineRule="auto"/>
        <w:ind w:left="714" w:hanging="357"/>
      </w:pPr>
      <w:r w:rsidRPr="00D679E4">
        <w:t>Government</w:t>
      </w:r>
    </w:p>
    <w:p w:rsidR="00BA0224" w:rsidRDefault="00A16E82" w:rsidP="002D5AC3">
      <w:pPr>
        <w:pStyle w:val="Bulletlist"/>
        <w:numPr>
          <w:ilvl w:val="2"/>
          <w:numId w:val="13"/>
        </w:numPr>
        <w:spacing w:line="276" w:lineRule="auto"/>
        <w:rPr>
          <w:rFonts w:cs="Arial"/>
        </w:rPr>
      </w:pPr>
      <w:r w:rsidRPr="00275017">
        <w:rPr>
          <w:rFonts w:cs="Arial"/>
        </w:rPr>
        <w:t>Cost of establishing laws</w:t>
      </w:r>
      <w:r w:rsidR="00A62A95">
        <w:rPr>
          <w:rFonts w:cs="Arial"/>
        </w:rPr>
        <w:t xml:space="preserve">: </w:t>
      </w:r>
      <w:r w:rsidR="00E62455">
        <w:rPr>
          <w:rFonts w:cs="Arial"/>
        </w:rPr>
        <w:t>T</w:t>
      </w:r>
      <w:r w:rsidR="00BA0224" w:rsidRPr="00A62A95">
        <w:rPr>
          <w:rFonts w:cs="Arial"/>
        </w:rPr>
        <w:t xml:space="preserve">he cost of establishing law </w:t>
      </w:r>
      <w:r w:rsidR="008D4D0D">
        <w:rPr>
          <w:rFonts w:cs="Arial"/>
        </w:rPr>
        <w:t>would</w:t>
      </w:r>
      <w:r w:rsidR="008D4D0D" w:rsidRPr="00A62A95">
        <w:rPr>
          <w:rFonts w:cs="Arial"/>
        </w:rPr>
        <w:t xml:space="preserve"> </w:t>
      </w:r>
      <w:r w:rsidR="00BA0224" w:rsidRPr="00A62A95">
        <w:rPr>
          <w:rFonts w:cs="Arial"/>
        </w:rPr>
        <w:t xml:space="preserve">include the costs attributable to establishing a policy team to design the regulatory framework, undertaken consultation and draft legislation. </w:t>
      </w:r>
    </w:p>
    <w:p w:rsidR="00A16E82" w:rsidRPr="00275017" w:rsidRDefault="00A16E82" w:rsidP="002D5AC3">
      <w:pPr>
        <w:pStyle w:val="Bulletlist"/>
        <w:numPr>
          <w:ilvl w:val="2"/>
          <w:numId w:val="13"/>
        </w:numPr>
        <w:spacing w:line="276" w:lineRule="auto"/>
        <w:rPr>
          <w:rFonts w:cs="Arial"/>
        </w:rPr>
      </w:pPr>
      <w:r w:rsidRPr="00275017">
        <w:rPr>
          <w:rFonts w:cs="Arial"/>
        </w:rPr>
        <w:t>Maintaining laws</w:t>
      </w:r>
      <w:r w:rsidR="00A20578" w:rsidRPr="00275017">
        <w:rPr>
          <w:rFonts w:cs="Arial"/>
        </w:rPr>
        <w:t>, including c</w:t>
      </w:r>
      <w:r w:rsidRPr="00275017">
        <w:rPr>
          <w:rFonts w:cs="Arial"/>
        </w:rPr>
        <w:t>ost recovery</w:t>
      </w:r>
      <w:r w:rsidR="00A20578" w:rsidRPr="00275017">
        <w:rPr>
          <w:rFonts w:cs="Arial"/>
        </w:rPr>
        <w:t xml:space="preserve"> processes</w:t>
      </w:r>
      <w:r w:rsidR="00E62455">
        <w:rPr>
          <w:rFonts w:cs="Arial"/>
        </w:rPr>
        <w:t xml:space="preserve"> for the new regulatory regime</w:t>
      </w:r>
      <w:r w:rsidR="00D679E4">
        <w:rPr>
          <w:rFonts w:cs="Arial"/>
        </w:rPr>
        <w:t>:</w:t>
      </w:r>
      <w:r w:rsidR="0048005F">
        <w:rPr>
          <w:rFonts w:cs="Arial"/>
        </w:rPr>
        <w:t xml:space="preserve"> </w:t>
      </w:r>
      <w:r w:rsidR="0084014C">
        <w:rPr>
          <w:rFonts w:cs="Arial"/>
        </w:rPr>
        <w:t xml:space="preserve">Offshore </w:t>
      </w:r>
      <w:r w:rsidR="0048005F">
        <w:rPr>
          <w:rFonts w:cs="Arial"/>
        </w:rPr>
        <w:t xml:space="preserve">regulators </w:t>
      </w:r>
      <w:r w:rsidR="008D4D0D">
        <w:rPr>
          <w:rFonts w:cs="Arial"/>
        </w:rPr>
        <w:t xml:space="preserve">would </w:t>
      </w:r>
      <w:r w:rsidR="0048005F">
        <w:rPr>
          <w:rFonts w:cs="Arial"/>
        </w:rPr>
        <w:t xml:space="preserve">have </w:t>
      </w:r>
      <w:r w:rsidR="0084014C">
        <w:rPr>
          <w:rFonts w:cs="Arial"/>
        </w:rPr>
        <w:t xml:space="preserve">a </w:t>
      </w:r>
      <w:r w:rsidR="0048005F">
        <w:rPr>
          <w:rFonts w:cs="Arial"/>
        </w:rPr>
        <w:t xml:space="preserve">greater scope of responsibility </w:t>
      </w:r>
      <w:r w:rsidR="00B803C9">
        <w:rPr>
          <w:rFonts w:cs="Arial"/>
        </w:rPr>
        <w:t xml:space="preserve">as the number of parties undertaking offshore </w:t>
      </w:r>
      <w:r w:rsidR="00961E2D">
        <w:rPr>
          <w:rFonts w:cs="Arial"/>
        </w:rPr>
        <w:t>electricity</w:t>
      </w:r>
      <w:r w:rsidR="00B803C9">
        <w:rPr>
          <w:rFonts w:cs="Arial"/>
        </w:rPr>
        <w:t xml:space="preserve"> </w:t>
      </w:r>
      <w:r w:rsidR="0048005F">
        <w:rPr>
          <w:rFonts w:cs="Arial"/>
        </w:rPr>
        <w:t xml:space="preserve">activities </w:t>
      </w:r>
      <w:r w:rsidR="00B803C9">
        <w:rPr>
          <w:rFonts w:cs="Arial"/>
        </w:rPr>
        <w:t xml:space="preserve">increase. For example, more parties </w:t>
      </w:r>
      <w:r w:rsidR="004D5685">
        <w:rPr>
          <w:rFonts w:cs="Arial"/>
        </w:rPr>
        <w:t>are likely to</w:t>
      </w:r>
      <w:r w:rsidR="00B803C9">
        <w:rPr>
          <w:rFonts w:cs="Arial"/>
        </w:rPr>
        <w:t xml:space="preserve"> </w:t>
      </w:r>
      <w:r w:rsidR="0048005F">
        <w:rPr>
          <w:rFonts w:cs="Arial"/>
        </w:rPr>
        <w:t>requir</w:t>
      </w:r>
      <w:r w:rsidR="00B803C9">
        <w:rPr>
          <w:rFonts w:cs="Arial"/>
        </w:rPr>
        <w:t>e</w:t>
      </w:r>
      <w:r w:rsidR="0048005F">
        <w:rPr>
          <w:rFonts w:cs="Arial"/>
        </w:rPr>
        <w:t xml:space="preserve"> environmental approvals</w:t>
      </w:r>
      <w:r w:rsidR="004D5685">
        <w:rPr>
          <w:rFonts w:cs="Arial"/>
        </w:rPr>
        <w:t xml:space="preserve"> for exploration </w:t>
      </w:r>
      <w:r w:rsidR="00CA4CE3">
        <w:rPr>
          <w:rFonts w:cs="Arial"/>
        </w:rPr>
        <w:t>activities</w:t>
      </w:r>
      <w:r w:rsidR="00B803C9">
        <w:rPr>
          <w:rFonts w:cs="Arial"/>
        </w:rPr>
        <w:t xml:space="preserve">. </w:t>
      </w:r>
    </w:p>
    <w:p w:rsidR="00A16E82" w:rsidRPr="00D679E4" w:rsidRDefault="004229FE" w:rsidP="002D5AC3">
      <w:pPr>
        <w:pStyle w:val="Bulletlist"/>
        <w:spacing w:line="276" w:lineRule="auto"/>
        <w:ind w:left="714" w:hanging="357"/>
      </w:pPr>
      <w:r w:rsidRPr="00D679E4">
        <w:t>Developer</w:t>
      </w:r>
      <w:r w:rsidRPr="00831F9B">
        <w:t>s</w:t>
      </w:r>
      <w:r w:rsidR="0084014C" w:rsidRPr="00D679E4">
        <w:t>’</w:t>
      </w:r>
      <w:r w:rsidR="00D601BE" w:rsidRPr="00D679E4">
        <w:t xml:space="preserve"> </w:t>
      </w:r>
      <w:r w:rsidR="008F3C70" w:rsidRPr="00831F9B">
        <w:t>costs can be grouped into a</w:t>
      </w:r>
      <w:r w:rsidR="00A16E82" w:rsidRPr="002D5AC3">
        <w:t>dministrative costs</w:t>
      </w:r>
      <w:r w:rsidR="00D679E4">
        <w:t>,</w:t>
      </w:r>
      <w:r w:rsidR="008F3C70" w:rsidRPr="00D679E4">
        <w:t xml:space="preserve"> including general compliance costs</w:t>
      </w:r>
      <w:r w:rsidR="008F3C70" w:rsidRPr="00831F9B">
        <w:t xml:space="preserve"> such as record keeping and reporting</w:t>
      </w:r>
      <w:r w:rsidR="00DE19B2" w:rsidRPr="00831F9B">
        <w:t>,</w:t>
      </w:r>
      <w:r w:rsidR="008F3C70" w:rsidRPr="002D5AC3">
        <w:t xml:space="preserve"> and s</w:t>
      </w:r>
      <w:r w:rsidR="00A16E82" w:rsidRPr="002D5AC3">
        <w:t>ubstantiative costs</w:t>
      </w:r>
      <w:r w:rsidR="00D679E4">
        <w:t xml:space="preserve"> that</w:t>
      </w:r>
      <w:r w:rsidR="008F3C70" w:rsidRPr="00D679E4">
        <w:t xml:space="preserve"> are </w:t>
      </w:r>
      <w:r w:rsidR="00CA4CE3" w:rsidRPr="00D679E4">
        <w:t xml:space="preserve">new costs to address the requirements of regulation. This </w:t>
      </w:r>
      <w:r w:rsidR="009A231C">
        <w:t>could</w:t>
      </w:r>
      <w:r w:rsidR="009A231C" w:rsidRPr="00D679E4">
        <w:t xml:space="preserve"> </w:t>
      </w:r>
      <w:r w:rsidR="00CA4CE3" w:rsidRPr="00D679E4">
        <w:t xml:space="preserve">include </w:t>
      </w:r>
      <w:r w:rsidR="00946DEC" w:rsidRPr="002D5AC3">
        <w:t xml:space="preserve">new operational costs (such as fuel costs to circumnavigate offshore </w:t>
      </w:r>
      <w:r w:rsidR="00961E2D">
        <w:t>electricity</w:t>
      </w:r>
      <w:r w:rsidR="00946DEC" w:rsidRPr="002D5AC3">
        <w:t xml:space="preserve"> infrastructure), training for employees to meet regulatory requirements </w:t>
      </w:r>
      <w:r w:rsidR="00913F8C" w:rsidRPr="002D5AC3">
        <w:t xml:space="preserve">(such as reporting) </w:t>
      </w:r>
      <w:r w:rsidR="00946DEC" w:rsidRPr="002D5AC3">
        <w:t xml:space="preserve">or the costs for professional services (such a legal or tax advice). </w:t>
      </w:r>
    </w:p>
    <w:p w:rsidR="0029295C" w:rsidRPr="002D5AC3" w:rsidRDefault="0029295C" w:rsidP="002D5AC3">
      <w:pPr>
        <w:pStyle w:val="Bulletlist"/>
        <w:spacing w:line="276" w:lineRule="auto"/>
        <w:ind w:left="714" w:hanging="357"/>
      </w:pPr>
      <w:r w:rsidRPr="00D679E4">
        <w:t>Affected industry</w:t>
      </w:r>
      <w:r w:rsidR="008F3C70" w:rsidRPr="00831F9B">
        <w:t xml:space="preserve"> costs and benefits can be captured </w:t>
      </w:r>
      <w:r w:rsidR="00201B6F" w:rsidRPr="002D5AC3">
        <w:t>similarly to</w:t>
      </w:r>
      <w:r w:rsidR="00AA43FB" w:rsidRPr="002D5AC3">
        <w:t xml:space="preserve"> </w:t>
      </w:r>
      <w:r w:rsidR="004229FE" w:rsidRPr="002D5AC3">
        <w:t>developers</w:t>
      </w:r>
      <w:r w:rsidR="0084014C" w:rsidRPr="002D5AC3">
        <w:t>’</w:t>
      </w:r>
      <w:r w:rsidR="00AA43FB" w:rsidRPr="002D5AC3">
        <w:t xml:space="preserve"> </w:t>
      </w:r>
      <w:r w:rsidR="00AA43FB" w:rsidRPr="00D679E4">
        <w:t xml:space="preserve">costs above. While the regulatory framework prioritises </w:t>
      </w:r>
      <w:r w:rsidR="00DB7DE1" w:rsidRPr="00D679E4">
        <w:t xml:space="preserve">consultation to mitigate potential impacts, </w:t>
      </w:r>
      <w:r w:rsidR="00AA43FB" w:rsidRPr="00831F9B">
        <w:t>existing industries</w:t>
      </w:r>
      <w:r w:rsidR="00680C3A" w:rsidRPr="00831F9B">
        <w:t xml:space="preserve"> </w:t>
      </w:r>
      <w:r w:rsidR="009A231C">
        <w:t>would</w:t>
      </w:r>
      <w:r w:rsidR="009A231C" w:rsidRPr="002D5AC3">
        <w:t xml:space="preserve"> </w:t>
      </w:r>
      <w:r w:rsidR="00AA768A" w:rsidRPr="002D5AC3">
        <w:t>incur some costs through the</w:t>
      </w:r>
      <w:r w:rsidR="00DB7DE1" w:rsidRPr="002D5AC3">
        <w:t xml:space="preserve"> </w:t>
      </w:r>
      <w:r w:rsidR="00201B6F" w:rsidRPr="002D5AC3">
        <w:t xml:space="preserve">operations of the new </w:t>
      </w:r>
      <w:r w:rsidR="00DB7DE1" w:rsidRPr="002D5AC3">
        <w:t>regulated sector</w:t>
      </w:r>
      <w:r w:rsidR="006F1DF1" w:rsidRPr="002D5AC3">
        <w:t>,</w:t>
      </w:r>
      <w:r w:rsidR="00DB7DE1" w:rsidRPr="002D5AC3">
        <w:t xml:space="preserve"> as well as broader administrative costs associated with consultation and education.</w:t>
      </w:r>
    </w:p>
    <w:p w:rsidR="00AE2BB7" w:rsidRPr="002D5AC3" w:rsidRDefault="00D7630B" w:rsidP="002D5AC3">
      <w:pPr>
        <w:pStyle w:val="Bulletlist"/>
        <w:spacing w:line="276" w:lineRule="auto"/>
        <w:ind w:left="714" w:hanging="357"/>
      </w:pPr>
      <w:r w:rsidRPr="002D5AC3">
        <w:t xml:space="preserve">The </w:t>
      </w:r>
      <w:r w:rsidR="00201B6F" w:rsidRPr="002D5AC3">
        <w:t xml:space="preserve">cost and benefits to the </w:t>
      </w:r>
      <w:r w:rsidRPr="002D5AC3">
        <w:t>b</w:t>
      </w:r>
      <w:r w:rsidR="0029295C" w:rsidRPr="002D5AC3">
        <w:t>roader community and economy</w:t>
      </w:r>
      <w:r w:rsidR="008F3C70" w:rsidRPr="002D5AC3">
        <w:t xml:space="preserve"> </w:t>
      </w:r>
      <w:r w:rsidR="00201B6F" w:rsidRPr="002D5AC3">
        <w:t xml:space="preserve">can be </w:t>
      </w:r>
      <w:r w:rsidR="00D97E0B" w:rsidRPr="002D5AC3">
        <w:t>assessed at a higher level</w:t>
      </w:r>
      <w:r w:rsidR="006F1DF1" w:rsidRPr="002D5AC3">
        <w:t>. For example</w:t>
      </w:r>
      <w:r w:rsidR="00D97E0B" w:rsidRPr="002D5AC3">
        <w:t>, aggregated benefits including improved economic opportunities of the maritime environment, further foreign investment, consumer savings from energy</w:t>
      </w:r>
      <w:r w:rsidR="00A245A3" w:rsidRPr="002D5AC3">
        <w:t xml:space="preserve"> and potential for broader environmental benefits. </w:t>
      </w:r>
    </w:p>
    <w:p w:rsidR="00C3788E" w:rsidRPr="00275017" w:rsidRDefault="00C3788E" w:rsidP="0057257B">
      <w:pPr>
        <w:spacing w:before="120" w:after="120" w:line="276" w:lineRule="auto"/>
        <w:rPr>
          <w:rFonts w:ascii="Arial" w:hAnsi="Arial" w:cs="Arial"/>
        </w:rPr>
      </w:pPr>
    </w:p>
    <w:p w:rsidR="00810822" w:rsidRPr="00275017" w:rsidRDefault="00810822" w:rsidP="0057257B">
      <w:pPr>
        <w:pStyle w:val="Heading2"/>
        <w:numPr>
          <w:ilvl w:val="1"/>
          <w:numId w:val="11"/>
        </w:numPr>
        <w:spacing w:before="120" w:after="120" w:line="276" w:lineRule="auto"/>
        <w:rPr>
          <w:rFonts w:ascii="Arial" w:hAnsi="Arial" w:cs="Arial"/>
        </w:rPr>
      </w:pPr>
      <w:r w:rsidRPr="00275017">
        <w:rPr>
          <w:rFonts w:ascii="Arial" w:hAnsi="Arial" w:cs="Arial"/>
        </w:rPr>
        <w:t>Option 1: No regulatory framework introduced (current situation)</w:t>
      </w:r>
    </w:p>
    <w:p w:rsidR="00B6123B" w:rsidRDefault="00810822" w:rsidP="0057257B">
      <w:pPr>
        <w:spacing w:before="120" w:after="120" w:line="276" w:lineRule="auto"/>
        <w:rPr>
          <w:rFonts w:ascii="Arial" w:hAnsi="Arial" w:cs="Arial"/>
        </w:rPr>
      </w:pPr>
      <w:r w:rsidRPr="00275017">
        <w:rPr>
          <w:rFonts w:ascii="Arial" w:hAnsi="Arial" w:cs="Arial"/>
        </w:rPr>
        <w:t xml:space="preserve">Under this option, </w:t>
      </w:r>
      <w:r w:rsidR="00D57251">
        <w:rPr>
          <w:rFonts w:ascii="Arial" w:hAnsi="Arial" w:cs="Arial"/>
        </w:rPr>
        <w:t>the</w:t>
      </w:r>
      <w:r w:rsidRPr="00275017">
        <w:rPr>
          <w:rFonts w:ascii="Arial" w:hAnsi="Arial" w:cs="Arial"/>
        </w:rPr>
        <w:t xml:space="preserve"> offshore </w:t>
      </w:r>
      <w:r w:rsidR="00961E2D">
        <w:rPr>
          <w:rFonts w:ascii="Arial" w:hAnsi="Arial" w:cs="Arial"/>
        </w:rPr>
        <w:t>electricity</w:t>
      </w:r>
      <w:r w:rsidRPr="00275017">
        <w:rPr>
          <w:rFonts w:ascii="Arial" w:hAnsi="Arial" w:cs="Arial"/>
        </w:rPr>
        <w:t xml:space="preserve"> industry would </w:t>
      </w:r>
      <w:r w:rsidR="00D57251">
        <w:rPr>
          <w:rFonts w:ascii="Arial" w:hAnsi="Arial" w:cs="Arial"/>
        </w:rPr>
        <w:t>be high</w:t>
      </w:r>
      <w:r w:rsidR="008B4F7F">
        <w:rPr>
          <w:rFonts w:ascii="Arial" w:hAnsi="Arial" w:cs="Arial"/>
        </w:rPr>
        <w:t>ly</w:t>
      </w:r>
      <w:r w:rsidR="00D57251">
        <w:rPr>
          <w:rFonts w:ascii="Arial" w:hAnsi="Arial" w:cs="Arial"/>
        </w:rPr>
        <w:t xml:space="preserve"> limited or curtailed </w:t>
      </w:r>
      <w:r w:rsidR="008B4F7F">
        <w:rPr>
          <w:rFonts w:ascii="Arial" w:hAnsi="Arial" w:cs="Arial"/>
        </w:rPr>
        <w:t xml:space="preserve">altogether </w:t>
      </w:r>
      <w:r w:rsidR="00D57251">
        <w:rPr>
          <w:rFonts w:ascii="Arial" w:hAnsi="Arial" w:cs="Arial"/>
        </w:rPr>
        <w:t>in</w:t>
      </w:r>
      <w:r w:rsidRPr="00275017">
        <w:rPr>
          <w:rFonts w:ascii="Arial" w:hAnsi="Arial" w:cs="Arial"/>
        </w:rPr>
        <w:t xml:space="preserve"> Australia</w:t>
      </w:r>
      <w:r w:rsidR="00D96FCB">
        <w:rPr>
          <w:rFonts w:ascii="Arial" w:hAnsi="Arial" w:cs="Arial"/>
        </w:rPr>
        <w:t>. I</w:t>
      </w:r>
      <w:r w:rsidRPr="00275017">
        <w:rPr>
          <w:rFonts w:ascii="Arial" w:hAnsi="Arial" w:cs="Arial"/>
        </w:rPr>
        <w:t xml:space="preserve">t is challenging to </w:t>
      </w:r>
      <w:r w:rsidR="00D96FCB">
        <w:rPr>
          <w:rFonts w:ascii="Arial" w:hAnsi="Arial" w:cs="Arial"/>
        </w:rPr>
        <w:t>quantitatively estimate</w:t>
      </w:r>
      <w:r w:rsidRPr="00275017">
        <w:rPr>
          <w:rFonts w:ascii="Arial" w:hAnsi="Arial" w:cs="Arial"/>
        </w:rPr>
        <w:t xml:space="preserve"> the potential cost of an industry that does not currently exist in Australia</w:t>
      </w:r>
      <w:r w:rsidR="00B6123B">
        <w:rPr>
          <w:rFonts w:ascii="Arial" w:hAnsi="Arial" w:cs="Arial"/>
        </w:rPr>
        <w:t xml:space="preserve"> as outlined in section 3.2</w:t>
      </w:r>
      <w:r w:rsidR="00D96FCB">
        <w:rPr>
          <w:rFonts w:ascii="Arial" w:hAnsi="Arial" w:cs="Arial"/>
        </w:rPr>
        <w:t xml:space="preserve">, </w:t>
      </w:r>
      <w:r w:rsidR="00831F9B">
        <w:rPr>
          <w:rFonts w:ascii="Arial" w:hAnsi="Arial" w:cs="Arial"/>
        </w:rPr>
        <w:t xml:space="preserve">however </w:t>
      </w:r>
      <w:r w:rsidR="00D96FCB">
        <w:rPr>
          <w:rFonts w:ascii="Arial" w:hAnsi="Arial" w:cs="Arial"/>
        </w:rPr>
        <w:t>a broad estimate</w:t>
      </w:r>
      <w:r w:rsidR="00F33509">
        <w:rPr>
          <w:rFonts w:ascii="Arial" w:hAnsi="Arial" w:cs="Arial"/>
        </w:rPr>
        <w:t xml:space="preserve"> </w:t>
      </w:r>
      <w:r w:rsidR="00831F9B">
        <w:rPr>
          <w:rFonts w:ascii="Arial" w:hAnsi="Arial" w:cs="Arial"/>
        </w:rPr>
        <w:t>of costs and benefits</w:t>
      </w:r>
      <w:r w:rsidR="00831F9B" w:rsidDel="006F1DF1">
        <w:rPr>
          <w:rFonts w:ascii="Arial" w:hAnsi="Arial" w:cs="Arial"/>
        </w:rPr>
        <w:t xml:space="preserve"> </w:t>
      </w:r>
      <w:r w:rsidR="00D96FCB">
        <w:rPr>
          <w:rFonts w:ascii="Arial" w:hAnsi="Arial" w:cs="Arial"/>
        </w:rPr>
        <w:t>is provided below</w:t>
      </w:r>
      <w:r w:rsidRPr="00275017">
        <w:rPr>
          <w:rFonts w:ascii="Arial" w:hAnsi="Arial" w:cs="Arial"/>
        </w:rPr>
        <w:t xml:space="preserve">. </w:t>
      </w:r>
    </w:p>
    <w:p w:rsidR="008619D1" w:rsidRPr="00275017" w:rsidRDefault="008619D1" w:rsidP="0057257B">
      <w:pPr>
        <w:pStyle w:val="Heading3"/>
        <w:spacing w:line="276" w:lineRule="auto"/>
        <w:rPr>
          <w:rFonts w:ascii="Arial" w:hAnsi="Arial" w:cs="Arial"/>
        </w:rPr>
      </w:pPr>
      <w:r w:rsidRPr="00275017">
        <w:rPr>
          <w:rFonts w:ascii="Arial" w:hAnsi="Arial" w:cs="Arial"/>
        </w:rPr>
        <w:t xml:space="preserve">Government </w:t>
      </w:r>
    </w:p>
    <w:p w:rsidR="00476455" w:rsidRDefault="00D96FCB" w:rsidP="0057257B">
      <w:pPr>
        <w:spacing w:line="276" w:lineRule="auto"/>
        <w:rPr>
          <w:rFonts w:ascii="Arial" w:hAnsi="Arial" w:cs="Arial"/>
        </w:rPr>
      </w:pPr>
      <w:r>
        <w:rPr>
          <w:rFonts w:ascii="Arial" w:hAnsi="Arial" w:cs="Arial"/>
        </w:rPr>
        <w:t>Should the current situation be maintained</w:t>
      </w:r>
      <w:r w:rsidR="00BA2E20">
        <w:rPr>
          <w:rFonts w:ascii="Arial" w:hAnsi="Arial" w:cs="Arial"/>
        </w:rPr>
        <w:t xml:space="preserve">, government costs are </w:t>
      </w:r>
      <w:r>
        <w:rPr>
          <w:rFonts w:ascii="Arial" w:hAnsi="Arial" w:cs="Arial"/>
        </w:rPr>
        <w:t xml:space="preserve">limited. This is largely because many existing proposals would not seek to undertake </w:t>
      </w:r>
      <w:r w:rsidR="00491921">
        <w:rPr>
          <w:rFonts w:ascii="Arial" w:hAnsi="Arial" w:cs="Arial"/>
        </w:rPr>
        <w:t>on</w:t>
      </w:r>
      <w:r w:rsidR="00831F9B">
        <w:rPr>
          <w:rFonts w:ascii="Arial" w:hAnsi="Arial" w:cs="Arial"/>
        </w:rPr>
        <w:t>-</w:t>
      </w:r>
      <w:r w:rsidR="00491921">
        <w:rPr>
          <w:rFonts w:ascii="Arial" w:hAnsi="Arial" w:cs="Arial"/>
        </w:rPr>
        <w:t xml:space="preserve">water </w:t>
      </w:r>
      <w:r>
        <w:rPr>
          <w:rFonts w:ascii="Arial" w:hAnsi="Arial" w:cs="Arial"/>
        </w:rPr>
        <w:t xml:space="preserve">exploration without </w:t>
      </w:r>
      <w:r w:rsidR="00005247">
        <w:rPr>
          <w:rFonts w:ascii="Arial" w:hAnsi="Arial" w:cs="Arial"/>
        </w:rPr>
        <w:t xml:space="preserve">a </w:t>
      </w:r>
      <w:r>
        <w:rPr>
          <w:rFonts w:ascii="Arial" w:hAnsi="Arial" w:cs="Arial"/>
        </w:rPr>
        <w:t xml:space="preserve">development pathway in place.  </w:t>
      </w:r>
    </w:p>
    <w:p w:rsidR="000B590C" w:rsidRPr="002D5AC3" w:rsidRDefault="000B590C" w:rsidP="0057257B">
      <w:pPr>
        <w:spacing w:line="276" w:lineRule="auto"/>
        <w:rPr>
          <w:rFonts w:ascii="Arial" w:eastAsia="Cambria" w:hAnsi="Arial" w:cs="Times New Roman"/>
          <w:szCs w:val="24"/>
        </w:rPr>
      </w:pPr>
      <w:r>
        <w:rPr>
          <w:rFonts w:ascii="Arial" w:hAnsi="Arial" w:cs="Arial"/>
        </w:rPr>
        <w:t xml:space="preserve">In the absence of </w:t>
      </w:r>
      <w:r w:rsidR="006F1DF1">
        <w:rPr>
          <w:rFonts w:ascii="Arial" w:hAnsi="Arial" w:cs="Arial"/>
        </w:rPr>
        <w:t xml:space="preserve">the </w:t>
      </w:r>
      <w:r>
        <w:rPr>
          <w:rFonts w:ascii="Arial" w:hAnsi="Arial" w:cs="Arial"/>
        </w:rPr>
        <w:t xml:space="preserve">development of a regulated framework, ongoing government costs </w:t>
      </w:r>
      <w:r w:rsidR="009A231C">
        <w:rPr>
          <w:rFonts w:ascii="Arial" w:hAnsi="Arial" w:cs="Arial"/>
        </w:rPr>
        <w:t xml:space="preserve">would </w:t>
      </w:r>
      <w:r w:rsidRPr="002D5AC3">
        <w:rPr>
          <w:rFonts w:ascii="Arial" w:eastAsia="Cambria" w:hAnsi="Arial" w:cs="Times New Roman"/>
          <w:szCs w:val="24"/>
        </w:rPr>
        <w:t>be attributable to:</w:t>
      </w:r>
    </w:p>
    <w:p w:rsidR="00D96FCB" w:rsidRDefault="000B590C" w:rsidP="002D5AC3">
      <w:pPr>
        <w:pStyle w:val="Bulletlist"/>
        <w:spacing w:line="276" w:lineRule="auto"/>
        <w:ind w:left="714" w:hanging="357"/>
      </w:pPr>
      <w:r>
        <w:t>Management of e</w:t>
      </w:r>
      <w:r w:rsidR="00D605F7">
        <w:t xml:space="preserve">xisting </w:t>
      </w:r>
      <w:r w:rsidR="00D96FCB">
        <w:t xml:space="preserve">proposals, </w:t>
      </w:r>
      <w:r w:rsidR="00D605F7">
        <w:t>including</w:t>
      </w:r>
      <w:r w:rsidR="00D96FCB">
        <w:t xml:space="preserve"> the Star of the South proposal,</w:t>
      </w:r>
      <w:r w:rsidR="00D7630B">
        <w:t xml:space="preserve"> or those parties interested in seeking exploration licence</w:t>
      </w:r>
      <w:r w:rsidR="006F1DF1">
        <w:t>s</w:t>
      </w:r>
      <w:r w:rsidR="00D96FCB">
        <w:t xml:space="preserve"> are currently undertaking a range of development activities</w:t>
      </w:r>
      <w:r w:rsidR="004614AD">
        <w:t xml:space="preserve"> in the absence of a</w:t>
      </w:r>
      <w:r w:rsidR="00D605F7">
        <w:t xml:space="preserve"> regulatory</w:t>
      </w:r>
      <w:r w:rsidR="004614AD">
        <w:t xml:space="preserve"> framework</w:t>
      </w:r>
      <w:r w:rsidR="00D605F7">
        <w:t xml:space="preserve">. </w:t>
      </w:r>
    </w:p>
    <w:p w:rsidR="000B590C" w:rsidRDefault="000B590C" w:rsidP="002D5AC3">
      <w:pPr>
        <w:pStyle w:val="Bulletlist"/>
        <w:spacing w:line="276" w:lineRule="auto"/>
        <w:ind w:left="714" w:hanging="357"/>
      </w:pPr>
      <w:r>
        <w:t xml:space="preserve">Other proponents outlined in section 1 </w:t>
      </w:r>
      <w:r w:rsidR="009A231C">
        <w:t xml:space="preserve">would </w:t>
      </w:r>
      <w:r>
        <w:t>continue to consult with government to understand opportunities for progressing their proposal</w:t>
      </w:r>
      <w:r w:rsidR="006F1DF1">
        <w:t>s</w:t>
      </w:r>
      <w:r>
        <w:t xml:space="preserve"> in the current operational environment. </w:t>
      </w:r>
    </w:p>
    <w:p w:rsidR="008B5E35" w:rsidRPr="00275017" w:rsidRDefault="000B590C" w:rsidP="002D5AC3">
      <w:pPr>
        <w:pStyle w:val="Bulletlist"/>
        <w:spacing w:line="276" w:lineRule="auto"/>
        <w:ind w:left="714" w:hanging="357"/>
      </w:pPr>
      <w:r>
        <w:t xml:space="preserve">This consultation </w:t>
      </w:r>
      <w:r w:rsidR="009A231C">
        <w:t xml:space="preserve">would </w:t>
      </w:r>
      <w:r>
        <w:t>be across government agencies at the Commonwealth and State level.</w:t>
      </w:r>
    </w:p>
    <w:p w:rsidR="008619D1" w:rsidRPr="00275017" w:rsidRDefault="00491921" w:rsidP="0057257B">
      <w:pPr>
        <w:spacing w:line="276" w:lineRule="auto"/>
        <w:rPr>
          <w:rFonts w:ascii="Arial" w:hAnsi="Arial" w:cs="Arial"/>
        </w:rPr>
      </w:pPr>
      <w:r>
        <w:rPr>
          <w:rFonts w:ascii="Arial" w:hAnsi="Arial" w:cs="Arial"/>
        </w:rPr>
        <w:t xml:space="preserve">Additionally, not pursing development of a </w:t>
      </w:r>
      <w:r w:rsidR="000B590C">
        <w:rPr>
          <w:rFonts w:ascii="Arial" w:hAnsi="Arial" w:cs="Arial"/>
        </w:rPr>
        <w:t xml:space="preserve">regulatory framework </w:t>
      </w:r>
      <w:r w:rsidR="00831F9B">
        <w:rPr>
          <w:rFonts w:ascii="Arial" w:hAnsi="Arial" w:cs="Arial"/>
        </w:rPr>
        <w:t xml:space="preserve">means the costs of that development </w:t>
      </w:r>
      <w:r w:rsidR="009A231C">
        <w:rPr>
          <w:rFonts w:ascii="Arial" w:hAnsi="Arial" w:cs="Arial"/>
        </w:rPr>
        <w:t xml:space="preserve">would </w:t>
      </w:r>
      <w:r w:rsidR="00831F9B">
        <w:rPr>
          <w:rFonts w:ascii="Arial" w:hAnsi="Arial" w:cs="Arial"/>
        </w:rPr>
        <w:t xml:space="preserve">not </w:t>
      </w:r>
      <w:r>
        <w:rPr>
          <w:rFonts w:ascii="Arial" w:hAnsi="Arial" w:cs="Arial"/>
        </w:rPr>
        <w:t xml:space="preserve">be </w:t>
      </w:r>
      <w:r w:rsidR="00831F9B">
        <w:rPr>
          <w:rFonts w:ascii="Arial" w:hAnsi="Arial" w:cs="Arial"/>
        </w:rPr>
        <w:t xml:space="preserve">incurred by </w:t>
      </w:r>
      <w:r>
        <w:rPr>
          <w:rFonts w:ascii="Arial" w:hAnsi="Arial" w:cs="Arial"/>
        </w:rPr>
        <w:t xml:space="preserve">government. </w:t>
      </w:r>
      <w:r w:rsidR="000B590C">
        <w:rPr>
          <w:rFonts w:ascii="Arial" w:hAnsi="Arial" w:cs="Arial"/>
        </w:rPr>
        <w:t xml:space="preserve"> </w:t>
      </w:r>
    </w:p>
    <w:p w:rsidR="008619D1" w:rsidRPr="00275017" w:rsidRDefault="008619D1" w:rsidP="0057257B">
      <w:pPr>
        <w:pStyle w:val="Heading3"/>
        <w:spacing w:line="276" w:lineRule="auto"/>
        <w:rPr>
          <w:rFonts w:ascii="Arial" w:hAnsi="Arial" w:cs="Arial"/>
        </w:rPr>
      </w:pPr>
      <w:r w:rsidRPr="00275017">
        <w:rPr>
          <w:rFonts w:ascii="Arial" w:hAnsi="Arial" w:cs="Arial"/>
        </w:rPr>
        <w:t>Developers</w:t>
      </w:r>
      <w:r w:rsidR="000B590C">
        <w:rPr>
          <w:rFonts w:ascii="Arial" w:hAnsi="Arial" w:cs="Arial"/>
        </w:rPr>
        <w:t xml:space="preserve"> </w:t>
      </w:r>
    </w:p>
    <w:p w:rsidR="000B590C" w:rsidRDefault="000B590C" w:rsidP="0057257B">
      <w:pPr>
        <w:spacing w:after="120" w:line="276" w:lineRule="auto"/>
        <w:rPr>
          <w:rFonts w:ascii="Arial" w:hAnsi="Arial" w:cs="Arial"/>
        </w:rPr>
      </w:pPr>
      <w:r w:rsidRPr="00673DC1">
        <w:rPr>
          <w:rFonts w:ascii="Arial" w:hAnsi="Arial" w:cs="Arial"/>
        </w:rPr>
        <w:t>Developer</w:t>
      </w:r>
      <w:r w:rsidRPr="00700188">
        <w:rPr>
          <w:rFonts w:ascii="Arial" w:hAnsi="Arial" w:cs="Arial"/>
        </w:rPr>
        <w:t>s</w:t>
      </w:r>
      <w:r w:rsidR="0084014C" w:rsidRPr="00700188">
        <w:rPr>
          <w:rFonts w:ascii="Arial" w:hAnsi="Arial" w:cs="Arial"/>
        </w:rPr>
        <w:t>’</w:t>
      </w:r>
      <w:r>
        <w:rPr>
          <w:rFonts w:ascii="Arial" w:hAnsi="Arial" w:cs="Arial"/>
        </w:rPr>
        <w:t xml:space="preserve"> costs </w:t>
      </w:r>
      <w:r w:rsidR="009A231C">
        <w:rPr>
          <w:rFonts w:ascii="Arial" w:hAnsi="Arial" w:cs="Arial"/>
        </w:rPr>
        <w:t xml:space="preserve">would </w:t>
      </w:r>
      <w:r>
        <w:rPr>
          <w:rFonts w:ascii="Arial" w:hAnsi="Arial" w:cs="Arial"/>
        </w:rPr>
        <w:t>include:</w:t>
      </w:r>
    </w:p>
    <w:p w:rsidR="000B590C" w:rsidRDefault="000B590C" w:rsidP="002D5AC3">
      <w:pPr>
        <w:pStyle w:val="Bulletlist"/>
        <w:spacing w:line="276" w:lineRule="auto"/>
        <w:ind w:left="714" w:hanging="357"/>
      </w:pPr>
      <w:r>
        <w:t xml:space="preserve">The cost of undertaking initial, precompetitive work </w:t>
      </w:r>
      <w:r w:rsidR="00831F9B">
        <w:t>for</w:t>
      </w:r>
      <w:r>
        <w:t xml:space="preserve"> developing </w:t>
      </w:r>
      <w:r w:rsidR="00831F9B">
        <w:t xml:space="preserve">a project </w:t>
      </w:r>
      <w:r>
        <w:t xml:space="preserve">proposal that may not proceed in the current regulatory environment. This </w:t>
      </w:r>
      <w:r w:rsidR="009A231C">
        <w:t xml:space="preserve">would </w:t>
      </w:r>
      <w:r>
        <w:t>include</w:t>
      </w:r>
      <w:r w:rsidR="00831F9B">
        <w:t xml:space="preserve"> costs for legal interpretation of the</w:t>
      </w:r>
      <w:r>
        <w:t xml:space="preserve"> regulatory environment, </w:t>
      </w:r>
      <w:r w:rsidR="00831F9B">
        <w:t xml:space="preserve">preparation </w:t>
      </w:r>
      <w:r>
        <w:t>of precompetitive technical reports</w:t>
      </w:r>
      <w:r w:rsidR="00831F9B">
        <w:t xml:space="preserve"> and</w:t>
      </w:r>
      <w:r>
        <w:t xml:space="preserve"> consultation with government and the community. </w:t>
      </w:r>
    </w:p>
    <w:p w:rsidR="008B5E35" w:rsidRDefault="008B5E35" w:rsidP="002D5AC3">
      <w:pPr>
        <w:pStyle w:val="Bulletlist"/>
        <w:spacing w:line="276" w:lineRule="auto"/>
        <w:ind w:left="714" w:hanging="357"/>
      </w:pPr>
      <w:r>
        <w:t xml:space="preserve">Broader opportunity and business costs in not realising new business prospects. </w:t>
      </w:r>
    </w:p>
    <w:p w:rsidR="00076133" w:rsidRDefault="00C90CCF" w:rsidP="002D5AC3">
      <w:pPr>
        <w:pStyle w:val="Bulletlist"/>
        <w:spacing w:line="276" w:lineRule="auto"/>
        <w:ind w:left="714" w:hanging="357"/>
      </w:pPr>
      <w:r>
        <w:t>A range specialist service providers such as engineering</w:t>
      </w:r>
      <w:r w:rsidR="00076133">
        <w:t>, energy</w:t>
      </w:r>
      <w:r>
        <w:t xml:space="preserve"> and technical consultants, environmental surveyors</w:t>
      </w:r>
      <w:r w:rsidR="009A231C">
        <w:t>,</w:t>
      </w:r>
      <w:r>
        <w:t xml:space="preserve"> and communication</w:t>
      </w:r>
      <w:r w:rsidR="009A231C">
        <w:t>s</w:t>
      </w:r>
      <w:r>
        <w:t xml:space="preserve"> specialists</w:t>
      </w:r>
      <w:r w:rsidR="00076133">
        <w:t xml:space="preserve"> </w:t>
      </w:r>
      <w:r w:rsidR="009A231C">
        <w:t xml:space="preserve">would </w:t>
      </w:r>
      <w:r>
        <w:t xml:space="preserve">benefit </w:t>
      </w:r>
      <w:r w:rsidR="00D94464">
        <w:t xml:space="preserve">from the current limited number of early stage development activities </w:t>
      </w:r>
      <w:r>
        <w:t xml:space="preserve">undertaken. </w:t>
      </w:r>
    </w:p>
    <w:p w:rsidR="008619D1" w:rsidRPr="002D5AC3" w:rsidRDefault="006E7499" w:rsidP="002D5AC3">
      <w:pPr>
        <w:pStyle w:val="Bulletlist"/>
        <w:spacing w:line="276" w:lineRule="auto"/>
        <w:ind w:left="714" w:hanging="357"/>
      </w:pPr>
      <w:r>
        <w:t xml:space="preserve">Very early stage pre-competitive assessment could </w:t>
      </w:r>
      <w:r w:rsidR="00D40ED2">
        <w:t>cost proponents in</w:t>
      </w:r>
      <w:r>
        <w:t xml:space="preserve"> order of $200,000-$500,000 for project development. </w:t>
      </w:r>
    </w:p>
    <w:p w:rsidR="008619D1" w:rsidRPr="00275017" w:rsidRDefault="008619D1" w:rsidP="0057257B">
      <w:pPr>
        <w:pStyle w:val="Heading3"/>
        <w:spacing w:line="276" w:lineRule="auto"/>
        <w:rPr>
          <w:rFonts w:ascii="Arial" w:hAnsi="Arial" w:cs="Arial"/>
        </w:rPr>
      </w:pPr>
      <w:r w:rsidRPr="00275017">
        <w:rPr>
          <w:rFonts w:ascii="Arial" w:hAnsi="Arial" w:cs="Arial"/>
        </w:rPr>
        <w:t>Affected Industries</w:t>
      </w:r>
    </w:p>
    <w:p w:rsidR="00A245A3" w:rsidRPr="00FA6D93" w:rsidRDefault="00A245A3" w:rsidP="0057257B">
      <w:pPr>
        <w:pStyle w:val="Bulletlist"/>
        <w:numPr>
          <w:ilvl w:val="0"/>
          <w:numId w:val="0"/>
        </w:numPr>
        <w:spacing w:line="276" w:lineRule="auto"/>
      </w:pPr>
      <w:r>
        <w:rPr>
          <w:rFonts w:cs="Arial"/>
        </w:rPr>
        <w:t>As noted</w:t>
      </w:r>
      <w:r w:rsidR="00831F9B">
        <w:rPr>
          <w:rFonts w:cs="Arial"/>
        </w:rPr>
        <w:t xml:space="preserve"> above</w:t>
      </w:r>
      <w:r>
        <w:rPr>
          <w:rFonts w:cs="Arial"/>
        </w:rPr>
        <w:t xml:space="preserve">, potential affected industries include </w:t>
      </w:r>
      <w:r>
        <w:t xml:space="preserve">offshore oil and gas developers and licence holders, commercial fishers (including current licence holders), shipping activities, managers of existing infrastructure </w:t>
      </w:r>
      <w:r w:rsidR="00831F9B">
        <w:t>(</w:t>
      </w:r>
      <w:r>
        <w:t>such as Basslink and gas pipeline</w:t>
      </w:r>
      <w:r w:rsidR="00831F9B">
        <w:t>s)</w:t>
      </w:r>
      <w:r>
        <w:t xml:space="preserve"> </w:t>
      </w:r>
      <w:r w:rsidR="00831F9B">
        <w:t xml:space="preserve">and </w:t>
      </w:r>
      <w:r>
        <w:t xml:space="preserve">tourism interests. </w:t>
      </w:r>
    </w:p>
    <w:p w:rsidR="008619D1" w:rsidRDefault="006F1DF1" w:rsidP="0057257B">
      <w:pPr>
        <w:spacing w:line="276" w:lineRule="auto"/>
        <w:rPr>
          <w:rFonts w:ascii="Arial" w:hAnsi="Arial" w:cs="Arial"/>
        </w:rPr>
      </w:pPr>
      <w:r>
        <w:rPr>
          <w:rFonts w:ascii="Arial" w:hAnsi="Arial" w:cs="Arial"/>
        </w:rPr>
        <w:t xml:space="preserve">The costs and benefits of industries potentially affected by the development of the offshore </w:t>
      </w:r>
      <w:r w:rsidR="00961E2D">
        <w:rPr>
          <w:rFonts w:ascii="Arial" w:hAnsi="Arial" w:cs="Arial"/>
        </w:rPr>
        <w:t>electricity</w:t>
      </w:r>
      <w:r>
        <w:rPr>
          <w:rFonts w:ascii="Arial" w:hAnsi="Arial" w:cs="Arial"/>
        </w:rPr>
        <w:t xml:space="preserve"> sector are limited under this option, as </w:t>
      </w:r>
      <w:r w:rsidR="00A245A3">
        <w:rPr>
          <w:rFonts w:ascii="Arial" w:hAnsi="Arial" w:cs="Arial"/>
        </w:rPr>
        <w:t xml:space="preserve">the current activities are relatively </w:t>
      </w:r>
      <w:r w:rsidR="00FE11A9">
        <w:rPr>
          <w:rFonts w:ascii="Arial" w:hAnsi="Arial" w:cs="Arial"/>
        </w:rPr>
        <w:t>discrete</w:t>
      </w:r>
      <w:r w:rsidR="003E5B09">
        <w:rPr>
          <w:rFonts w:ascii="Arial" w:hAnsi="Arial" w:cs="Arial"/>
        </w:rPr>
        <w:t xml:space="preserve"> and </w:t>
      </w:r>
      <w:r w:rsidR="00EF1476">
        <w:rPr>
          <w:rFonts w:ascii="Arial" w:hAnsi="Arial" w:cs="Arial"/>
        </w:rPr>
        <w:t>limited to resource</w:t>
      </w:r>
      <w:r w:rsidR="003E5B09">
        <w:rPr>
          <w:rFonts w:ascii="Arial" w:hAnsi="Arial" w:cs="Arial"/>
        </w:rPr>
        <w:t xml:space="preserve"> exploration which has limited impacts on current operators</w:t>
      </w:r>
      <w:r w:rsidR="00A245A3">
        <w:rPr>
          <w:rFonts w:ascii="Arial" w:hAnsi="Arial" w:cs="Arial"/>
        </w:rPr>
        <w:t>. Potential</w:t>
      </w:r>
      <w:r w:rsidR="003775E4">
        <w:rPr>
          <w:rFonts w:ascii="Arial" w:hAnsi="Arial" w:cs="Arial"/>
        </w:rPr>
        <w:t xml:space="preserve"> costs a</w:t>
      </w:r>
      <w:r w:rsidR="00A245A3">
        <w:rPr>
          <w:rFonts w:ascii="Arial" w:hAnsi="Arial" w:cs="Arial"/>
        </w:rPr>
        <w:t>rise from limited demands on engagement from potential developers and government in considering the new sector</w:t>
      </w:r>
      <w:r>
        <w:rPr>
          <w:rFonts w:ascii="Arial" w:hAnsi="Arial" w:cs="Arial"/>
        </w:rPr>
        <w:t>,</w:t>
      </w:r>
      <w:r w:rsidR="00A245A3">
        <w:rPr>
          <w:rFonts w:ascii="Arial" w:hAnsi="Arial" w:cs="Arial"/>
        </w:rPr>
        <w:t xml:space="preserve"> such as risks and planning</w:t>
      </w:r>
      <w:r w:rsidR="003775E4">
        <w:rPr>
          <w:rFonts w:ascii="Arial" w:hAnsi="Arial" w:cs="Arial"/>
        </w:rPr>
        <w:t xml:space="preserve">, investment in education, consultation and </w:t>
      </w:r>
      <w:r w:rsidR="009E4EAD">
        <w:rPr>
          <w:rFonts w:ascii="Arial" w:hAnsi="Arial" w:cs="Arial"/>
        </w:rPr>
        <w:t>assessment of proposals (such a</w:t>
      </w:r>
      <w:r>
        <w:rPr>
          <w:rFonts w:ascii="Arial" w:hAnsi="Arial" w:cs="Arial"/>
        </w:rPr>
        <w:t>s</w:t>
      </w:r>
      <w:r w:rsidR="009E4EAD">
        <w:rPr>
          <w:rFonts w:ascii="Arial" w:hAnsi="Arial" w:cs="Arial"/>
        </w:rPr>
        <w:t xml:space="preserve"> formal submissions)</w:t>
      </w:r>
      <w:r w:rsidR="00A245A3">
        <w:rPr>
          <w:rFonts w:ascii="Arial" w:hAnsi="Arial" w:cs="Arial"/>
        </w:rPr>
        <w:t xml:space="preserve">. </w:t>
      </w:r>
      <w:r w:rsidR="002225ED">
        <w:rPr>
          <w:rFonts w:ascii="Arial" w:hAnsi="Arial" w:cs="Arial"/>
        </w:rPr>
        <w:t xml:space="preserve">Other costs may arise from the lack of government oversight, which may mean licenced, regulated sectors such as fishers, are not appropriately accommodated. </w:t>
      </w:r>
    </w:p>
    <w:p w:rsidR="00C83F72" w:rsidRPr="00275017" w:rsidRDefault="00C83F72" w:rsidP="0057257B">
      <w:pPr>
        <w:spacing w:line="276" w:lineRule="auto"/>
        <w:rPr>
          <w:rFonts w:ascii="Arial" w:hAnsi="Arial" w:cs="Arial"/>
        </w:rPr>
      </w:pPr>
      <w:r>
        <w:rPr>
          <w:rFonts w:ascii="Arial" w:hAnsi="Arial" w:cs="Arial"/>
        </w:rPr>
        <w:t xml:space="preserve">Affected industries may </w:t>
      </w:r>
      <w:r w:rsidR="00FD57E3">
        <w:rPr>
          <w:rFonts w:ascii="Arial" w:hAnsi="Arial" w:cs="Arial"/>
        </w:rPr>
        <w:t>see</w:t>
      </w:r>
      <w:r>
        <w:rPr>
          <w:rFonts w:ascii="Arial" w:hAnsi="Arial" w:cs="Arial"/>
        </w:rPr>
        <w:t xml:space="preserve"> benefits in the framework not proceeding </w:t>
      </w:r>
      <w:r w:rsidR="006F1DF1">
        <w:rPr>
          <w:rFonts w:ascii="Arial" w:hAnsi="Arial" w:cs="Arial"/>
        </w:rPr>
        <w:t>as</w:t>
      </w:r>
      <w:r>
        <w:rPr>
          <w:rFonts w:ascii="Arial" w:hAnsi="Arial" w:cs="Arial"/>
        </w:rPr>
        <w:t xml:space="preserve"> their current operations </w:t>
      </w:r>
      <w:r w:rsidR="006A2E6C">
        <w:rPr>
          <w:rFonts w:ascii="Arial" w:hAnsi="Arial" w:cs="Arial"/>
        </w:rPr>
        <w:t>would not be as impacted by</w:t>
      </w:r>
      <w:r>
        <w:rPr>
          <w:rFonts w:ascii="Arial" w:hAnsi="Arial" w:cs="Arial"/>
        </w:rPr>
        <w:t xml:space="preserve"> co-existence arrangements</w:t>
      </w:r>
      <w:r w:rsidR="00FD57E3">
        <w:rPr>
          <w:rFonts w:ascii="Arial" w:hAnsi="Arial" w:cs="Arial"/>
        </w:rPr>
        <w:t xml:space="preserve"> with a new sector. Benefits may include no requirements to curtail operations to consider the new sector, no impacts in negotiati</w:t>
      </w:r>
      <w:r w:rsidR="006A2E6C">
        <w:rPr>
          <w:rFonts w:ascii="Arial" w:hAnsi="Arial" w:cs="Arial"/>
        </w:rPr>
        <w:t>ng</w:t>
      </w:r>
      <w:r w:rsidR="00FD57E3">
        <w:rPr>
          <w:rFonts w:ascii="Arial" w:hAnsi="Arial" w:cs="Arial"/>
        </w:rPr>
        <w:t xml:space="preserve"> such arrangements including </w:t>
      </w:r>
      <w:r w:rsidR="006A2E6C">
        <w:rPr>
          <w:rFonts w:ascii="Arial" w:hAnsi="Arial" w:cs="Arial"/>
        </w:rPr>
        <w:t xml:space="preserve">on </w:t>
      </w:r>
      <w:r w:rsidR="00FD57E3">
        <w:rPr>
          <w:rFonts w:ascii="Arial" w:hAnsi="Arial" w:cs="Arial"/>
        </w:rPr>
        <w:t xml:space="preserve">education, legal, communication and engagement costs. </w:t>
      </w:r>
    </w:p>
    <w:p w:rsidR="008619D1" w:rsidRPr="00275017" w:rsidRDefault="008619D1" w:rsidP="0057257B">
      <w:pPr>
        <w:pStyle w:val="Heading3"/>
        <w:spacing w:line="276" w:lineRule="auto"/>
        <w:rPr>
          <w:rFonts w:ascii="Arial" w:hAnsi="Arial" w:cs="Arial"/>
        </w:rPr>
      </w:pPr>
      <w:r w:rsidRPr="00275017">
        <w:rPr>
          <w:rFonts w:ascii="Arial" w:hAnsi="Arial" w:cs="Arial"/>
        </w:rPr>
        <w:t>Broader community and economy</w:t>
      </w:r>
    </w:p>
    <w:p w:rsidR="00D94464" w:rsidRDefault="009E4EAD" w:rsidP="0057257B">
      <w:pPr>
        <w:spacing w:before="120" w:after="120" w:line="276" w:lineRule="auto"/>
        <w:rPr>
          <w:rFonts w:ascii="Arial" w:hAnsi="Arial" w:cs="Arial"/>
        </w:rPr>
      </w:pPr>
      <w:r>
        <w:rPr>
          <w:rFonts w:ascii="Arial" w:hAnsi="Arial" w:cs="Arial"/>
        </w:rPr>
        <w:t>T</w:t>
      </w:r>
      <w:r w:rsidR="00676DAF">
        <w:rPr>
          <w:rFonts w:ascii="Arial" w:hAnsi="Arial" w:cs="Arial"/>
        </w:rPr>
        <w:t>he</w:t>
      </w:r>
      <w:r w:rsidR="00D94464">
        <w:rPr>
          <w:rFonts w:ascii="Arial" w:hAnsi="Arial" w:cs="Arial"/>
        </w:rPr>
        <w:t xml:space="preserve"> </w:t>
      </w:r>
      <w:r w:rsidR="00676DAF">
        <w:rPr>
          <w:rFonts w:ascii="Arial" w:hAnsi="Arial" w:cs="Arial"/>
        </w:rPr>
        <w:t>direct</w:t>
      </w:r>
      <w:r>
        <w:rPr>
          <w:rFonts w:ascii="Arial" w:hAnsi="Arial" w:cs="Arial"/>
        </w:rPr>
        <w:t xml:space="preserve"> </w:t>
      </w:r>
      <w:r w:rsidR="00D94464">
        <w:rPr>
          <w:rFonts w:ascii="Arial" w:hAnsi="Arial" w:cs="Arial"/>
        </w:rPr>
        <w:t xml:space="preserve">costs of </w:t>
      </w:r>
      <w:r w:rsidR="006A2E6C">
        <w:rPr>
          <w:rFonts w:ascii="Arial" w:hAnsi="Arial" w:cs="Arial"/>
        </w:rPr>
        <w:t xml:space="preserve">the </w:t>
      </w:r>
      <w:r w:rsidR="00D94464">
        <w:rPr>
          <w:rFonts w:ascii="Arial" w:hAnsi="Arial" w:cs="Arial"/>
        </w:rPr>
        <w:t>current approach</w:t>
      </w:r>
      <w:r w:rsidR="00447CF8">
        <w:rPr>
          <w:rFonts w:ascii="Arial" w:hAnsi="Arial" w:cs="Arial"/>
        </w:rPr>
        <w:t xml:space="preserve"> to the</w:t>
      </w:r>
      <w:r w:rsidR="001969D0">
        <w:rPr>
          <w:rFonts w:ascii="Arial" w:hAnsi="Arial" w:cs="Arial"/>
        </w:rPr>
        <w:t xml:space="preserve"> broader </w:t>
      </w:r>
      <w:r w:rsidR="00447CF8">
        <w:rPr>
          <w:rFonts w:ascii="Arial" w:hAnsi="Arial" w:cs="Arial"/>
        </w:rPr>
        <w:t xml:space="preserve">economy </w:t>
      </w:r>
      <w:r w:rsidR="00D94464">
        <w:rPr>
          <w:rFonts w:ascii="Arial" w:hAnsi="Arial" w:cs="Arial"/>
        </w:rPr>
        <w:t xml:space="preserve">are relatively minor </w:t>
      </w:r>
      <w:r w:rsidR="006A2E6C">
        <w:rPr>
          <w:rFonts w:ascii="Arial" w:hAnsi="Arial" w:cs="Arial"/>
        </w:rPr>
        <w:t xml:space="preserve">due to </w:t>
      </w:r>
      <w:r w:rsidR="003775E4">
        <w:rPr>
          <w:rFonts w:ascii="Arial" w:hAnsi="Arial" w:cs="Arial"/>
        </w:rPr>
        <w:t xml:space="preserve">the </w:t>
      </w:r>
      <w:r w:rsidR="006A2E6C">
        <w:rPr>
          <w:rFonts w:ascii="Arial" w:hAnsi="Arial" w:cs="Arial"/>
        </w:rPr>
        <w:t xml:space="preserve">minor </w:t>
      </w:r>
      <w:r w:rsidR="003775E4">
        <w:rPr>
          <w:rFonts w:ascii="Arial" w:hAnsi="Arial" w:cs="Arial"/>
        </w:rPr>
        <w:t>impacts of the actions</w:t>
      </w:r>
      <w:r w:rsidR="00D94464">
        <w:rPr>
          <w:rFonts w:ascii="Arial" w:hAnsi="Arial" w:cs="Arial"/>
        </w:rPr>
        <w:t xml:space="preserve">.  </w:t>
      </w:r>
      <w:r w:rsidR="001969D0">
        <w:rPr>
          <w:rFonts w:ascii="Arial" w:hAnsi="Arial" w:cs="Arial"/>
        </w:rPr>
        <w:t xml:space="preserve"> </w:t>
      </w:r>
    </w:p>
    <w:p w:rsidR="00676DAF" w:rsidRPr="008D34FA" w:rsidRDefault="009E4EAD" w:rsidP="002D5AC3">
      <w:pPr>
        <w:spacing w:before="120" w:after="120" w:line="276" w:lineRule="auto"/>
        <w:rPr>
          <w:rFonts w:cs="Arial"/>
        </w:rPr>
      </w:pPr>
      <w:r>
        <w:rPr>
          <w:rFonts w:ascii="Arial" w:hAnsi="Arial" w:cs="Arial"/>
        </w:rPr>
        <w:t>However, the opportunity costs of e</w:t>
      </w:r>
      <w:r w:rsidR="001969D0">
        <w:rPr>
          <w:rFonts w:ascii="Arial" w:hAnsi="Arial" w:cs="Arial"/>
        </w:rPr>
        <w:t xml:space="preserve">ven one proposal referred to in section 1 </w:t>
      </w:r>
      <w:r w:rsidR="00447CF8">
        <w:rPr>
          <w:rFonts w:ascii="Arial" w:hAnsi="Arial" w:cs="Arial"/>
        </w:rPr>
        <w:t xml:space="preserve">not proceeding </w:t>
      </w:r>
      <w:r w:rsidR="00831F9B">
        <w:rPr>
          <w:rFonts w:ascii="Arial" w:hAnsi="Arial" w:cs="Arial"/>
        </w:rPr>
        <w:t xml:space="preserve">due </w:t>
      </w:r>
      <w:r w:rsidR="00B1162A">
        <w:rPr>
          <w:rFonts w:ascii="Arial" w:hAnsi="Arial" w:cs="Arial"/>
        </w:rPr>
        <w:t xml:space="preserve">to the absence of a regulatory framework </w:t>
      </w:r>
      <w:r w:rsidR="001969D0">
        <w:rPr>
          <w:rFonts w:ascii="Arial" w:hAnsi="Arial" w:cs="Arial"/>
        </w:rPr>
        <w:t xml:space="preserve">are </w:t>
      </w:r>
      <w:r w:rsidR="00A03283">
        <w:rPr>
          <w:rFonts w:ascii="Arial" w:hAnsi="Arial" w:cs="Arial"/>
        </w:rPr>
        <w:t>significant</w:t>
      </w:r>
      <w:r w:rsidR="00D94464">
        <w:rPr>
          <w:rFonts w:ascii="Arial" w:hAnsi="Arial" w:cs="Arial"/>
        </w:rPr>
        <w:t>; billion</w:t>
      </w:r>
      <w:r w:rsidR="00491921">
        <w:rPr>
          <w:rFonts w:ascii="Arial" w:hAnsi="Arial" w:cs="Arial"/>
        </w:rPr>
        <w:t>s</w:t>
      </w:r>
      <w:r w:rsidR="00D94464">
        <w:rPr>
          <w:rFonts w:ascii="Arial" w:hAnsi="Arial" w:cs="Arial"/>
        </w:rPr>
        <w:t xml:space="preserve"> </w:t>
      </w:r>
      <w:r w:rsidR="006A2E6C">
        <w:rPr>
          <w:rFonts w:ascii="Arial" w:hAnsi="Arial" w:cs="Arial"/>
        </w:rPr>
        <w:t xml:space="preserve">of </w:t>
      </w:r>
      <w:r w:rsidR="00D94464">
        <w:rPr>
          <w:rFonts w:ascii="Arial" w:hAnsi="Arial" w:cs="Arial"/>
        </w:rPr>
        <w:t>dollar</w:t>
      </w:r>
      <w:r w:rsidR="006A2E6C">
        <w:rPr>
          <w:rFonts w:ascii="Arial" w:hAnsi="Arial" w:cs="Arial"/>
        </w:rPr>
        <w:t>s</w:t>
      </w:r>
      <w:r w:rsidR="00D94464">
        <w:rPr>
          <w:rFonts w:ascii="Arial" w:hAnsi="Arial" w:cs="Arial"/>
        </w:rPr>
        <w:t xml:space="preserve"> in </w:t>
      </w:r>
      <w:r w:rsidR="006A2E6C">
        <w:rPr>
          <w:rFonts w:ascii="Arial" w:hAnsi="Arial" w:cs="Arial"/>
        </w:rPr>
        <w:t xml:space="preserve">lost </w:t>
      </w:r>
      <w:r w:rsidR="00D94464">
        <w:rPr>
          <w:rFonts w:ascii="Arial" w:hAnsi="Arial" w:cs="Arial"/>
        </w:rPr>
        <w:t>investment</w:t>
      </w:r>
      <w:r w:rsidR="00B1162A">
        <w:rPr>
          <w:rFonts w:ascii="Arial" w:hAnsi="Arial" w:cs="Arial"/>
        </w:rPr>
        <w:t>, under</w:t>
      </w:r>
      <w:r w:rsidR="006C37E5">
        <w:rPr>
          <w:rFonts w:ascii="Arial" w:hAnsi="Arial" w:cs="Arial"/>
        </w:rPr>
        <w:t>-</w:t>
      </w:r>
      <w:r w:rsidR="00B1162A">
        <w:rPr>
          <w:rFonts w:ascii="Arial" w:hAnsi="Arial" w:cs="Arial"/>
        </w:rPr>
        <w:t>utilisation of</w:t>
      </w:r>
      <w:r w:rsidR="00491921" w:rsidRPr="002D5AC3">
        <w:rPr>
          <w:rFonts w:ascii="Arial" w:hAnsi="Arial" w:cs="Arial"/>
        </w:rPr>
        <w:t xml:space="preserve"> the </w:t>
      </w:r>
      <w:r w:rsidR="00B1162A" w:rsidRPr="002D5AC3">
        <w:rPr>
          <w:rFonts w:ascii="Arial" w:hAnsi="Arial" w:cs="Arial"/>
        </w:rPr>
        <w:t>maritime</w:t>
      </w:r>
      <w:r w:rsidR="00491921" w:rsidRPr="002D5AC3">
        <w:rPr>
          <w:rFonts w:ascii="Arial" w:hAnsi="Arial" w:cs="Arial"/>
        </w:rPr>
        <w:t xml:space="preserve"> secto</w:t>
      </w:r>
      <w:r w:rsidR="00B1162A" w:rsidRPr="002D5AC3">
        <w:rPr>
          <w:rFonts w:ascii="Arial" w:hAnsi="Arial" w:cs="Arial"/>
        </w:rPr>
        <w:t>r, under engagement of new technologies,</w:t>
      </w:r>
      <w:r w:rsidR="002758DC">
        <w:rPr>
          <w:rFonts w:ascii="Arial" w:hAnsi="Arial" w:cs="Arial"/>
        </w:rPr>
        <w:t xml:space="preserve"> and</w:t>
      </w:r>
      <w:r w:rsidR="00B1162A" w:rsidRPr="002D5AC3">
        <w:rPr>
          <w:rFonts w:ascii="Arial" w:hAnsi="Arial" w:cs="Arial"/>
        </w:rPr>
        <w:t xml:space="preserve"> </w:t>
      </w:r>
      <w:r w:rsidR="002758DC">
        <w:rPr>
          <w:rFonts w:ascii="Arial" w:hAnsi="Arial" w:cs="Arial"/>
        </w:rPr>
        <w:t xml:space="preserve">thousands of </w:t>
      </w:r>
      <w:r w:rsidR="00B1162A" w:rsidRPr="002D5AC3">
        <w:rPr>
          <w:rFonts w:ascii="Arial" w:hAnsi="Arial" w:cs="Arial"/>
        </w:rPr>
        <w:t>r</w:t>
      </w:r>
      <w:r w:rsidR="00676DAF" w:rsidRPr="002D5AC3">
        <w:rPr>
          <w:rFonts w:ascii="Arial" w:hAnsi="Arial" w:cs="Arial"/>
        </w:rPr>
        <w:t xml:space="preserve">egional jobs. </w:t>
      </w:r>
    </w:p>
    <w:p w:rsidR="00BA2E20" w:rsidRDefault="00BA2E20" w:rsidP="0057257B">
      <w:pPr>
        <w:spacing w:before="120" w:after="120" w:line="276" w:lineRule="auto"/>
        <w:rPr>
          <w:rFonts w:ascii="Arial" w:hAnsi="Arial" w:cs="Arial"/>
        </w:rPr>
      </w:pPr>
      <w:r>
        <w:rPr>
          <w:rFonts w:ascii="Arial" w:hAnsi="Arial" w:cs="Arial"/>
        </w:rPr>
        <w:t xml:space="preserve">A very broad attempt to quantify the opportunity cost of lost investment </w:t>
      </w:r>
      <w:r w:rsidRPr="00275017">
        <w:rPr>
          <w:rFonts w:ascii="Arial" w:hAnsi="Arial" w:cs="Arial"/>
        </w:rPr>
        <w:t xml:space="preserve">can be estimated by reviewing the success of the industry in other </w:t>
      </w:r>
      <w:r w:rsidR="00EF1476">
        <w:rPr>
          <w:rFonts w:ascii="Arial" w:hAnsi="Arial" w:cs="Arial"/>
        </w:rPr>
        <w:t>countries</w:t>
      </w:r>
      <w:r w:rsidR="00C6107B" w:rsidRPr="00275017">
        <w:rPr>
          <w:rFonts w:ascii="Arial" w:hAnsi="Arial" w:cs="Arial"/>
        </w:rPr>
        <w:t xml:space="preserve"> </w:t>
      </w:r>
      <w:r w:rsidRPr="00275017">
        <w:rPr>
          <w:rFonts w:ascii="Arial" w:hAnsi="Arial" w:cs="Arial"/>
        </w:rPr>
        <w:t>that have introduced regulatory frameworks, and evaluating this as a proportion of the missed</w:t>
      </w:r>
      <w:r w:rsidR="002167F8">
        <w:rPr>
          <w:rFonts w:ascii="Arial" w:hAnsi="Arial" w:cs="Arial"/>
        </w:rPr>
        <w:t xml:space="preserve"> opportunity cost to Australia. </w:t>
      </w:r>
      <w:r w:rsidRPr="00275017">
        <w:rPr>
          <w:rFonts w:ascii="Arial" w:hAnsi="Arial" w:cs="Arial"/>
        </w:rPr>
        <w:t xml:space="preserve">Spending in offshore wind power reached $20 billion globally in 2018. The </w:t>
      </w:r>
      <w:r>
        <w:rPr>
          <w:rFonts w:ascii="Arial" w:hAnsi="Arial" w:cs="Arial"/>
        </w:rPr>
        <w:t>International Energy Agency</w:t>
      </w:r>
      <w:r w:rsidRPr="00275017">
        <w:rPr>
          <w:rFonts w:ascii="Arial" w:hAnsi="Arial" w:cs="Arial"/>
        </w:rPr>
        <w:t xml:space="preserve"> projects the cumulative investments in offshore wind to reach $350 billion by 2030 and $1.47 trillion by 2050. </w:t>
      </w:r>
    </w:p>
    <w:p w:rsidR="002167F8" w:rsidRPr="00275017" w:rsidRDefault="002167F8" w:rsidP="0057257B">
      <w:pPr>
        <w:spacing w:before="120" w:after="120" w:line="276" w:lineRule="auto"/>
        <w:rPr>
          <w:rFonts w:ascii="Arial" w:hAnsi="Arial" w:cs="Arial"/>
        </w:rPr>
      </w:pPr>
      <w:r>
        <w:rPr>
          <w:rFonts w:ascii="Arial" w:hAnsi="Arial" w:cs="Arial"/>
        </w:rPr>
        <w:t>While the scale of investment in Australia is difficult to quantity</w:t>
      </w:r>
      <w:r w:rsidR="00FB4C42">
        <w:rPr>
          <w:rFonts w:ascii="Arial" w:hAnsi="Arial" w:cs="Arial"/>
        </w:rPr>
        <w:t xml:space="preserve">, </w:t>
      </w:r>
      <w:r>
        <w:rPr>
          <w:rFonts w:ascii="Arial" w:hAnsi="Arial" w:cs="Arial"/>
        </w:rPr>
        <w:t>by 2030 it is conceivable one large scale proje</w:t>
      </w:r>
      <w:r w:rsidR="006B371D">
        <w:rPr>
          <w:rFonts w:ascii="Arial" w:hAnsi="Arial" w:cs="Arial"/>
        </w:rPr>
        <w:t>ct could be developed. Three high profile projects at early stage development include:</w:t>
      </w:r>
    </w:p>
    <w:p w:rsidR="00961E2D" w:rsidRDefault="00961E2D" w:rsidP="002D5AC3">
      <w:pPr>
        <w:pStyle w:val="Bulletlist"/>
        <w:spacing w:line="276" w:lineRule="auto"/>
        <w:ind w:left="714" w:hanging="357"/>
      </w:pPr>
      <w:r w:rsidRPr="00225015">
        <w:t xml:space="preserve">Marinus Link </w:t>
      </w:r>
      <w:r>
        <w:t xml:space="preserve">transmission infrastructure between Tasmania and Victoria </w:t>
      </w:r>
      <w:r w:rsidRPr="00225015">
        <w:t>being managed by TasNetworks</w:t>
      </w:r>
      <w:r>
        <w:t>. It is estimated to cost in the order of $3.5 billion and could enable a further $5.7 billion investment in generation in Tasmania.</w:t>
      </w:r>
    </w:p>
    <w:p w:rsidR="002758DC" w:rsidRDefault="00961E2D" w:rsidP="00C22764">
      <w:pPr>
        <w:pStyle w:val="Bulletlist"/>
        <w:numPr>
          <w:ilvl w:val="2"/>
          <w:numId w:val="13"/>
        </w:numPr>
        <w:spacing w:line="276" w:lineRule="auto"/>
      </w:pPr>
      <w:r>
        <w:t xml:space="preserve">AEMO’s 2020 ISP modelling identifies that </w:t>
      </w:r>
      <w:r w:rsidR="002758DC">
        <w:t>the</w:t>
      </w:r>
      <w:r w:rsidR="002758DC" w:rsidRPr="00D258B0">
        <w:t xml:space="preserve"> economic benefits of Marinus Link for Tasmania and Victoria are estimated at $2.9 billion.</w:t>
      </w:r>
      <w:bookmarkStart w:id="16" w:name="_GoBack"/>
      <w:bookmarkEnd w:id="16"/>
    </w:p>
    <w:p w:rsidR="006B371D" w:rsidRDefault="006B371D" w:rsidP="002D5AC3">
      <w:pPr>
        <w:pStyle w:val="Bulletlist"/>
        <w:spacing w:line="276" w:lineRule="auto"/>
        <w:ind w:left="714" w:hanging="357"/>
      </w:pPr>
      <w:r w:rsidRPr="00225015">
        <w:t xml:space="preserve">Star of the South </w:t>
      </w:r>
      <w:r>
        <w:t>offshore wind farm proposal</w:t>
      </w:r>
      <w:r w:rsidRPr="00225015">
        <w:t xml:space="preserve"> development by Copenhagen Infrastructure Partners</w:t>
      </w:r>
      <w:r>
        <w:t xml:space="preserve">, valued in the order of $8-10 billion with an installed capacity of 2 gigawatts. </w:t>
      </w:r>
    </w:p>
    <w:p w:rsidR="006B371D" w:rsidRDefault="006B371D" w:rsidP="00126338">
      <w:pPr>
        <w:pStyle w:val="Bulletlist"/>
        <w:spacing w:line="276" w:lineRule="auto"/>
        <w:ind w:left="714" w:hanging="357"/>
      </w:pPr>
      <w:r w:rsidRPr="00225015">
        <w:t>Sun</w:t>
      </w:r>
      <w:r w:rsidR="00AD6661">
        <w:t xml:space="preserve"> </w:t>
      </w:r>
      <w:r w:rsidRPr="00225015">
        <w:t xml:space="preserve">Cable transmission infrastructure </w:t>
      </w:r>
      <w:r>
        <w:t>to allow export of renewable energy from Australia to Singapore has an anticipated value of $20 billion</w:t>
      </w:r>
      <w:r w:rsidRPr="00225015">
        <w:t xml:space="preserve">. </w:t>
      </w:r>
    </w:p>
    <w:p w:rsidR="003D16AF" w:rsidRPr="001E5114" w:rsidRDefault="006B371D" w:rsidP="0057257B">
      <w:pPr>
        <w:pStyle w:val="Bulletlist"/>
        <w:numPr>
          <w:ilvl w:val="0"/>
          <w:numId w:val="0"/>
        </w:numPr>
        <w:spacing w:line="276" w:lineRule="auto"/>
      </w:pPr>
      <w:r>
        <w:t xml:space="preserve">It is </w:t>
      </w:r>
      <w:r w:rsidR="00DF5999">
        <w:t xml:space="preserve">possible </w:t>
      </w:r>
      <w:r>
        <w:t xml:space="preserve">that further projects of varying scale could be developed by the end of 2040. This could lead to a further $5 - $25 billion in additional investment. </w:t>
      </w:r>
      <w:r w:rsidR="006A2E6C">
        <w:t>A s</w:t>
      </w:r>
      <w:r>
        <w:t xml:space="preserve">imilar investment </w:t>
      </w:r>
      <w:r w:rsidR="003E5B09">
        <w:t>profile</w:t>
      </w:r>
      <w:r>
        <w:t xml:space="preserve"> </w:t>
      </w:r>
      <w:r w:rsidR="003414AC">
        <w:t>could be</w:t>
      </w:r>
      <w:r w:rsidR="006A2E6C">
        <w:t xml:space="preserve"> expected to </w:t>
      </w:r>
      <w:r>
        <w:t xml:space="preserve">continue to 2050 and beyond. </w:t>
      </w:r>
    </w:p>
    <w:p w:rsidR="008619D1" w:rsidRPr="00275017" w:rsidRDefault="006B371D" w:rsidP="0057257B">
      <w:pPr>
        <w:pStyle w:val="Heading3"/>
        <w:spacing w:line="276" w:lineRule="auto"/>
        <w:rPr>
          <w:rFonts w:ascii="Arial" w:hAnsi="Arial" w:cs="Arial"/>
        </w:rPr>
      </w:pPr>
      <w:r>
        <w:rPr>
          <w:rFonts w:ascii="Arial" w:hAnsi="Arial" w:cs="Arial"/>
        </w:rPr>
        <w:t>Assessment of</w:t>
      </w:r>
      <w:r w:rsidR="001E5C4B" w:rsidRPr="00275017">
        <w:rPr>
          <w:rFonts w:ascii="Arial" w:hAnsi="Arial" w:cs="Arial"/>
        </w:rPr>
        <w:t xml:space="preserve"> costs </w:t>
      </w:r>
      <w:r>
        <w:rPr>
          <w:rFonts w:ascii="Arial" w:hAnsi="Arial" w:cs="Arial"/>
        </w:rPr>
        <w:t xml:space="preserve">and benefits </w:t>
      </w:r>
      <w:r w:rsidR="001E5C4B" w:rsidRPr="00275017">
        <w:rPr>
          <w:rFonts w:ascii="Arial" w:hAnsi="Arial" w:cs="Arial"/>
        </w:rPr>
        <w:t>for option 1</w:t>
      </w:r>
    </w:p>
    <w:p w:rsidR="008619D1" w:rsidRDefault="001E5114" w:rsidP="0057257B">
      <w:pPr>
        <w:spacing w:line="276" w:lineRule="auto"/>
        <w:rPr>
          <w:rFonts w:ascii="Arial" w:hAnsi="Arial" w:cs="Arial"/>
        </w:rPr>
      </w:pPr>
      <w:r>
        <w:rPr>
          <w:rFonts w:ascii="Arial" w:hAnsi="Arial" w:cs="Arial"/>
        </w:rPr>
        <w:t>The</w:t>
      </w:r>
      <w:r w:rsidR="001E5C4B" w:rsidRPr="00275017">
        <w:rPr>
          <w:rFonts w:ascii="Arial" w:hAnsi="Arial" w:cs="Arial"/>
        </w:rPr>
        <w:t xml:space="preserve"> </w:t>
      </w:r>
      <w:r>
        <w:rPr>
          <w:rFonts w:ascii="Arial" w:hAnsi="Arial" w:cs="Arial"/>
        </w:rPr>
        <w:t xml:space="preserve">direct costs </w:t>
      </w:r>
      <w:r w:rsidR="001E5C4B" w:rsidRPr="00275017">
        <w:rPr>
          <w:rFonts w:ascii="Arial" w:hAnsi="Arial" w:cs="Arial"/>
        </w:rPr>
        <w:t>for option 1</w:t>
      </w:r>
      <w:r>
        <w:rPr>
          <w:rFonts w:ascii="Arial" w:hAnsi="Arial" w:cs="Arial"/>
        </w:rPr>
        <w:t xml:space="preserve"> are estimated not to be substantial, mainly arising for administrative costs for government and engagement costs for industry. </w:t>
      </w:r>
      <w:r w:rsidR="002758DC">
        <w:rPr>
          <w:rFonts w:ascii="Arial" w:hAnsi="Arial" w:cs="Arial"/>
        </w:rPr>
        <w:t>However, o</w:t>
      </w:r>
      <w:r w:rsidR="003E5B09">
        <w:rPr>
          <w:rFonts w:ascii="Arial" w:hAnsi="Arial" w:cs="Arial"/>
        </w:rPr>
        <w:t>pportunity costs have the potential to be very significant</w:t>
      </w:r>
      <w:r w:rsidR="002758DC">
        <w:rPr>
          <w:rFonts w:ascii="Arial" w:hAnsi="Arial" w:cs="Arial"/>
        </w:rPr>
        <w:t>, in the magnitude billions of dollars and thousands of regional jobs</w:t>
      </w:r>
      <w:r w:rsidR="003E5B09">
        <w:rPr>
          <w:rFonts w:ascii="Arial" w:hAnsi="Arial" w:cs="Arial"/>
        </w:rPr>
        <w:t xml:space="preserve">, though the precise value is difficult to </w:t>
      </w:r>
      <w:r w:rsidR="00447E91">
        <w:rPr>
          <w:rFonts w:ascii="Arial" w:hAnsi="Arial" w:cs="Arial"/>
        </w:rPr>
        <w:t xml:space="preserve">definitively </w:t>
      </w:r>
      <w:r w:rsidR="003E5B09">
        <w:rPr>
          <w:rFonts w:ascii="Arial" w:hAnsi="Arial" w:cs="Arial"/>
        </w:rPr>
        <w:t xml:space="preserve">assess. </w:t>
      </w:r>
    </w:p>
    <w:p w:rsidR="00831F9B" w:rsidRDefault="003E5B09" w:rsidP="0057257B">
      <w:pPr>
        <w:spacing w:line="276" w:lineRule="auto"/>
        <w:rPr>
          <w:rFonts w:ascii="Arial" w:hAnsi="Arial" w:cs="Arial"/>
        </w:rPr>
      </w:pPr>
      <w:r>
        <w:rPr>
          <w:rFonts w:ascii="Arial" w:hAnsi="Arial" w:cs="Arial"/>
        </w:rPr>
        <w:t>The be</w:t>
      </w:r>
      <w:r w:rsidR="00121FBD">
        <w:rPr>
          <w:rFonts w:ascii="Arial" w:hAnsi="Arial" w:cs="Arial"/>
        </w:rPr>
        <w:t xml:space="preserve">nefits are related to savings from government not investing in </w:t>
      </w:r>
      <w:r w:rsidR="006A2E6C">
        <w:rPr>
          <w:rFonts w:ascii="Arial" w:hAnsi="Arial" w:cs="Arial"/>
        </w:rPr>
        <w:t xml:space="preserve">the </w:t>
      </w:r>
      <w:r w:rsidR="00121FBD">
        <w:rPr>
          <w:rFonts w:ascii="Arial" w:hAnsi="Arial" w:cs="Arial"/>
        </w:rPr>
        <w:t xml:space="preserve">development of the regulatory framework, less impacts to parties potentially affected by the development of the regulatory framework and business providing service to enable early stage project development. </w:t>
      </w:r>
      <w:r w:rsidR="00447E91">
        <w:rPr>
          <w:rFonts w:ascii="Arial" w:hAnsi="Arial" w:cs="Arial"/>
        </w:rPr>
        <w:t xml:space="preserve">On this basis, the </w:t>
      </w:r>
      <w:r w:rsidR="009800D9">
        <w:rPr>
          <w:rFonts w:ascii="Arial" w:hAnsi="Arial" w:cs="Arial"/>
        </w:rPr>
        <w:t xml:space="preserve">net costs </w:t>
      </w:r>
      <w:r w:rsidR="00447E91">
        <w:rPr>
          <w:rFonts w:ascii="Arial" w:hAnsi="Arial" w:cs="Arial"/>
        </w:rPr>
        <w:t xml:space="preserve">significantly outweigh </w:t>
      </w:r>
      <w:r w:rsidR="006A2E6C">
        <w:rPr>
          <w:rFonts w:ascii="Arial" w:hAnsi="Arial" w:cs="Arial"/>
        </w:rPr>
        <w:t xml:space="preserve">the </w:t>
      </w:r>
      <w:r w:rsidR="009800D9">
        <w:rPr>
          <w:rFonts w:ascii="Arial" w:hAnsi="Arial" w:cs="Arial"/>
        </w:rPr>
        <w:t xml:space="preserve">potential benefits of not proceeding with a regulatory framework to enable investment. </w:t>
      </w:r>
    </w:p>
    <w:p w:rsidR="00810822" w:rsidRPr="00275017" w:rsidRDefault="00810822" w:rsidP="0057257B">
      <w:pPr>
        <w:spacing w:line="276" w:lineRule="auto"/>
        <w:rPr>
          <w:rFonts w:ascii="Arial" w:hAnsi="Arial" w:cs="Arial"/>
        </w:rPr>
      </w:pPr>
    </w:p>
    <w:p w:rsidR="00596FC5" w:rsidRPr="00275017" w:rsidRDefault="00BA0224" w:rsidP="0057257B">
      <w:pPr>
        <w:pStyle w:val="Heading2"/>
        <w:numPr>
          <w:ilvl w:val="1"/>
          <w:numId w:val="11"/>
        </w:numPr>
        <w:spacing w:after="0" w:line="276" w:lineRule="auto"/>
        <w:rPr>
          <w:rFonts w:ascii="Arial" w:hAnsi="Arial" w:cs="Arial"/>
        </w:rPr>
      </w:pPr>
      <w:r w:rsidRPr="00275017">
        <w:rPr>
          <w:rFonts w:ascii="Arial" w:hAnsi="Arial" w:cs="Arial"/>
        </w:rPr>
        <w:t>Option 2: Introduction of r</w:t>
      </w:r>
      <w:r w:rsidR="00810822" w:rsidRPr="00275017">
        <w:rPr>
          <w:rFonts w:ascii="Arial" w:hAnsi="Arial" w:cs="Arial"/>
        </w:rPr>
        <w:t>egulatory framework</w:t>
      </w:r>
    </w:p>
    <w:p w:rsidR="00596FC5" w:rsidRPr="00275017" w:rsidRDefault="00596FC5" w:rsidP="0057257B">
      <w:pPr>
        <w:spacing w:line="276" w:lineRule="auto"/>
        <w:rPr>
          <w:rFonts w:ascii="Arial" w:hAnsi="Arial" w:cs="Arial"/>
        </w:rPr>
      </w:pPr>
      <w:r w:rsidRPr="00275017">
        <w:rPr>
          <w:rFonts w:ascii="Arial" w:hAnsi="Arial" w:cs="Arial"/>
        </w:rPr>
        <w:t xml:space="preserve">Under this approach, the </w:t>
      </w:r>
      <w:r w:rsidR="00356265">
        <w:rPr>
          <w:rFonts w:ascii="Arial" w:hAnsi="Arial" w:cs="Arial"/>
        </w:rPr>
        <w:t>development of</w:t>
      </w:r>
      <w:r w:rsidRPr="00275017">
        <w:rPr>
          <w:rFonts w:ascii="Arial" w:hAnsi="Arial" w:cs="Arial"/>
        </w:rPr>
        <w:t xml:space="preserve"> </w:t>
      </w:r>
      <w:r w:rsidR="00356265">
        <w:rPr>
          <w:rFonts w:ascii="Arial" w:hAnsi="Arial" w:cs="Arial"/>
        </w:rPr>
        <w:t>the proposed regulatory framework</w:t>
      </w:r>
      <w:r w:rsidRPr="00275017">
        <w:rPr>
          <w:rFonts w:ascii="Arial" w:hAnsi="Arial" w:cs="Arial"/>
        </w:rPr>
        <w:t xml:space="preserve"> would allow industry to commence planning and </w:t>
      </w:r>
      <w:r w:rsidR="002758DC">
        <w:rPr>
          <w:rFonts w:ascii="Arial" w:hAnsi="Arial" w:cs="Arial"/>
        </w:rPr>
        <w:t>development of</w:t>
      </w:r>
      <w:r w:rsidRPr="00275017">
        <w:rPr>
          <w:rFonts w:ascii="Arial" w:hAnsi="Arial" w:cs="Arial"/>
        </w:rPr>
        <w:t xml:space="preserve"> offshore </w:t>
      </w:r>
      <w:r w:rsidR="00961E2D">
        <w:rPr>
          <w:rFonts w:ascii="Arial" w:hAnsi="Arial" w:cs="Arial"/>
        </w:rPr>
        <w:t>electricity</w:t>
      </w:r>
      <w:r w:rsidRPr="00275017">
        <w:rPr>
          <w:rFonts w:ascii="Arial" w:hAnsi="Arial" w:cs="Arial"/>
        </w:rPr>
        <w:t xml:space="preserve"> </w:t>
      </w:r>
      <w:r w:rsidR="00126338">
        <w:rPr>
          <w:rFonts w:ascii="Arial" w:hAnsi="Arial" w:cs="Arial"/>
        </w:rPr>
        <w:t>infrastructure</w:t>
      </w:r>
      <w:r w:rsidR="00126338" w:rsidRPr="00275017">
        <w:rPr>
          <w:rFonts w:ascii="Arial" w:hAnsi="Arial" w:cs="Arial"/>
        </w:rPr>
        <w:t xml:space="preserve"> </w:t>
      </w:r>
      <w:r w:rsidR="00356265">
        <w:rPr>
          <w:rFonts w:ascii="Arial" w:hAnsi="Arial" w:cs="Arial"/>
        </w:rPr>
        <w:t>in a timely manner</w:t>
      </w:r>
      <w:r w:rsidRPr="00275017">
        <w:rPr>
          <w:rFonts w:ascii="Arial" w:hAnsi="Arial" w:cs="Arial"/>
        </w:rPr>
        <w:t>. Th</w:t>
      </w:r>
      <w:r w:rsidR="00356265">
        <w:rPr>
          <w:rFonts w:ascii="Arial" w:hAnsi="Arial" w:cs="Arial"/>
        </w:rPr>
        <w:t>is</w:t>
      </w:r>
      <w:r w:rsidRPr="00275017">
        <w:rPr>
          <w:rFonts w:ascii="Arial" w:hAnsi="Arial" w:cs="Arial"/>
        </w:rPr>
        <w:t xml:space="preserve"> </w:t>
      </w:r>
      <w:r w:rsidR="00356265">
        <w:rPr>
          <w:rFonts w:ascii="Arial" w:hAnsi="Arial" w:cs="Arial"/>
        </w:rPr>
        <w:t>would provide</w:t>
      </w:r>
      <w:r w:rsidRPr="00275017">
        <w:rPr>
          <w:rFonts w:ascii="Arial" w:hAnsi="Arial" w:cs="Arial"/>
        </w:rPr>
        <w:t xml:space="preserve"> investment security, while also ensuring the development of protections and an effective management system to negotiate the multi-use nature of the Commonwealth marine environment. </w:t>
      </w:r>
    </w:p>
    <w:p w:rsidR="00596FC5" w:rsidRPr="00275017" w:rsidRDefault="00596FC5" w:rsidP="0057257B">
      <w:pPr>
        <w:spacing w:line="276" w:lineRule="auto"/>
        <w:rPr>
          <w:rFonts w:ascii="Arial" w:hAnsi="Arial" w:cs="Arial"/>
        </w:rPr>
      </w:pPr>
      <w:r w:rsidRPr="00275017">
        <w:rPr>
          <w:rFonts w:ascii="Arial" w:hAnsi="Arial" w:cs="Arial"/>
        </w:rPr>
        <w:t>The regulatory framework would be designed to mitigate any unnecessary or damaging intervention with industry, following a number of principles:</w:t>
      </w:r>
    </w:p>
    <w:p w:rsidR="00596FC5" w:rsidRPr="00275017" w:rsidRDefault="00596FC5" w:rsidP="002D5AC3">
      <w:pPr>
        <w:pStyle w:val="Bulletlist"/>
        <w:spacing w:line="276" w:lineRule="auto"/>
        <w:ind w:left="714" w:hanging="357"/>
      </w:pPr>
      <w:r w:rsidRPr="00275017">
        <w:t xml:space="preserve">Technology neutral, light tough regulation – avoiding prescription given the current industry uncertainty and rapid technology change, while also allowing research and demonstration projects, as well as commercial projects without unnecessary regulation for low risk or impact activities. </w:t>
      </w:r>
    </w:p>
    <w:p w:rsidR="00596FC5" w:rsidRPr="00275017" w:rsidRDefault="00085C6D" w:rsidP="002D5AC3">
      <w:pPr>
        <w:pStyle w:val="Bulletlist"/>
        <w:spacing w:line="276" w:lineRule="auto"/>
        <w:ind w:left="714" w:hanging="357"/>
      </w:pPr>
      <w:r>
        <w:t xml:space="preserve">Shared and </w:t>
      </w:r>
      <w:r w:rsidR="00596FC5" w:rsidRPr="00275017">
        <w:t xml:space="preserve">efficient use of Commonwealth resources – upholding the existing principles of multi-use access to the marine environment. </w:t>
      </w:r>
    </w:p>
    <w:p w:rsidR="00596FC5" w:rsidRPr="00275017" w:rsidRDefault="00596FC5" w:rsidP="002D5AC3">
      <w:pPr>
        <w:pStyle w:val="Bulletlist"/>
        <w:spacing w:line="276" w:lineRule="auto"/>
        <w:ind w:left="714" w:hanging="357"/>
      </w:pPr>
      <w:r w:rsidRPr="00275017">
        <w:t xml:space="preserve">Protection of the marine environment – ensuring environmental protections are a central consideration for any project. </w:t>
      </w:r>
    </w:p>
    <w:p w:rsidR="00596FC5" w:rsidRPr="00275017" w:rsidRDefault="00596FC5" w:rsidP="002D5AC3">
      <w:pPr>
        <w:pStyle w:val="Bulletlist"/>
        <w:spacing w:line="276" w:lineRule="auto"/>
        <w:ind w:left="714" w:hanging="357"/>
      </w:pPr>
      <w:r w:rsidRPr="00275017">
        <w:t xml:space="preserve">Competitive access to renewable resources – ensuring commercial generation projects are subject to a thorough assessment process. </w:t>
      </w:r>
    </w:p>
    <w:p w:rsidR="00596FC5" w:rsidRDefault="00596FC5" w:rsidP="002D5AC3">
      <w:pPr>
        <w:pStyle w:val="Bulletlist"/>
        <w:spacing w:line="276" w:lineRule="auto"/>
        <w:ind w:left="714" w:hanging="357"/>
      </w:pPr>
      <w:r w:rsidRPr="00275017">
        <w:t>Cost recovery – recovering costs associated with regulation</w:t>
      </w:r>
      <w:r w:rsidR="00CD4243">
        <w:t xml:space="preserve"> from project developers.</w:t>
      </w:r>
    </w:p>
    <w:p w:rsidR="00831F9B" w:rsidRPr="00275017" w:rsidRDefault="00831F9B" w:rsidP="002D5AC3">
      <w:pPr>
        <w:pStyle w:val="Bulletlist"/>
        <w:numPr>
          <w:ilvl w:val="0"/>
          <w:numId w:val="0"/>
        </w:numPr>
        <w:spacing w:line="276" w:lineRule="auto"/>
        <w:ind w:left="357"/>
      </w:pPr>
    </w:p>
    <w:p w:rsidR="00596FC5" w:rsidRPr="00275017" w:rsidRDefault="00810822" w:rsidP="0057257B">
      <w:pPr>
        <w:pStyle w:val="Heading2"/>
        <w:numPr>
          <w:ilvl w:val="2"/>
          <w:numId w:val="11"/>
        </w:numPr>
        <w:spacing w:after="0" w:line="276" w:lineRule="auto"/>
        <w:rPr>
          <w:rFonts w:ascii="Arial" w:hAnsi="Arial" w:cs="Arial"/>
        </w:rPr>
      </w:pPr>
      <w:r w:rsidRPr="00275017">
        <w:rPr>
          <w:rFonts w:ascii="Arial" w:hAnsi="Arial" w:cs="Arial"/>
        </w:rPr>
        <w:t xml:space="preserve"> </w:t>
      </w:r>
      <w:r w:rsidR="00463361">
        <w:rPr>
          <w:rFonts w:ascii="Arial" w:hAnsi="Arial" w:cs="Arial"/>
        </w:rPr>
        <w:t xml:space="preserve">Identifying </w:t>
      </w:r>
      <w:r w:rsidR="00596FC5" w:rsidRPr="00275017">
        <w:rPr>
          <w:rFonts w:ascii="Arial" w:hAnsi="Arial" w:cs="Arial"/>
        </w:rPr>
        <w:t>impacts</w:t>
      </w:r>
    </w:p>
    <w:p w:rsidR="00CD2779" w:rsidRPr="00275017" w:rsidRDefault="00CD2779" w:rsidP="00CD2779">
      <w:pPr>
        <w:pStyle w:val="Heading3"/>
        <w:spacing w:line="276" w:lineRule="auto"/>
        <w:rPr>
          <w:rFonts w:ascii="Arial" w:hAnsi="Arial" w:cs="Arial"/>
        </w:rPr>
      </w:pPr>
      <w:r w:rsidRPr="00275017">
        <w:rPr>
          <w:rFonts w:ascii="Arial" w:hAnsi="Arial" w:cs="Arial"/>
        </w:rPr>
        <w:t>Broader community and economy</w:t>
      </w:r>
    </w:p>
    <w:p w:rsidR="00CD2779" w:rsidRDefault="00CD2779" w:rsidP="00CD2779">
      <w:pPr>
        <w:spacing w:line="276" w:lineRule="auto"/>
        <w:rPr>
          <w:rFonts w:ascii="Arial" w:hAnsi="Arial" w:cs="Arial"/>
        </w:rPr>
      </w:pPr>
      <w:r>
        <w:rPr>
          <w:rFonts w:ascii="Arial" w:hAnsi="Arial" w:cs="Arial"/>
        </w:rPr>
        <w:t>Significant potential benefits of the proposed regulatory framework to the broader economy are through:</w:t>
      </w:r>
    </w:p>
    <w:p w:rsidR="00CD2779" w:rsidRPr="002D5AC3" w:rsidRDefault="00CD2779" w:rsidP="00CD2779">
      <w:pPr>
        <w:spacing w:line="276" w:lineRule="auto"/>
        <w:rPr>
          <w:rFonts w:cs="Arial"/>
          <w:u w:val="single"/>
        </w:rPr>
      </w:pPr>
      <w:r w:rsidRPr="002D5AC3">
        <w:rPr>
          <w:rFonts w:ascii="Arial" w:hAnsi="Arial" w:cs="Arial"/>
          <w:u w:val="single"/>
        </w:rPr>
        <w:t>Employment</w:t>
      </w:r>
      <w:r>
        <w:rPr>
          <w:rFonts w:ascii="Arial" w:hAnsi="Arial" w:cs="Arial"/>
          <w:u w:val="single"/>
        </w:rPr>
        <w:t>, particularly regional employment</w:t>
      </w:r>
      <w:r w:rsidRPr="002D5AC3">
        <w:rPr>
          <w:rFonts w:ascii="Arial" w:hAnsi="Arial" w:cs="Arial"/>
          <w:u w:val="single"/>
        </w:rPr>
        <w:t xml:space="preserve"> </w:t>
      </w:r>
    </w:p>
    <w:p w:rsidR="00CD2779" w:rsidRDefault="00CD2779" w:rsidP="00CD2779">
      <w:pPr>
        <w:spacing w:line="276" w:lineRule="auto"/>
        <w:rPr>
          <w:rFonts w:ascii="Arial" w:hAnsi="Arial" w:cs="Arial"/>
        </w:rPr>
      </w:pPr>
      <w:r>
        <w:rPr>
          <w:rFonts w:ascii="Arial" w:hAnsi="Arial" w:cs="Arial"/>
        </w:rPr>
        <w:t>As noted in section 2.1</w:t>
      </w:r>
      <w:r w:rsidRPr="00D60D88">
        <w:rPr>
          <w:rFonts w:ascii="Arial" w:hAnsi="Arial" w:cs="Arial"/>
        </w:rPr>
        <w:t>, there are three projects that are a</w:t>
      </w:r>
      <w:r>
        <w:rPr>
          <w:rFonts w:ascii="Arial" w:hAnsi="Arial" w:cs="Arial"/>
        </w:rPr>
        <w:t xml:space="preserve">dequately progressed to provide </w:t>
      </w:r>
      <w:r w:rsidRPr="00D60D88">
        <w:rPr>
          <w:rFonts w:ascii="Arial" w:hAnsi="Arial" w:cs="Arial"/>
        </w:rPr>
        <w:t>job estimates</w:t>
      </w:r>
      <w:r>
        <w:rPr>
          <w:rFonts w:ascii="Arial" w:hAnsi="Arial" w:cs="Arial"/>
        </w:rPr>
        <w:t>, noting these estimates are provided publicly by the proposed developers of these projects</w:t>
      </w:r>
      <w:r w:rsidRPr="00D60D88">
        <w:rPr>
          <w:rFonts w:ascii="Arial" w:hAnsi="Arial" w:cs="Arial"/>
        </w:rPr>
        <w:t>:</w:t>
      </w:r>
    </w:p>
    <w:p w:rsidR="00CD2779" w:rsidRPr="00D60D88" w:rsidRDefault="00CD2779" w:rsidP="00CD2779">
      <w:pPr>
        <w:pStyle w:val="Bulletlist"/>
        <w:spacing w:line="276" w:lineRule="auto"/>
        <w:ind w:left="714" w:hanging="357"/>
      </w:pPr>
      <w:r>
        <w:t>Marinus L</w:t>
      </w:r>
      <w:r w:rsidRPr="00D60D88">
        <w:t xml:space="preserve">ink: </w:t>
      </w:r>
      <w:r>
        <w:t>In the construction has potential for 2,786 jobs</w:t>
      </w:r>
      <w:r w:rsidRPr="00D60D88">
        <w:t>.</w:t>
      </w:r>
      <w:r>
        <w:t xml:space="preserve"> </w:t>
      </w:r>
      <w:r w:rsidRPr="00D60D88">
        <w:t xml:space="preserve">The vast majority of jobs will be in regional areas (Tasmania and Gippsland). </w:t>
      </w:r>
    </w:p>
    <w:p w:rsidR="00CD2779" w:rsidRPr="00D60D88" w:rsidRDefault="00CD2779" w:rsidP="00CD2779">
      <w:pPr>
        <w:pStyle w:val="Bulletlist"/>
        <w:spacing w:line="276" w:lineRule="auto"/>
        <w:ind w:left="714" w:hanging="357"/>
      </w:pPr>
      <w:r>
        <w:t>Star of the South wind farm: Potentially 8,250 jobs in total. Ongoing operations may and additional 1,180 total direct and indirect jobs</w:t>
      </w:r>
      <w:r w:rsidRPr="00D60D88">
        <w:t xml:space="preserve">. The vast majority of jobs will be located or deployed in regional areas </w:t>
      </w:r>
      <w:r>
        <w:t>Gippsland</w:t>
      </w:r>
      <w:r w:rsidRPr="00D60D88">
        <w:t>.</w:t>
      </w:r>
    </w:p>
    <w:p w:rsidR="00CD2779" w:rsidRPr="00D60D88" w:rsidRDefault="00CD2779" w:rsidP="00CD2779">
      <w:pPr>
        <w:pStyle w:val="Bulletlist"/>
        <w:spacing w:line="276" w:lineRule="auto"/>
        <w:ind w:left="714" w:hanging="357"/>
      </w:pPr>
      <w:r>
        <w:t xml:space="preserve">Sun Cable: </w:t>
      </w:r>
      <w:r w:rsidRPr="00D60D88">
        <w:t xml:space="preserve">In the construction phase </w:t>
      </w:r>
      <w:r>
        <w:t xml:space="preserve">1,500 direct Australian jobs could be created. Ongoing employment opportunities could create 12,350 direct and indirect jobs </w:t>
      </w:r>
      <w:r w:rsidRPr="00D60D88">
        <w:t>in Australia. The vast majority of jobs will be located or deployed in regional areas (Tennant Creek NT and Darwin).</w:t>
      </w:r>
    </w:p>
    <w:p w:rsidR="00CD2779" w:rsidRDefault="00CD2779" w:rsidP="00CD2779">
      <w:pPr>
        <w:pStyle w:val="Bulletlist"/>
        <w:spacing w:line="276" w:lineRule="auto"/>
        <w:ind w:left="714" w:hanging="357"/>
      </w:pPr>
      <w:r w:rsidRPr="00D60D88">
        <w:t xml:space="preserve">In total these projects </w:t>
      </w:r>
      <w:r>
        <w:t>could</w:t>
      </w:r>
      <w:r w:rsidRPr="00D60D88">
        <w:t xml:space="preserve"> enable 4,933 direct jobs and 21,133 indirect jobs, with a total of 26,066 jobs.</w:t>
      </w:r>
    </w:p>
    <w:p w:rsidR="00CD2779" w:rsidRDefault="00CD2779" w:rsidP="00CD2779">
      <w:pPr>
        <w:spacing w:line="276" w:lineRule="auto"/>
        <w:rPr>
          <w:rFonts w:ascii="Arial" w:hAnsi="Arial" w:cs="Arial"/>
        </w:rPr>
      </w:pPr>
      <w:r>
        <w:rPr>
          <w:rFonts w:ascii="Arial" w:hAnsi="Arial" w:cs="Arial"/>
        </w:rPr>
        <w:t xml:space="preserve">These jobs will be distributed across a variety of sectors including engineering, transport and logistics and manufacturing. </w:t>
      </w:r>
    </w:p>
    <w:p w:rsidR="00CD2779" w:rsidRPr="00377431" w:rsidRDefault="00CD2779" w:rsidP="00CD2779">
      <w:pPr>
        <w:spacing w:line="276" w:lineRule="auto"/>
        <w:rPr>
          <w:rFonts w:ascii="Arial" w:eastAsia="Cambria" w:hAnsi="Arial" w:cs="Times New Roman"/>
          <w:b/>
          <w:szCs w:val="24"/>
        </w:rPr>
      </w:pPr>
      <w:r w:rsidRPr="00377431">
        <w:rPr>
          <w:rFonts w:ascii="Arial" w:hAnsi="Arial" w:cs="Arial"/>
        </w:rPr>
        <w:t xml:space="preserve">Importantly, as noted in section 1, </w:t>
      </w:r>
      <w:r>
        <w:rPr>
          <w:rFonts w:ascii="Arial" w:hAnsi="Arial" w:cs="Arial"/>
        </w:rPr>
        <w:t>the department</w:t>
      </w:r>
      <w:r w:rsidRPr="00377431">
        <w:rPr>
          <w:rFonts w:ascii="Arial" w:hAnsi="Arial" w:cs="Arial"/>
        </w:rPr>
        <w:t xml:space="preserve"> </w:t>
      </w:r>
      <w:r>
        <w:rPr>
          <w:rFonts w:ascii="Arial" w:hAnsi="Arial" w:cs="Arial"/>
        </w:rPr>
        <w:t>is</w:t>
      </w:r>
      <w:r w:rsidRPr="00377431">
        <w:rPr>
          <w:rFonts w:ascii="Arial" w:hAnsi="Arial" w:cs="Arial"/>
        </w:rPr>
        <w:t xml:space="preserve"> aware of </w:t>
      </w:r>
      <w:r>
        <w:rPr>
          <w:rFonts w:ascii="Arial" w:hAnsi="Arial" w:cs="Arial"/>
        </w:rPr>
        <w:t>nine</w:t>
      </w:r>
      <w:r w:rsidRPr="00377431">
        <w:rPr>
          <w:rFonts w:ascii="Arial" w:hAnsi="Arial" w:cs="Arial"/>
        </w:rPr>
        <w:t xml:space="preserve"> further proposals, which create additional employment opportunities, noting some of these projects could be in competition, </w:t>
      </w:r>
      <w:r>
        <w:rPr>
          <w:rFonts w:ascii="Arial" w:hAnsi="Arial" w:cs="Arial"/>
        </w:rPr>
        <w:t xml:space="preserve">and it is unlikely that </w:t>
      </w:r>
      <w:r w:rsidRPr="00377431">
        <w:rPr>
          <w:rFonts w:ascii="Arial" w:hAnsi="Arial" w:cs="Arial"/>
        </w:rPr>
        <w:t xml:space="preserve">all </w:t>
      </w:r>
      <w:r>
        <w:rPr>
          <w:rFonts w:ascii="Arial" w:hAnsi="Arial" w:cs="Arial"/>
        </w:rPr>
        <w:t>could</w:t>
      </w:r>
      <w:r w:rsidRPr="00377431">
        <w:rPr>
          <w:rFonts w:ascii="Arial" w:hAnsi="Arial" w:cs="Arial"/>
        </w:rPr>
        <w:t xml:space="preserve"> proceed.</w:t>
      </w:r>
      <w:r w:rsidRPr="00377431">
        <w:rPr>
          <w:rFonts w:ascii="Arial" w:eastAsia="Cambria" w:hAnsi="Arial" w:cs="Times New Roman"/>
          <w:b/>
          <w:szCs w:val="24"/>
        </w:rPr>
        <w:t xml:space="preserve">  </w:t>
      </w:r>
    </w:p>
    <w:p w:rsidR="00CD2779" w:rsidRPr="002D5AC3" w:rsidRDefault="00CD2779" w:rsidP="00CD2779">
      <w:pPr>
        <w:spacing w:line="276" w:lineRule="auto"/>
        <w:rPr>
          <w:rFonts w:cs="Arial"/>
          <w:u w:val="single"/>
        </w:rPr>
      </w:pPr>
      <w:r w:rsidRPr="002D5AC3">
        <w:rPr>
          <w:rFonts w:ascii="Arial" w:hAnsi="Arial" w:cs="Arial"/>
          <w:u w:val="single"/>
        </w:rPr>
        <w:t xml:space="preserve">Greater energy market competition </w:t>
      </w:r>
    </w:p>
    <w:p w:rsidR="00CD2779" w:rsidRDefault="00CD2779" w:rsidP="00CD2779">
      <w:pPr>
        <w:pStyle w:val="Bulletlist"/>
        <w:numPr>
          <w:ilvl w:val="0"/>
          <w:numId w:val="0"/>
        </w:numPr>
        <w:spacing w:line="276" w:lineRule="auto"/>
      </w:pPr>
      <w:r>
        <w:t xml:space="preserve">Additional energy options for generation could create more competition for potential support, leading to lower prices. </w:t>
      </w:r>
    </w:p>
    <w:p w:rsidR="00CD2779" w:rsidRDefault="00CD2779" w:rsidP="00CD2779">
      <w:pPr>
        <w:spacing w:line="276" w:lineRule="auto"/>
        <w:rPr>
          <w:rFonts w:ascii="Arial" w:hAnsi="Arial" w:cs="Arial"/>
        </w:rPr>
      </w:pPr>
      <w:r>
        <w:rPr>
          <w:rFonts w:ascii="Arial" w:hAnsi="Arial" w:cs="Arial"/>
        </w:rPr>
        <w:t>Marinus Link</w:t>
      </w:r>
      <w:r w:rsidRPr="006912D5">
        <w:rPr>
          <w:rFonts w:ascii="Arial" w:hAnsi="Arial" w:cs="Arial"/>
        </w:rPr>
        <w:t xml:space="preserve"> will also enable expansion of Tasmania’s hydro capacity </w:t>
      </w:r>
      <w:r>
        <w:rPr>
          <w:rFonts w:ascii="Arial" w:hAnsi="Arial" w:cs="Arial"/>
        </w:rPr>
        <w:t>and</w:t>
      </w:r>
      <w:r w:rsidRPr="006912D5">
        <w:rPr>
          <w:rFonts w:ascii="Arial" w:hAnsi="Arial" w:cs="Arial"/>
        </w:rPr>
        <w:t xml:space="preserve"> unlock additional renewable energy investment in </w:t>
      </w:r>
      <w:r>
        <w:rPr>
          <w:rFonts w:ascii="Arial" w:hAnsi="Arial" w:cs="Arial"/>
        </w:rPr>
        <w:t>Tasmania</w:t>
      </w:r>
      <w:r w:rsidRPr="006912D5">
        <w:rPr>
          <w:rFonts w:ascii="Arial" w:hAnsi="Arial" w:cs="Arial"/>
        </w:rPr>
        <w:t>.</w:t>
      </w:r>
      <w:r>
        <w:rPr>
          <w:rFonts w:ascii="Arial" w:hAnsi="Arial" w:cs="Arial"/>
        </w:rPr>
        <w:t xml:space="preserve"> To firm up the </w:t>
      </w:r>
      <w:r w:rsidRPr="00E65AC6">
        <w:rPr>
          <w:rFonts w:ascii="Arial" w:hAnsi="Arial" w:cs="Arial"/>
        </w:rPr>
        <w:t>inherently variable nature of distributed and large-</w:t>
      </w:r>
      <w:r>
        <w:rPr>
          <w:rFonts w:ascii="Arial" w:hAnsi="Arial" w:cs="Arial"/>
        </w:rPr>
        <w:t>scale renewable generation, the NEM requires</w:t>
      </w:r>
      <w:r w:rsidRPr="00E65AC6">
        <w:rPr>
          <w:rFonts w:ascii="Arial" w:hAnsi="Arial" w:cs="Arial"/>
        </w:rPr>
        <w:t xml:space="preserve"> new f</w:t>
      </w:r>
      <w:r>
        <w:rPr>
          <w:rFonts w:ascii="Arial" w:hAnsi="Arial" w:cs="Arial"/>
        </w:rPr>
        <w:t>lexible, dispatchable resources, including</w:t>
      </w:r>
      <w:r w:rsidRPr="00E65AC6">
        <w:rPr>
          <w:rFonts w:ascii="Arial" w:hAnsi="Arial" w:cs="Arial"/>
        </w:rPr>
        <w:t xml:space="preserve"> utility-scale pumped hydro</w:t>
      </w:r>
      <w:r>
        <w:rPr>
          <w:rFonts w:ascii="Arial" w:hAnsi="Arial" w:cs="Arial"/>
        </w:rPr>
        <w:t>.</w:t>
      </w:r>
    </w:p>
    <w:p w:rsidR="00CD2779" w:rsidRPr="00A9606E" w:rsidRDefault="00CD2779" w:rsidP="00CD2779">
      <w:pPr>
        <w:spacing w:line="276" w:lineRule="auto"/>
        <w:rPr>
          <w:rFonts w:cs="Arial"/>
        </w:rPr>
      </w:pPr>
      <w:r w:rsidRPr="006912D5">
        <w:rPr>
          <w:rFonts w:ascii="Arial" w:hAnsi="Arial" w:cs="Arial"/>
        </w:rPr>
        <w:t xml:space="preserve">Marinus Link will allow over 400 </w:t>
      </w:r>
      <w:r>
        <w:rPr>
          <w:rFonts w:ascii="Arial" w:hAnsi="Arial" w:cs="Arial"/>
        </w:rPr>
        <w:t xml:space="preserve">MW </w:t>
      </w:r>
      <w:r w:rsidRPr="006912D5">
        <w:rPr>
          <w:rFonts w:ascii="Arial" w:hAnsi="Arial" w:cs="Arial"/>
        </w:rPr>
        <w:t>of existing dispatchable generation to be transmitted to Victoria, which, due to limited Bass</w:t>
      </w:r>
      <w:r>
        <w:rPr>
          <w:rFonts w:ascii="Arial" w:hAnsi="Arial" w:cs="Arial"/>
        </w:rPr>
        <w:t>l</w:t>
      </w:r>
      <w:r w:rsidRPr="006912D5">
        <w:rPr>
          <w:rFonts w:ascii="Arial" w:hAnsi="Arial" w:cs="Arial"/>
        </w:rPr>
        <w:t xml:space="preserve">ink capacity, is currently unavailable. This would power up to 400,000 homes and help manage the impact of variable wind and solar, unplanned outages and extreme weather events. </w:t>
      </w:r>
      <w:r w:rsidRPr="00C22764">
        <w:rPr>
          <w:rFonts w:ascii="Arial" w:hAnsi="Arial" w:cs="Arial"/>
        </w:rPr>
        <w:t>The economic benefits of Marinus Link for Tasmania and Victoria are estimated at $2.9 billion.</w:t>
      </w:r>
    </w:p>
    <w:p w:rsidR="00CD2779" w:rsidRPr="002D5AC3" w:rsidRDefault="00CD2779" w:rsidP="00CD2779">
      <w:pPr>
        <w:spacing w:line="276" w:lineRule="auto"/>
        <w:rPr>
          <w:rFonts w:cs="Arial"/>
          <w:u w:val="single"/>
        </w:rPr>
      </w:pPr>
      <w:r w:rsidRPr="002D5AC3">
        <w:rPr>
          <w:rFonts w:ascii="Arial" w:hAnsi="Arial" w:cs="Arial"/>
          <w:u w:val="single"/>
        </w:rPr>
        <w:t>Trade and foreign investment</w:t>
      </w:r>
    </w:p>
    <w:p w:rsidR="00CD2779" w:rsidRDefault="00CD2779" w:rsidP="00CD2779">
      <w:pPr>
        <w:pStyle w:val="Bulletlist"/>
        <w:numPr>
          <w:ilvl w:val="0"/>
          <w:numId w:val="0"/>
        </w:numPr>
        <w:spacing w:line="276" w:lineRule="auto"/>
      </w:pPr>
      <w:r>
        <w:t xml:space="preserve">Very large scale projects such as offshore wind or transmission infrastructure create significant new foreign investment opportunities. In the longer term, export opportunities could be created through utilising offshore wind to produce green hydrogen or green steel. </w:t>
      </w:r>
    </w:p>
    <w:p w:rsidR="00CD2779" w:rsidRPr="002D5AC3" w:rsidRDefault="00CD2779" w:rsidP="00CD2779">
      <w:pPr>
        <w:spacing w:line="276" w:lineRule="auto"/>
        <w:rPr>
          <w:rFonts w:cs="Arial"/>
          <w:u w:val="single"/>
        </w:rPr>
      </w:pPr>
      <w:r w:rsidRPr="002D5AC3">
        <w:rPr>
          <w:rFonts w:ascii="Arial" w:hAnsi="Arial" w:cs="Arial"/>
          <w:u w:val="single"/>
        </w:rPr>
        <w:t>Greater utilisation of maritime environment</w:t>
      </w:r>
    </w:p>
    <w:p w:rsidR="00CD2779" w:rsidRDefault="00CD2779" w:rsidP="00CD2779">
      <w:pPr>
        <w:pStyle w:val="Bulletlist"/>
        <w:numPr>
          <w:ilvl w:val="0"/>
          <w:numId w:val="0"/>
        </w:numPr>
        <w:spacing w:line="276" w:lineRule="auto"/>
      </w:pPr>
      <w:r>
        <w:t xml:space="preserve">Enabling renewable energy generation in the offshore environment opens up a new, multi-billion dollar source of investment for this region of Australia. </w:t>
      </w:r>
    </w:p>
    <w:p w:rsidR="00CD2779" w:rsidRPr="002D5AC3" w:rsidRDefault="00CD2779" w:rsidP="00CD2779">
      <w:pPr>
        <w:spacing w:line="276" w:lineRule="auto"/>
        <w:rPr>
          <w:rFonts w:cs="Arial"/>
          <w:u w:val="single"/>
        </w:rPr>
      </w:pPr>
      <w:r w:rsidRPr="002D5AC3">
        <w:rPr>
          <w:rFonts w:ascii="Arial" w:hAnsi="Arial" w:cs="Arial"/>
          <w:u w:val="single"/>
        </w:rPr>
        <w:t>Efficient utilisation of existing infrastructure</w:t>
      </w:r>
    </w:p>
    <w:p w:rsidR="00CD2779" w:rsidRDefault="00CD2779" w:rsidP="00CD2779">
      <w:pPr>
        <w:pStyle w:val="Bulletlist"/>
        <w:numPr>
          <w:ilvl w:val="0"/>
          <w:numId w:val="0"/>
        </w:numPr>
        <w:spacing w:line="276" w:lineRule="auto"/>
      </w:pPr>
      <w:r>
        <w:t xml:space="preserve">Offshore electricity infrastructure proposals can utilise existing transmission infrastructure as existing generation is phased out. Making use of existing infrastructure continues to place downward pressure on electricity prices and reduce developer costs. The Marinus Link interconnector and the Star of the South offshore wind farm proposal plans to connect to the existing transmission capacity in the La Trobe Valley.   </w:t>
      </w:r>
    </w:p>
    <w:p w:rsidR="00CD2779" w:rsidRPr="002D5AC3" w:rsidRDefault="00CD2779" w:rsidP="00CD2779">
      <w:pPr>
        <w:spacing w:line="276" w:lineRule="auto"/>
        <w:rPr>
          <w:rFonts w:cs="Arial"/>
          <w:u w:val="single"/>
        </w:rPr>
      </w:pPr>
      <w:r w:rsidRPr="002D5AC3">
        <w:rPr>
          <w:rFonts w:ascii="Arial" w:hAnsi="Arial" w:cs="Arial"/>
          <w:u w:val="single"/>
        </w:rPr>
        <w:t xml:space="preserve">Public health and safety effects </w:t>
      </w:r>
    </w:p>
    <w:p w:rsidR="00CD2779" w:rsidRDefault="00CD2779" w:rsidP="00CD2779">
      <w:pPr>
        <w:pStyle w:val="Bulletlist"/>
        <w:numPr>
          <w:ilvl w:val="0"/>
          <w:numId w:val="0"/>
        </w:numPr>
        <w:spacing w:line="276" w:lineRule="auto"/>
      </w:pPr>
      <w:r>
        <w:t>Key principles of the proposed regulatory framework’s approach to WHS matters are to: ensure p</w:t>
      </w:r>
      <w:r w:rsidRPr="004A4344">
        <w:t>rotection of workers where risks are present, continuous improvement in risk management practice over time</w:t>
      </w:r>
      <w:r>
        <w:t xml:space="preserve"> </w:t>
      </w:r>
      <w:r w:rsidRPr="004A4344">
        <w:t>and minimis</w:t>
      </w:r>
      <w:r>
        <w:t>e</w:t>
      </w:r>
      <w:r w:rsidRPr="004A4344">
        <w:t xml:space="preserve"> regulatory burden and administrative complexity.</w:t>
      </w:r>
    </w:p>
    <w:p w:rsidR="00CD2779" w:rsidRDefault="00CD2779" w:rsidP="00CD2779">
      <w:pPr>
        <w:spacing w:line="276" w:lineRule="auto"/>
      </w:pPr>
      <w:r w:rsidRPr="317FB1FF">
        <w:rPr>
          <w:rFonts w:ascii="Arial" w:eastAsia="Arial" w:hAnsi="Arial" w:cs="Arial"/>
          <w:szCs w:val="20"/>
        </w:rPr>
        <w:t>By applying an industry specific WHS scheme</w:t>
      </w:r>
      <w:r>
        <w:rPr>
          <w:rFonts w:ascii="Arial" w:eastAsia="Arial" w:hAnsi="Arial" w:cs="Arial"/>
          <w:szCs w:val="20"/>
        </w:rPr>
        <w:t xml:space="preserve"> as proposed in section 4.3.1</w:t>
      </w:r>
      <w:r w:rsidRPr="317FB1FF">
        <w:rPr>
          <w:rFonts w:ascii="Arial" w:eastAsia="Arial" w:hAnsi="Arial" w:cs="Arial"/>
          <w:szCs w:val="20"/>
        </w:rPr>
        <w:t xml:space="preserve"> to protect workers in the offshore </w:t>
      </w:r>
      <w:r>
        <w:rPr>
          <w:rFonts w:ascii="Arial" w:eastAsia="Arial" w:hAnsi="Arial" w:cs="Arial"/>
          <w:szCs w:val="20"/>
        </w:rPr>
        <w:t>electricity</w:t>
      </w:r>
      <w:r w:rsidRPr="317FB1FF">
        <w:rPr>
          <w:rFonts w:ascii="Arial" w:eastAsia="Arial" w:hAnsi="Arial" w:cs="Arial"/>
          <w:szCs w:val="20"/>
        </w:rPr>
        <w:t xml:space="preserve"> sector, a targeted, fit for purpose, objective based regulatory approach can be applied</w:t>
      </w:r>
      <w:r>
        <w:rPr>
          <w:rFonts w:ascii="Arial" w:eastAsia="Arial" w:hAnsi="Arial" w:cs="Arial"/>
          <w:szCs w:val="20"/>
        </w:rPr>
        <w:t>. This allows</w:t>
      </w:r>
      <w:r w:rsidRPr="317FB1FF">
        <w:rPr>
          <w:rFonts w:ascii="Arial" w:eastAsia="Arial" w:hAnsi="Arial" w:cs="Arial"/>
          <w:szCs w:val="20"/>
        </w:rPr>
        <w:t xml:space="preserve"> an appropriate level of control and flexibility in approaches, specific to individual projects and activities. </w:t>
      </w:r>
    </w:p>
    <w:p w:rsidR="00CD2779" w:rsidRDefault="00CD2779" w:rsidP="00CD2779">
      <w:pPr>
        <w:spacing w:line="276" w:lineRule="auto"/>
        <w:rPr>
          <w:rFonts w:ascii="Arial" w:eastAsia="Arial" w:hAnsi="Arial" w:cs="Arial"/>
          <w:szCs w:val="20"/>
        </w:rPr>
      </w:pPr>
      <w:r w:rsidRPr="317FB1FF">
        <w:rPr>
          <w:rFonts w:ascii="Arial" w:eastAsia="Arial" w:hAnsi="Arial" w:cs="Arial"/>
          <w:szCs w:val="20"/>
        </w:rPr>
        <w:t xml:space="preserve">The </w:t>
      </w:r>
      <w:r>
        <w:rPr>
          <w:rFonts w:ascii="Arial" w:eastAsia="Arial" w:hAnsi="Arial" w:cs="Arial"/>
          <w:szCs w:val="20"/>
        </w:rPr>
        <w:t>proposed regulatory framework</w:t>
      </w:r>
      <w:r w:rsidRPr="317FB1FF">
        <w:rPr>
          <w:rFonts w:ascii="Arial" w:eastAsia="Arial" w:hAnsi="Arial" w:cs="Arial"/>
          <w:szCs w:val="20"/>
        </w:rPr>
        <w:t xml:space="preserve"> lends itself</w:t>
      </w:r>
      <w:r>
        <w:rPr>
          <w:rFonts w:ascii="Arial" w:eastAsia="Arial" w:hAnsi="Arial" w:cs="Arial"/>
          <w:szCs w:val="20"/>
        </w:rPr>
        <w:t xml:space="preserve"> to objective based regulation </w:t>
      </w:r>
      <w:r w:rsidRPr="317FB1FF">
        <w:rPr>
          <w:rFonts w:ascii="Arial" w:eastAsia="Arial" w:hAnsi="Arial" w:cs="Arial"/>
          <w:szCs w:val="20"/>
        </w:rPr>
        <w:t>due to the evolving nature of the industry and new technology practices</w:t>
      </w:r>
      <w:r>
        <w:rPr>
          <w:rFonts w:ascii="Arial" w:eastAsia="Arial" w:hAnsi="Arial" w:cs="Arial"/>
          <w:szCs w:val="20"/>
        </w:rPr>
        <w:t>. It is</w:t>
      </w:r>
      <w:r w:rsidRPr="317FB1FF">
        <w:rPr>
          <w:rFonts w:ascii="Arial" w:eastAsia="Arial" w:hAnsi="Arial" w:cs="Arial"/>
          <w:szCs w:val="20"/>
        </w:rPr>
        <w:t xml:space="preserve"> impractical, expensive and undesirable to set a ‘step by step’ prescriptive safety regime. Continuous improvement in WHS management can also be driven through this approach as well as integrating with industry specific structural integrity requirements. </w:t>
      </w:r>
    </w:p>
    <w:p w:rsidR="00CD2779" w:rsidRDefault="00CD2779" w:rsidP="00CD2779">
      <w:pPr>
        <w:pStyle w:val="Bulletlist"/>
        <w:numPr>
          <w:ilvl w:val="0"/>
          <w:numId w:val="0"/>
        </w:numPr>
        <w:spacing w:line="276" w:lineRule="auto"/>
        <w:rPr>
          <w:rFonts w:eastAsia="Arial" w:cs="Arial"/>
          <w:szCs w:val="20"/>
        </w:rPr>
      </w:pPr>
      <w:r>
        <w:rPr>
          <w:rFonts w:eastAsia="Arial" w:cs="Arial"/>
          <w:szCs w:val="20"/>
        </w:rPr>
        <w:t>D</w:t>
      </w:r>
      <w:r w:rsidRPr="317FB1FF">
        <w:rPr>
          <w:rFonts w:eastAsia="Arial" w:cs="Arial"/>
          <w:szCs w:val="20"/>
        </w:rPr>
        <w:t xml:space="preserve">evelopment of an industry specific regime which aligns with the provisions of the model WHS laws </w:t>
      </w:r>
      <w:r>
        <w:rPr>
          <w:rFonts w:eastAsia="Arial" w:cs="Arial"/>
          <w:szCs w:val="20"/>
        </w:rPr>
        <w:t>would</w:t>
      </w:r>
      <w:r w:rsidRPr="317FB1FF">
        <w:rPr>
          <w:rFonts w:eastAsia="Arial" w:cs="Arial"/>
          <w:szCs w:val="20"/>
        </w:rPr>
        <w:t xml:space="preserve"> provide a contemporary WHS framework for the sector. </w:t>
      </w:r>
    </w:p>
    <w:p w:rsidR="00CD2779" w:rsidRPr="002D5AC3" w:rsidRDefault="00CD2779" w:rsidP="00CD2779">
      <w:pPr>
        <w:spacing w:line="276" w:lineRule="auto"/>
        <w:rPr>
          <w:rFonts w:cs="Arial"/>
          <w:u w:val="single"/>
        </w:rPr>
      </w:pPr>
      <w:r w:rsidRPr="002D5AC3">
        <w:rPr>
          <w:rFonts w:ascii="Arial" w:hAnsi="Arial" w:cs="Arial"/>
          <w:u w:val="single"/>
        </w:rPr>
        <w:t xml:space="preserve">Environment </w:t>
      </w:r>
    </w:p>
    <w:p w:rsidR="00CD2779" w:rsidRPr="00D958AB" w:rsidRDefault="00CD2779" w:rsidP="00CD2779">
      <w:pPr>
        <w:pStyle w:val="Bulletlist"/>
        <w:numPr>
          <w:ilvl w:val="0"/>
          <w:numId w:val="0"/>
        </w:numPr>
        <w:spacing w:line="276" w:lineRule="auto"/>
      </w:pPr>
      <w:r>
        <w:t xml:space="preserve">Projects made possible under the regulatory framework would enable significant new sources of emissions reduction. For example, the Marinus Link and supporting transmission can enable 45 million tonnes of carbon dioxide emissions by 2050 </w:t>
      </w:r>
      <w:r w:rsidR="008D5FC4">
        <w:t>through</w:t>
      </w:r>
      <w:r>
        <w:t xml:space="preserve"> improved access to reliable pumped hydro.</w:t>
      </w:r>
    </w:p>
    <w:p w:rsidR="00596FC5" w:rsidRPr="00275017" w:rsidRDefault="00596FC5" w:rsidP="0057257B">
      <w:pPr>
        <w:pStyle w:val="Heading3"/>
        <w:spacing w:line="276" w:lineRule="auto"/>
        <w:rPr>
          <w:rFonts w:ascii="Arial" w:hAnsi="Arial" w:cs="Arial"/>
        </w:rPr>
      </w:pPr>
      <w:r w:rsidRPr="00275017">
        <w:rPr>
          <w:rFonts w:ascii="Arial" w:hAnsi="Arial" w:cs="Arial"/>
        </w:rPr>
        <w:t xml:space="preserve">Government </w:t>
      </w:r>
    </w:p>
    <w:p w:rsidR="006C2172" w:rsidRDefault="006C2172" w:rsidP="008A2319">
      <w:pPr>
        <w:spacing w:line="276" w:lineRule="auto"/>
        <w:rPr>
          <w:rFonts w:ascii="Arial" w:hAnsi="Arial" w:cs="Arial"/>
        </w:rPr>
      </w:pPr>
      <w:r>
        <w:rPr>
          <w:rFonts w:ascii="Arial" w:hAnsi="Arial" w:cs="Arial"/>
        </w:rPr>
        <w:t>Should an o</w:t>
      </w:r>
      <w:r w:rsidR="00596FC5" w:rsidRPr="00275017">
        <w:rPr>
          <w:rFonts w:ascii="Arial" w:hAnsi="Arial" w:cs="Arial"/>
        </w:rPr>
        <w:t xml:space="preserve">ffshore </w:t>
      </w:r>
      <w:r w:rsidR="00961E2D">
        <w:rPr>
          <w:rFonts w:ascii="Arial" w:hAnsi="Arial" w:cs="Arial"/>
        </w:rPr>
        <w:t>electricity infrastructure</w:t>
      </w:r>
      <w:r>
        <w:rPr>
          <w:rFonts w:ascii="Arial" w:hAnsi="Arial" w:cs="Arial"/>
        </w:rPr>
        <w:t xml:space="preserve"> regulatory framework be developed, the costs for </w:t>
      </w:r>
      <w:r w:rsidR="006D483D">
        <w:rPr>
          <w:rFonts w:ascii="Arial" w:hAnsi="Arial" w:cs="Arial"/>
        </w:rPr>
        <w:t xml:space="preserve">the Commonwealth </w:t>
      </w:r>
      <w:r>
        <w:rPr>
          <w:rFonts w:ascii="Arial" w:hAnsi="Arial" w:cs="Arial"/>
        </w:rPr>
        <w:t>government would include:</w:t>
      </w:r>
    </w:p>
    <w:p w:rsidR="006D483D" w:rsidRPr="002D5AC3" w:rsidRDefault="006C2172" w:rsidP="002D5AC3">
      <w:pPr>
        <w:pStyle w:val="Bulletlist"/>
        <w:spacing w:line="276" w:lineRule="auto"/>
        <w:ind w:left="714" w:hanging="357"/>
      </w:pPr>
      <w:r w:rsidRPr="0069471E">
        <w:t xml:space="preserve">The initial development of the </w:t>
      </w:r>
      <w:r w:rsidR="00D874F2" w:rsidRPr="0069471E">
        <w:t>legislative framework</w:t>
      </w:r>
      <w:r w:rsidR="00831F9B">
        <w:t xml:space="preserve"> - </w:t>
      </w:r>
      <w:r w:rsidR="00A70F06" w:rsidRPr="002D5AC3">
        <w:t xml:space="preserve">This would be managed by a small team of policy advisors and </w:t>
      </w:r>
      <w:r w:rsidR="00D874F2" w:rsidRPr="002D5AC3">
        <w:t xml:space="preserve">legal advisors. </w:t>
      </w:r>
      <w:r w:rsidR="005910C8" w:rsidRPr="002D5AC3">
        <w:t>Key tasks would include undertaking project management, policy work and required consultation.</w:t>
      </w:r>
      <w:r w:rsidR="0069471E" w:rsidRPr="002D5AC3">
        <w:t xml:space="preserve"> </w:t>
      </w:r>
      <w:r w:rsidR="00D874F2" w:rsidRPr="002D5AC3">
        <w:t>It is estimated this work will take in the order of eighteen month</w:t>
      </w:r>
      <w:r w:rsidR="006F404B" w:rsidRPr="002D5AC3">
        <w:t>s</w:t>
      </w:r>
      <w:r w:rsidR="00D874F2" w:rsidRPr="002D5AC3">
        <w:t xml:space="preserve"> to develop primary legislation.</w:t>
      </w:r>
      <w:r w:rsidR="0069471E" w:rsidRPr="002D5AC3">
        <w:t xml:space="preserve"> </w:t>
      </w:r>
      <w:r w:rsidR="00D874F2" w:rsidRPr="002D5AC3">
        <w:t>Subsequent development of subordinate regulations</w:t>
      </w:r>
      <w:r w:rsidR="006A2E6C" w:rsidRPr="002D5AC3">
        <w:t>.</w:t>
      </w:r>
      <w:r w:rsidR="0069471E" w:rsidRPr="002D5AC3">
        <w:t xml:space="preserve"> </w:t>
      </w:r>
      <w:r w:rsidR="005910C8" w:rsidRPr="002D5AC3">
        <w:t xml:space="preserve">Delivery of enabling regulations for offshore </w:t>
      </w:r>
      <w:r w:rsidR="00961E2D">
        <w:t>electricity infrastructure</w:t>
      </w:r>
      <w:r w:rsidR="005910C8" w:rsidRPr="002D5AC3">
        <w:t xml:space="preserve"> will require funding for legal services, and contractors to provide technical drafting and legal advice</w:t>
      </w:r>
      <w:r w:rsidR="006A2E6C" w:rsidRPr="002D5AC3">
        <w:t>.</w:t>
      </w:r>
      <w:r w:rsidR="005910C8" w:rsidRPr="002D5AC3">
        <w:t xml:space="preserve"> </w:t>
      </w:r>
      <w:r w:rsidR="00D874F2" w:rsidRPr="002D5AC3">
        <w:t xml:space="preserve">Overlapping this process would be the development of guidance material </w:t>
      </w:r>
      <w:r w:rsidR="005910C8" w:rsidRPr="002D5AC3">
        <w:t xml:space="preserve">and further policy advice to enable industry to apply for licences. </w:t>
      </w:r>
    </w:p>
    <w:p w:rsidR="006D483D" w:rsidRPr="002D5AC3" w:rsidRDefault="006C2172" w:rsidP="002D5AC3">
      <w:pPr>
        <w:pStyle w:val="Bulletlist"/>
        <w:spacing w:line="276" w:lineRule="auto"/>
        <w:ind w:left="714" w:hanging="357"/>
      </w:pPr>
      <w:r w:rsidRPr="0069471E">
        <w:t>Ongoing management over regulatory process, including establishment of the regulator and registrar</w:t>
      </w:r>
      <w:r w:rsidR="006D483D" w:rsidRPr="0069471E">
        <w:t>, and maintaining compliance</w:t>
      </w:r>
      <w:r w:rsidR="00831F9B">
        <w:t xml:space="preserve"> – Funds have been committed </w:t>
      </w:r>
      <w:r w:rsidR="00044A38" w:rsidRPr="002D5AC3">
        <w:t xml:space="preserve">for NOPSEMA and NOPTA to develop their new roles, ensure suitable upskilling and provide separation from their existing cost-recovered functions. </w:t>
      </w:r>
      <w:r w:rsidR="00A33045" w:rsidRPr="002D5AC3">
        <w:t xml:space="preserve">NOPSEMA is proposed </w:t>
      </w:r>
      <w:r w:rsidR="00332D34" w:rsidRPr="002D5AC3">
        <w:t>to provide regulatory input into processes and providing technical experts for engagement activities and input into technical drafting or regulations, rules and policy</w:t>
      </w:r>
      <w:r w:rsidR="00044A38" w:rsidRPr="002D5AC3">
        <w:t xml:space="preserve">. </w:t>
      </w:r>
      <w:r w:rsidR="00A33045" w:rsidRPr="002D5AC3">
        <w:t xml:space="preserve">NOPTA is proposed </w:t>
      </w:r>
      <w:r w:rsidR="00332D34" w:rsidRPr="002D5AC3">
        <w:t xml:space="preserve">to act as registrar </w:t>
      </w:r>
      <w:r w:rsidR="00831F9B">
        <w:t xml:space="preserve">and manage </w:t>
      </w:r>
      <w:r w:rsidR="00332D34" w:rsidRPr="002D5AC3">
        <w:t>data and licence administration</w:t>
      </w:r>
      <w:r w:rsidR="003851F1" w:rsidRPr="002D5AC3">
        <w:t>,</w:t>
      </w:r>
      <w:r w:rsidR="00831F9B">
        <w:t xml:space="preserve"> as well as</w:t>
      </w:r>
      <w:r w:rsidR="00332D34" w:rsidRPr="002D5AC3">
        <w:t xml:space="preserve"> input into technical drafting or regulations, rules and policy. </w:t>
      </w:r>
    </w:p>
    <w:p w:rsidR="00831F9B" w:rsidRDefault="00831F9B">
      <w:pPr>
        <w:spacing w:line="276" w:lineRule="auto"/>
        <w:rPr>
          <w:rFonts w:ascii="Arial" w:hAnsi="Arial" w:cs="Arial"/>
        </w:rPr>
      </w:pPr>
      <w:r w:rsidRPr="00A8624F">
        <w:rPr>
          <w:rFonts w:ascii="Arial" w:hAnsi="Arial" w:cs="Times New Roman"/>
        </w:rPr>
        <w:t>The Australian Government has committed $4.8 million dollars to assist in timely delivery of the regulatory framework and supporting regulations, policy, regulatory functions and initial licence application processes. In the long term there may be minimal impact on the budget if regulated activities are appropriately cost recovered.</w:t>
      </w:r>
    </w:p>
    <w:p w:rsidR="002B0D52" w:rsidRPr="0069471E" w:rsidRDefault="00FF0D31">
      <w:pPr>
        <w:spacing w:line="276" w:lineRule="auto"/>
        <w:rPr>
          <w:rFonts w:ascii="Arial" w:hAnsi="Arial" w:cs="Arial"/>
        </w:rPr>
      </w:pPr>
      <w:r w:rsidRPr="0069471E">
        <w:rPr>
          <w:rFonts w:ascii="Arial" w:hAnsi="Arial" w:cs="Arial"/>
        </w:rPr>
        <w:t xml:space="preserve">Substantial cost savings </w:t>
      </w:r>
      <w:r w:rsidR="009A231C">
        <w:rPr>
          <w:rFonts w:ascii="Arial" w:hAnsi="Arial" w:cs="Arial"/>
        </w:rPr>
        <w:t>would</w:t>
      </w:r>
      <w:r w:rsidR="009A231C" w:rsidRPr="0069471E">
        <w:rPr>
          <w:rFonts w:ascii="Arial" w:hAnsi="Arial" w:cs="Arial"/>
        </w:rPr>
        <w:t xml:space="preserve"> </w:t>
      </w:r>
      <w:r w:rsidRPr="0069471E">
        <w:rPr>
          <w:rFonts w:ascii="Arial" w:hAnsi="Arial" w:cs="Arial"/>
        </w:rPr>
        <w:t xml:space="preserve">be found through the appointment </w:t>
      </w:r>
      <w:r w:rsidR="00A33045" w:rsidRPr="0069471E">
        <w:rPr>
          <w:rFonts w:ascii="Arial" w:hAnsi="Arial" w:cs="Arial"/>
        </w:rPr>
        <w:t>of NOPTA and NOPSEMA in their respective role</w:t>
      </w:r>
      <w:r w:rsidR="00872CDA" w:rsidRPr="0069471E">
        <w:rPr>
          <w:rFonts w:ascii="Arial" w:hAnsi="Arial" w:cs="Arial"/>
        </w:rPr>
        <w:t>s</w:t>
      </w:r>
      <w:r w:rsidR="00A33045" w:rsidRPr="0069471E">
        <w:rPr>
          <w:rFonts w:ascii="Arial" w:hAnsi="Arial" w:cs="Arial"/>
        </w:rPr>
        <w:t xml:space="preserve"> </w:t>
      </w:r>
      <w:r w:rsidR="006A2E6C" w:rsidRPr="0069471E">
        <w:rPr>
          <w:rFonts w:ascii="Arial" w:hAnsi="Arial" w:cs="Arial"/>
        </w:rPr>
        <w:t xml:space="preserve">as they can draw on </w:t>
      </w:r>
      <w:r w:rsidR="00A33045" w:rsidRPr="0069471E">
        <w:rPr>
          <w:rFonts w:ascii="Arial" w:hAnsi="Arial" w:cs="Arial"/>
        </w:rPr>
        <w:t>their extensive existing experience and licen</w:t>
      </w:r>
      <w:r w:rsidR="006A2E6C" w:rsidRPr="0069471E">
        <w:rPr>
          <w:rFonts w:ascii="Arial" w:hAnsi="Arial" w:cs="Arial"/>
        </w:rPr>
        <w:t>s</w:t>
      </w:r>
      <w:r w:rsidR="00A33045" w:rsidRPr="0069471E">
        <w:rPr>
          <w:rFonts w:ascii="Arial" w:hAnsi="Arial" w:cs="Arial"/>
        </w:rPr>
        <w:t>ing management systems</w:t>
      </w:r>
      <w:r w:rsidR="00872CDA" w:rsidRPr="0069471E">
        <w:rPr>
          <w:rFonts w:ascii="Arial" w:hAnsi="Arial" w:cs="Arial"/>
        </w:rPr>
        <w:t>.</w:t>
      </w:r>
      <w:r w:rsidR="00A33045" w:rsidRPr="0069471E">
        <w:rPr>
          <w:rFonts w:ascii="Arial" w:hAnsi="Arial" w:cs="Arial"/>
        </w:rPr>
        <w:t xml:space="preserve"> </w:t>
      </w:r>
      <w:r w:rsidR="002B0D52" w:rsidRPr="0069471E">
        <w:rPr>
          <w:rFonts w:ascii="Arial" w:hAnsi="Arial" w:cs="Arial"/>
        </w:rPr>
        <w:t xml:space="preserve">As part of this work a cost recovery impact statement (CRIS) </w:t>
      </w:r>
      <w:r w:rsidR="009A231C">
        <w:rPr>
          <w:rFonts w:ascii="Arial" w:hAnsi="Arial" w:cs="Arial"/>
        </w:rPr>
        <w:t>would</w:t>
      </w:r>
      <w:r w:rsidR="009A231C" w:rsidRPr="0069471E">
        <w:rPr>
          <w:rFonts w:ascii="Arial" w:hAnsi="Arial" w:cs="Arial"/>
        </w:rPr>
        <w:t xml:space="preserve"> </w:t>
      </w:r>
      <w:r w:rsidR="002B0D52" w:rsidRPr="0069471E">
        <w:rPr>
          <w:rFonts w:ascii="Arial" w:hAnsi="Arial" w:cs="Arial"/>
        </w:rPr>
        <w:t>be developed, with input from NOPTA and NOPSEMA.</w:t>
      </w:r>
    </w:p>
    <w:p w:rsidR="004B3450" w:rsidRDefault="006C2172">
      <w:pPr>
        <w:pStyle w:val="Bulletlist"/>
        <w:numPr>
          <w:ilvl w:val="0"/>
          <w:numId w:val="0"/>
        </w:numPr>
        <w:spacing w:line="276" w:lineRule="auto"/>
      </w:pPr>
      <w:r>
        <w:t xml:space="preserve">States and </w:t>
      </w:r>
      <w:r w:rsidR="003851F1">
        <w:t>t</w:t>
      </w:r>
      <w:r>
        <w:t xml:space="preserve">erritory </w:t>
      </w:r>
      <w:r w:rsidR="00946407">
        <w:t>government</w:t>
      </w:r>
      <w:r w:rsidR="0054059D">
        <w:t>s</w:t>
      </w:r>
      <w:r w:rsidR="00946407">
        <w:t xml:space="preserve"> may also need to</w:t>
      </w:r>
      <w:r w:rsidR="00005247" w:rsidRPr="006C2172">
        <w:t xml:space="preserve"> introduce </w:t>
      </w:r>
      <w:r w:rsidR="0054059D">
        <w:t xml:space="preserve">complementary </w:t>
      </w:r>
      <w:r w:rsidR="00005247" w:rsidRPr="006C2172">
        <w:t>legislation to allow infrastructure to be installed across state waters (such as transmission infrastructure).</w:t>
      </w:r>
      <w:r w:rsidR="00005247">
        <w:t xml:space="preserve"> </w:t>
      </w:r>
    </w:p>
    <w:p w:rsidR="00A62A2E" w:rsidRPr="006C2172" w:rsidRDefault="00A62A2E">
      <w:pPr>
        <w:pStyle w:val="Bulletlist"/>
        <w:numPr>
          <w:ilvl w:val="0"/>
          <w:numId w:val="0"/>
        </w:numPr>
        <w:spacing w:line="276" w:lineRule="auto"/>
      </w:pPr>
      <w:r>
        <w:t xml:space="preserve">Benefits for government </w:t>
      </w:r>
      <w:r w:rsidR="009A231C">
        <w:t xml:space="preserve">would </w:t>
      </w:r>
      <w:r>
        <w:t>include facilitating further economic value from the maritime environment</w:t>
      </w:r>
      <w:r w:rsidR="007C3E23">
        <w:t xml:space="preserve"> and a regime to coordinate and manage coexistence of the maritime sector</w:t>
      </w:r>
      <w:r w:rsidR="00DB6479">
        <w:t xml:space="preserve"> to ensure minimise operational risks</w:t>
      </w:r>
      <w:r w:rsidR="007C3E23">
        <w:t xml:space="preserve">. </w:t>
      </w:r>
    </w:p>
    <w:p w:rsidR="00A62A2E" w:rsidRDefault="00596FC5" w:rsidP="0057257B">
      <w:pPr>
        <w:pStyle w:val="Heading3"/>
        <w:spacing w:line="276" w:lineRule="auto"/>
        <w:rPr>
          <w:rFonts w:ascii="Arial" w:hAnsi="Arial" w:cs="Arial"/>
        </w:rPr>
      </w:pPr>
      <w:r w:rsidRPr="00275017">
        <w:rPr>
          <w:rFonts w:ascii="Arial" w:hAnsi="Arial" w:cs="Arial"/>
        </w:rPr>
        <w:t>Developers</w:t>
      </w:r>
      <w:r w:rsidR="003A2948">
        <w:rPr>
          <w:rFonts w:ascii="Arial" w:hAnsi="Arial" w:cs="Arial"/>
        </w:rPr>
        <w:t xml:space="preserve"> </w:t>
      </w:r>
    </w:p>
    <w:p w:rsidR="009960D5" w:rsidRDefault="000B5E49" w:rsidP="0057257B">
      <w:pPr>
        <w:spacing w:line="276" w:lineRule="auto"/>
        <w:rPr>
          <w:rFonts w:ascii="Arial" w:hAnsi="Arial" w:cs="Arial"/>
        </w:rPr>
      </w:pPr>
      <w:r>
        <w:rPr>
          <w:rFonts w:ascii="Arial" w:hAnsi="Arial" w:cs="Arial"/>
        </w:rPr>
        <w:t>D</w:t>
      </w:r>
      <w:r w:rsidR="00BF338A">
        <w:rPr>
          <w:rFonts w:ascii="Arial" w:hAnsi="Arial" w:cs="Arial"/>
        </w:rPr>
        <w:t>eveloper</w:t>
      </w:r>
      <w:r w:rsidR="0065474B">
        <w:rPr>
          <w:rFonts w:ascii="Arial" w:hAnsi="Arial" w:cs="Arial"/>
        </w:rPr>
        <w:t xml:space="preserve"> cost</w:t>
      </w:r>
      <w:r w:rsidR="00BF338A">
        <w:rPr>
          <w:rFonts w:ascii="Arial" w:hAnsi="Arial" w:cs="Arial"/>
        </w:rPr>
        <w:t xml:space="preserve">s </w:t>
      </w:r>
      <w:r w:rsidR="009A231C">
        <w:rPr>
          <w:rFonts w:ascii="Arial" w:hAnsi="Arial" w:cs="Arial"/>
        </w:rPr>
        <w:t xml:space="preserve">would </w:t>
      </w:r>
      <w:r w:rsidR="00BF338A">
        <w:rPr>
          <w:rFonts w:ascii="Arial" w:hAnsi="Arial" w:cs="Arial"/>
        </w:rPr>
        <w:t>largely be through:</w:t>
      </w:r>
      <w:r w:rsidR="0065474B">
        <w:rPr>
          <w:rFonts w:ascii="Arial" w:hAnsi="Arial" w:cs="Arial"/>
        </w:rPr>
        <w:t xml:space="preserve"> </w:t>
      </w:r>
    </w:p>
    <w:p w:rsidR="00BF0C77" w:rsidRDefault="00AC5DD3" w:rsidP="002D5AC3">
      <w:pPr>
        <w:pStyle w:val="Bulletlist"/>
        <w:spacing w:line="276" w:lineRule="auto"/>
        <w:ind w:left="714" w:hanging="357"/>
      </w:pPr>
      <w:r>
        <w:t>Administrative costs</w:t>
      </w:r>
      <w:r w:rsidR="00BF0C77">
        <w:t>:</w:t>
      </w:r>
    </w:p>
    <w:p w:rsidR="007339D9" w:rsidRPr="009960D5" w:rsidRDefault="00BF0C77" w:rsidP="002D5AC3">
      <w:pPr>
        <w:pStyle w:val="Bulletlist"/>
        <w:numPr>
          <w:ilvl w:val="0"/>
          <w:numId w:val="32"/>
        </w:numPr>
      </w:pPr>
      <w:r>
        <w:t xml:space="preserve">The costs of </w:t>
      </w:r>
      <w:r w:rsidR="00737A7B">
        <w:t>making an application for a licences</w:t>
      </w:r>
      <w:r w:rsidR="00831F9B">
        <w:t>,</w:t>
      </w:r>
    </w:p>
    <w:p w:rsidR="000B5E49" w:rsidRDefault="004357B1" w:rsidP="002D5AC3">
      <w:pPr>
        <w:pStyle w:val="Bulletlist"/>
        <w:numPr>
          <w:ilvl w:val="0"/>
          <w:numId w:val="32"/>
        </w:numPr>
      </w:pPr>
      <w:r>
        <w:t>Processing times to meet</w:t>
      </w:r>
      <w:r w:rsidR="000B5E49">
        <w:t xml:space="preserve"> associated with </w:t>
      </w:r>
      <w:r w:rsidR="00DD23D2">
        <w:t>taxes, fees, charges and levies</w:t>
      </w:r>
      <w:r w:rsidR="00831F9B">
        <w:t>,</w:t>
      </w:r>
    </w:p>
    <w:p w:rsidR="004357B1" w:rsidRDefault="004357B1" w:rsidP="002D5AC3">
      <w:pPr>
        <w:pStyle w:val="Bulletlist"/>
        <w:numPr>
          <w:ilvl w:val="0"/>
          <w:numId w:val="32"/>
        </w:numPr>
      </w:pPr>
      <w:r>
        <w:t xml:space="preserve">Notifying government </w:t>
      </w:r>
      <w:r w:rsidR="000C4432">
        <w:t xml:space="preserve">that activities have started. </w:t>
      </w:r>
    </w:p>
    <w:p w:rsidR="00444459" w:rsidRDefault="00444459" w:rsidP="002D5AC3">
      <w:pPr>
        <w:pStyle w:val="Bulletlist"/>
        <w:spacing w:line="276" w:lineRule="auto"/>
        <w:ind w:left="714" w:hanging="357"/>
      </w:pPr>
      <w:r>
        <w:t xml:space="preserve">Substantive costs </w:t>
      </w:r>
      <w:r w:rsidR="009A231C">
        <w:t xml:space="preserve">would </w:t>
      </w:r>
      <w:r>
        <w:t xml:space="preserve">consist of: </w:t>
      </w:r>
    </w:p>
    <w:p w:rsidR="00444459" w:rsidRDefault="00A86D3C" w:rsidP="002D5AC3">
      <w:pPr>
        <w:pStyle w:val="Bulletlist"/>
        <w:numPr>
          <w:ilvl w:val="0"/>
          <w:numId w:val="33"/>
        </w:numPr>
        <w:spacing w:line="276" w:lineRule="auto"/>
      </w:pPr>
      <w:r>
        <w:t xml:space="preserve">Provision of </w:t>
      </w:r>
      <w:r w:rsidR="00444459">
        <w:t>training to employees to meet regulatory requirements</w:t>
      </w:r>
      <w:r w:rsidR="000B26C9">
        <w:t xml:space="preserve"> of the new regulatory regime</w:t>
      </w:r>
      <w:r w:rsidR="00831F9B">
        <w:t>,</w:t>
      </w:r>
    </w:p>
    <w:p w:rsidR="00444459" w:rsidRDefault="00A86D3C" w:rsidP="002D5AC3">
      <w:pPr>
        <w:pStyle w:val="Bulletlist"/>
        <w:numPr>
          <w:ilvl w:val="0"/>
          <w:numId w:val="33"/>
        </w:numPr>
        <w:spacing w:line="276" w:lineRule="auto"/>
      </w:pPr>
      <w:r>
        <w:t>P</w:t>
      </w:r>
      <w:r w:rsidR="00444459">
        <w:t xml:space="preserve">roviding information for third parties, </w:t>
      </w:r>
      <w:r w:rsidR="009960D5">
        <w:t xml:space="preserve">affected by </w:t>
      </w:r>
      <w:r w:rsidR="00D3481F">
        <w:t>proposals as part of due diligence and consultation measures required by the proposed legislative framework</w:t>
      </w:r>
      <w:r w:rsidR="00831F9B">
        <w:t>,</w:t>
      </w:r>
    </w:p>
    <w:p w:rsidR="00444459" w:rsidRDefault="00D3481F" w:rsidP="002D5AC3">
      <w:pPr>
        <w:pStyle w:val="Bulletlist"/>
        <w:numPr>
          <w:ilvl w:val="0"/>
          <w:numId w:val="33"/>
        </w:numPr>
        <w:spacing w:line="276" w:lineRule="auto"/>
      </w:pPr>
      <w:r>
        <w:t>C</w:t>
      </w:r>
      <w:r w:rsidR="00444459">
        <w:t xml:space="preserve">osts of professional services needed to meet regulatory requirements </w:t>
      </w:r>
      <w:r>
        <w:t>such as legal costs for interpreting the regulatory framework and</w:t>
      </w:r>
      <w:r w:rsidR="00444459">
        <w:t xml:space="preserve"> tax </w:t>
      </w:r>
      <w:r>
        <w:t xml:space="preserve">implications. </w:t>
      </w:r>
    </w:p>
    <w:p w:rsidR="00F23264" w:rsidRDefault="00F23264" w:rsidP="0057257B">
      <w:pPr>
        <w:pStyle w:val="Bulletlist"/>
        <w:numPr>
          <w:ilvl w:val="0"/>
          <w:numId w:val="0"/>
        </w:numPr>
        <w:spacing w:line="276" w:lineRule="auto"/>
      </w:pPr>
      <w:r>
        <w:t xml:space="preserve">Developers </w:t>
      </w:r>
      <w:r w:rsidR="009A231C">
        <w:t xml:space="preserve">would </w:t>
      </w:r>
      <w:r>
        <w:t xml:space="preserve">potentially receive the greatest benefit from the development of the regulatory framework through </w:t>
      </w:r>
      <w:r w:rsidR="00C224AB">
        <w:t xml:space="preserve">the </w:t>
      </w:r>
      <w:r>
        <w:t>new business opportunities provided</w:t>
      </w:r>
      <w:r w:rsidR="00292ABA">
        <w:t xml:space="preserve"> and the potential for new investment opportunities, noting these benefits have broader flow-on impacts through the economy</w:t>
      </w:r>
      <w:r>
        <w:t xml:space="preserve">. </w:t>
      </w:r>
    </w:p>
    <w:p w:rsidR="00596FC5" w:rsidRDefault="00596FC5" w:rsidP="0057257B">
      <w:pPr>
        <w:pStyle w:val="Heading3"/>
        <w:spacing w:line="276" w:lineRule="auto"/>
        <w:rPr>
          <w:rFonts w:ascii="Arial" w:hAnsi="Arial" w:cs="Arial"/>
        </w:rPr>
      </w:pPr>
      <w:r w:rsidRPr="00275017">
        <w:rPr>
          <w:rFonts w:ascii="Arial" w:hAnsi="Arial" w:cs="Arial"/>
        </w:rPr>
        <w:t>Affected Industries</w:t>
      </w:r>
      <w:r w:rsidR="003A2948">
        <w:rPr>
          <w:rFonts w:ascii="Arial" w:hAnsi="Arial" w:cs="Arial"/>
        </w:rPr>
        <w:t xml:space="preserve"> </w:t>
      </w:r>
    </w:p>
    <w:p w:rsidR="00EF246D" w:rsidRDefault="00D839FD" w:rsidP="0057257B">
      <w:pPr>
        <w:spacing w:line="276" w:lineRule="auto"/>
        <w:rPr>
          <w:rFonts w:ascii="Arial" w:hAnsi="Arial" w:cs="Arial"/>
        </w:rPr>
      </w:pPr>
      <w:r>
        <w:rPr>
          <w:rFonts w:ascii="Arial" w:hAnsi="Arial" w:cs="Arial"/>
        </w:rPr>
        <w:t>T</w:t>
      </w:r>
      <w:r w:rsidRPr="00D839FD">
        <w:rPr>
          <w:rFonts w:ascii="Arial" w:hAnsi="Arial" w:cs="Arial"/>
        </w:rPr>
        <w:t xml:space="preserve">he framework </w:t>
      </w:r>
      <w:r w:rsidR="009A231C">
        <w:rPr>
          <w:rFonts w:ascii="Arial" w:hAnsi="Arial" w:cs="Arial"/>
        </w:rPr>
        <w:t>would</w:t>
      </w:r>
      <w:r w:rsidR="009A231C" w:rsidRPr="00D839FD">
        <w:rPr>
          <w:rFonts w:ascii="Arial" w:hAnsi="Arial" w:cs="Arial"/>
        </w:rPr>
        <w:t xml:space="preserve"> </w:t>
      </w:r>
      <w:r w:rsidRPr="00D839FD">
        <w:rPr>
          <w:rFonts w:ascii="Arial" w:hAnsi="Arial" w:cs="Arial"/>
        </w:rPr>
        <w:t xml:space="preserve">recognise the multi-use nature of Commonwealth marine areas, and seek to balance competing interests while pursuing the most efficient use of these areas and marine resources. Similar to the existing expectations for oil and gas activities, regulated offshore </w:t>
      </w:r>
      <w:r w:rsidR="00E11CD2">
        <w:rPr>
          <w:rFonts w:ascii="Arial" w:hAnsi="Arial" w:cs="Arial"/>
        </w:rPr>
        <w:t>electricity project</w:t>
      </w:r>
      <w:r w:rsidRPr="00D839FD">
        <w:rPr>
          <w:rFonts w:ascii="Arial" w:hAnsi="Arial" w:cs="Arial"/>
        </w:rPr>
        <w:t xml:space="preserve"> </w:t>
      </w:r>
      <w:r w:rsidR="009C15DA">
        <w:rPr>
          <w:rFonts w:ascii="Arial" w:hAnsi="Arial" w:cs="Arial"/>
        </w:rPr>
        <w:t>developers</w:t>
      </w:r>
      <w:r w:rsidRPr="00D839FD">
        <w:rPr>
          <w:rFonts w:ascii="Arial" w:hAnsi="Arial" w:cs="Arial"/>
        </w:rPr>
        <w:t xml:space="preserve"> </w:t>
      </w:r>
      <w:r w:rsidR="009A231C">
        <w:rPr>
          <w:rFonts w:ascii="Arial" w:hAnsi="Arial" w:cs="Arial"/>
        </w:rPr>
        <w:t>would</w:t>
      </w:r>
      <w:r w:rsidR="009A231C" w:rsidRPr="00D839FD">
        <w:rPr>
          <w:rFonts w:ascii="Arial" w:hAnsi="Arial" w:cs="Arial"/>
        </w:rPr>
        <w:t xml:space="preserve"> </w:t>
      </w:r>
      <w:r w:rsidRPr="00D839FD">
        <w:rPr>
          <w:rFonts w:ascii="Arial" w:hAnsi="Arial" w:cs="Arial"/>
        </w:rPr>
        <w:t xml:space="preserve">be required not to interfere with the rights of other users of the marine area to an extent that is greater than necessary. </w:t>
      </w:r>
    </w:p>
    <w:p w:rsidR="00D839FD" w:rsidRDefault="00D839FD" w:rsidP="0057257B">
      <w:pPr>
        <w:spacing w:line="276" w:lineRule="auto"/>
        <w:rPr>
          <w:rFonts w:ascii="Arial" w:hAnsi="Arial" w:cs="Arial"/>
        </w:rPr>
      </w:pPr>
      <w:r w:rsidRPr="00D839FD">
        <w:rPr>
          <w:rFonts w:ascii="Arial" w:hAnsi="Arial" w:cs="Arial"/>
        </w:rPr>
        <w:t xml:space="preserve">Consideration of, and consultation with, other marine users </w:t>
      </w:r>
      <w:r w:rsidR="009A231C">
        <w:rPr>
          <w:rFonts w:ascii="Arial" w:hAnsi="Arial" w:cs="Arial"/>
        </w:rPr>
        <w:t>would</w:t>
      </w:r>
      <w:r w:rsidR="009A231C" w:rsidRPr="00D839FD">
        <w:rPr>
          <w:rFonts w:ascii="Arial" w:hAnsi="Arial" w:cs="Arial"/>
        </w:rPr>
        <w:t xml:space="preserve"> </w:t>
      </w:r>
      <w:r w:rsidRPr="00D839FD">
        <w:rPr>
          <w:rFonts w:ascii="Arial" w:hAnsi="Arial" w:cs="Arial"/>
        </w:rPr>
        <w:t xml:space="preserve">also be built in to relevant decision points. </w:t>
      </w:r>
      <w:r w:rsidR="00291B7A">
        <w:rPr>
          <w:rFonts w:ascii="Arial" w:hAnsi="Arial" w:cs="Arial"/>
        </w:rPr>
        <w:t xml:space="preserve">For example, </w:t>
      </w:r>
      <w:r w:rsidR="00EF246D">
        <w:rPr>
          <w:rFonts w:ascii="Arial" w:hAnsi="Arial" w:cs="Arial"/>
        </w:rPr>
        <w:t xml:space="preserve">consultation </w:t>
      </w:r>
      <w:r w:rsidR="009A231C">
        <w:rPr>
          <w:rFonts w:ascii="Arial" w:hAnsi="Arial" w:cs="Arial"/>
        </w:rPr>
        <w:t xml:space="preserve">would </w:t>
      </w:r>
      <w:r w:rsidR="00EF246D">
        <w:rPr>
          <w:rFonts w:ascii="Arial" w:hAnsi="Arial" w:cs="Arial"/>
        </w:rPr>
        <w:t xml:space="preserve">be undertaken ahead of a site </w:t>
      </w:r>
      <w:r w:rsidR="00291B7A">
        <w:rPr>
          <w:rFonts w:ascii="Arial" w:hAnsi="Arial" w:cs="Arial"/>
        </w:rPr>
        <w:t>declaration</w:t>
      </w:r>
      <w:r w:rsidR="00EF246D">
        <w:rPr>
          <w:rFonts w:ascii="Arial" w:hAnsi="Arial" w:cs="Arial"/>
        </w:rPr>
        <w:t xml:space="preserve"> being announced by a Minister</w:t>
      </w:r>
      <w:r w:rsidR="00291B7A">
        <w:rPr>
          <w:rFonts w:ascii="Arial" w:hAnsi="Arial" w:cs="Arial"/>
        </w:rPr>
        <w:t xml:space="preserve">, </w:t>
      </w:r>
      <w:r w:rsidR="00EF246D">
        <w:rPr>
          <w:rFonts w:ascii="Arial" w:hAnsi="Arial" w:cs="Arial"/>
        </w:rPr>
        <w:t xml:space="preserve">during the </w:t>
      </w:r>
      <w:r w:rsidR="00291B7A">
        <w:rPr>
          <w:rFonts w:ascii="Arial" w:hAnsi="Arial" w:cs="Arial"/>
        </w:rPr>
        <w:t xml:space="preserve">assessment </w:t>
      </w:r>
      <w:r w:rsidR="00EF246D">
        <w:rPr>
          <w:rFonts w:ascii="Arial" w:hAnsi="Arial" w:cs="Arial"/>
        </w:rPr>
        <w:t xml:space="preserve">of </w:t>
      </w:r>
      <w:r w:rsidR="00291B7A">
        <w:rPr>
          <w:rFonts w:ascii="Arial" w:hAnsi="Arial" w:cs="Arial"/>
        </w:rPr>
        <w:t>feasibility licence</w:t>
      </w:r>
      <w:r w:rsidR="00EF246D">
        <w:rPr>
          <w:rFonts w:ascii="Arial" w:hAnsi="Arial" w:cs="Arial"/>
        </w:rPr>
        <w:t xml:space="preserve"> applications,</w:t>
      </w:r>
      <w:r w:rsidR="00291B7A">
        <w:rPr>
          <w:rFonts w:ascii="Arial" w:hAnsi="Arial" w:cs="Arial"/>
        </w:rPr>
        <w:t xml:space="preserve"> and </w:t>
      </w:r>
      <w:r w:rsidR="00EF246D">
        <w:rPr>
          <w:rFonts w:ascii="Arial" w:hAnsi="Arial" w:cs="Arial"/>
        </w:rPr>
        <w:t xml:space="preserve">on an ongoing basis </w:t>
      </w:r>
      <w:r w:rsidR="00BE1DCA">
        <w:rPr>
          <w:rFonts w:ascii="Arial" w:hAnsi="Arial" w:cs="Arial"/>
        </w:rPr>
        <w:t>as described in a management plan</w:t>
      </w:r>
      <w:r w:rsidR="00291B7A">
        <w:rPr>
          <w:rFonts w:ascii="Arial" w:hAnsi="Arial" w:cs="Arial"/>
        </w:rPr>
        <w:t xml:space="preserve">. </w:t>
      </w:r>
      <w:r w:rsidR="0054059D">
        <w:rPr>
          <w:rFonts w:ascii="Arial" w:hAnsi="Arial" w:cs="Arial"/>
        </w:rPr>
        <w:t>D</w:t>
      </w:r>
      <w:r w:rsidR="009C15DA">
        <w:rPr>
          <w:rFonts w:ascii="Arial" w:hAnsi="Arial" w:cs="Arial"/>
        </w:rPr>
        <w:t xml:space="preserve">evelopers </w:t>
      </w:r>
      <w:r w:rsidRPr="00D839FD">
        <w:rPr>
          <w:rFonts w:ascii="Arial" w:hAnsi="Arial" w:cs="Arial"/>
        </w:rPr>
        <w:t xml:space="preserve">working with other users of Commonwealth marine areas </w:t>
      </w:r>
      <w:r w:rsidR="00DD3B12">
        <w:rPr>
          <w:rFonts w:ascii="Arial" w:hAnsi="Arial" w:cs="Arial"/>
        </w:rPr>
        <w:t xml:space="preserve">would </w:t>
      </w:r>
      <w:r w:rsidR="0054059D">
        <w:rPr>
          <w:rFonts w:ascii="Arial" w:hAnsi="Arial" w:cs="Arial"/>
        </w:rPr>
        <w:t xml:space="preserve">be required </w:t>
      </w:r>
      <w:r w:rsidRPr="00D839FD">
        <w:rPr>
          <w:rFonts w:ascii="Arial" w:hAnsi="Arial" w:cs="Arial"/>
        </w:rPr>
        <w:t>to limit impacts to as low as practicable.</w:t>
      </w:r>
    </w:p>
    <w:p w:rsidR="00F23264" w:rsidRDefault="00310619" w:rsidP="0057257B">
      <w:pPr>
        <w:spacing w:line="276" w:lineRule="auto"/>
        <w:rPr>
          <w:rFonts w:ascii="Arial" w:hAnsi="Arial" w:cs="Arial"/>
        </w:rPr>
      </w:pPr>
      <w:r>
        <w:rPr>
          <w:rFonts w:ascii="Arial" w:hAnsi="Arial" w:cs="Arial"/>
        </w:rPr>
        <w:t>Noting t</w:t>
      </w:r>
      <w:r w:rsidR="00005821" w:rsidRPr="00AA7590">
        <w:rPr>
          <w:rFonts w:ascii="Arial" w:hAnsi="Arial" w:cs="Arial"/>
        </w:rPr>
        <w:t>his approach aim</w:t>
      </w:r>
      <w:r>
        <w:rPr>
          <w:rFonts w:ascii="Arial" w:hAnsi="Arial" w:cs="Arial"/>
        </w:rPr>
        <w:t>s</w:t>
      </w:r>
      <w:r w:rsidR="00005821" w:rsidRPr="00AA7590">
        <w:rPr>
          <w:rFonts w:ascii="Arial" w:hAnsi="Arial" w:cs="Arial"/>
        </w:rPr>
        <w:t xml:space="preserve"> to limit potential costs for offshore </w:t>
      </w:r>
      <w:r w:rsidR="00E11CD2">
        <w:rPr>
          <w:rFonts w:ascii="Arial" w:hAnsi="Arial" w:cs="Arial"/>
        </w:rPr>
        <w:t>electricity project</w:t>
      </w:r>
      <w:r w:rsidR="00005821" w:rsidRPr="00AA7590">
        <w:rPr>
          <w:rFonts w:ascii="Arial" w:hAnsi="Arial" w:cs="Arial"/>
        </w:rPr>
        <w:t xml:space="preserve"> developers, sta</w:t>
      </w:r>
      <w:r>
        <w:rPr>
          <w:rFonts w:ascii="Arial" w:hAnsi="Arial" w:cs="Arial"/>
        </w:rPr>
        <w:t xml:space="preserve">keholders and government alike, </w:t>
      </w:r>
      <w:r w:rsidR="009C15DA">
        <w:rPr>
          <w:rFonts w:ascii="Arial" w:hAnsi="Arial" w:cs="Arial"/>
        </w:rPr>
        <w:t>it does generate</w:t>
      </w:r>
      <w:r>
        <w:rPr>
          <w:rFonts w:ascii="Arial" w:hAnsi="Arial" w:cs="Arial"/>
        </w:rPr>
        <w:t xml:space="preserve"> </w:t>
      </w:r>
      <w:r w:rsidR="009C15DA">
        <w:rPr>
          <w:rFonts w:ascii="Arial" w:hAnsi="Arial" w:cs="Arial"/>
        </w:rPr>
        <w:t>‘</w:t>
      </w:r>
      <w:r>
        <w:rPr>
          <w:rFonts w:ascii="Arial" w:hAnsi="Arial" w:cs="Arial"/>
        </w:rPr>
        <w:t>substantive</w:t>
      </w:r>
      <w:r w:rsidR="009C15DA">
        <w:rPr>
          <w:rFonts w:ascii="Arial" w:hAnsi="Arial" w:cs="Arial"/>
        </w:rPr>
        <w:t>’</w:t>
      </w:r>
      <w:r>
        <w:rPr>
          <w:rFonts w:ascii="Arial" w:hAnsi="Arial" w:cs="Arial"/>
        </w:rPr>
        <w:t xml:space="preserve"> costs for existing marine operators including fisheries, shipping operators and petroleum developers:</w:t>
      </w:r>
    </w:p>
    <w:p w:rsidR="00E80654" w:rsidRDefault="00E80654" w:rsidP="002D5AC3">
      <w:pPr>
        <w:pStyle w:val="Bulletlist"/>
        <w:spacing w:line="276" w:lineRule="auto"/>
        <w:ind w:left="714" w:hanging="357"/>
      </w:pPr>
      <w:r>
        <w:t>legal fees in interpreting reg</w:t>
      </w:r>
      <w:r w:rsidR="00310619">
        <w:t>ulatory e</w:t>
      </w:r>
      <w:r w:rsidR="004229FE">
        <w:t>nvironment such as safety zones and</w:t>
      </w:r>
      <w:r w:rsidR="00310619">
        <w:t xml:space="preserve"> penalties</w:t>
      </w:r>
      <w:r w:rsidR="00831F9B">
        <w:t>,</w:t>
      </w:r>
      <w:r w:rsidR="00310619">
        <w:t xml:space="preserve">  </w:t>
      </w:r>
    </w:p>
    <w:p w:rsidR="00E80654" w:rsidRDefault="00E80654" w:rsidP="002D5AC3">
      <w:pPr>
        <w:pStyle w:val="Bulletlist"/>
        <w:spacing w:line="276" w:lineRule="auto"/>
        <w:ind w:left="714" w:hanging="357"/>
      </w:pPr>
      <w:r>
        <w:t xml:space="preserve">education for persons operating with new infrastructure </w:t>
      </w:r>
      <w:r w:rsidR="00310619">
        <w:t>such as offshore wind turbines</w:t>
      </w:r>
      <w:r w:rsidR="00756875">
        <w:t xml:space="preserve"> and new navigation protocols</w:t>
      </w:r>
      <w:r w:rsidR="00831F9B">
        <w:t>,</w:t>
      </w:r>
    </w:p>
    <w:p w:rsidR="00E80654" w:rsidRDefault="00E80654" w:rsidP="002D5AC3">
      <w:pPr>
        <w:pStyle w:val="Bulletlist"/>
        <w:spacing w:line="276" w:lineRule="auto"/>
        <w:ind w:left="714" w:hanging="357"/>
      </w:pPr>
      <w:r>
        <w:t>development of technical advice to engage with the new sector</w:t>
      </w:r>
      <w:r w:rsidR="00831F9B">
        <w:t>,</w:t>
      </w:r>
    </w:p>
    <w:p w:rsidR="00E80654" w:rsidRDefault="00E80654" w:rsidP="002D5AC3">
      <w:pPr>
        <w:pStyle w:val="Bulletlist"/>
        <w:spacing w:line="276" w:lineRule="auto"/>
        <w:ind w:left="714" w:hanging="357"/>
      </w:pPr>
      <w:r>
        <w:t>consultation costs for engaging with government and the community</w:t>
      </w:r>
      <w:r w:rsidR="00310619">
        <w:t xml:space="preserve"> as part of </w:t>
      </w:r>
      <w:r w:rsidR="00DE64B7">
        <w:t>establishing</w:t>
      </w:r>
      <w:r w:rsidR="00310619">
        <w:t xml:space="preserve"> </w:t>
      </w:r>
      <w:r w:rsidR="00317B2C">
        <w:t>the proposed regulatory framework or as part of licenc</w:t>
      </w:r>
      <w:r w:rsidR="0054059D">
        <w:t>e</w:t>
      </w:r>
      <w:r w:rsidR="00317B2C">
        <w:t xml:space="preserve"> conditions on developers</w:t>
      </w:r>
      <w:r w:rsidR="00831F9B">
        <w:t>,</w:t>
      </w:r>
    </w:p>
    <w:p w:rsidR="00756875" w:rsidRDefault="00317B2C" w:rsidP="002D5AC3">
      <w:pPr>
        <w:pStyle w:val="Bulletlist"/>
        <w:spacing w:line="276" w:lineRule="auto"/>
        <w:ind w:left="714" w:hanging="357"/>
      </w:pPr>
      <w:r>
        <w:t>c</w:t>
      </w:r>
      <w:r w:rsidR="00FF0D31">
        <w:t xml:space="preserve">osts for limitations </w:t>
      </w:r>
      <w:r>
        <w:t xml:space="preserve">on access </w:t>
      </w:r>
      <w:r w:rsidR="00FF0D31">
        <w:t>to maritime areas</w:t>
      </w:r>
      <w:r>
        <w:t xml:space="preserve"> resulting from exploration activities, construction, operation or decommissioning of offshore </w:t>
      </w:r>
      <w:r w:rsidR="00E11CD2">
        <w:t xml:space="preserve">electricity </w:t>
      </w:r>
      <w:r w:rsidR="001B1906">
        <w:t>infrastructure</w:t>
      </w:r>
      <w:r>
        <w:t xml:space="preserve">. While it is expected that these costs </w:t>
      </w:r>
      <w:r w:rsidR="00480AA9">
        <w:t xml:space="preserve">would </w:t>
      </w:r>
      <w:r w:rsidR="00756875">
        <w:t xml:space="preserve">minimised through careful negotiation, some level of impact </w:t>
      </w:r>
      <w:r w:rsidR="00480AA9">
        <w:t xml:space="preserve">would </w:t>
      </w:r>
      <w:r w:rsidR="00756875">
        <w:t xml:space="preserve">be inevitable. Such costs could include: </w:t>
      </w:r>
    </w:p>
    <w:p w:rsidR="00FF0D31" w:rsidRDefault="00756875" w:rsidP="002D5AC3">
      <w:pPr>
        <w:pStyle w:val="Bulletlist"/>
        <w:numPr>
          <w:ilvl w:val="2"/>
          <w:numId w:val="13"/>
        </w:numPr>
        <w:spacing w:line="276" w:lineRule="auto"/>
      </w:pPr>
      <w:r>
        <w:t xml:space="preserve">additional transport costs for shipping operators to navigate around a wind farm installation, noting effective wind farm design </w:t>
      </w:r>
      <w:r w:rsidR="00480AA9">
        <w:t xml:space="preserve">would </w:t>
      </w:r>
      <w:r>
        <w:t>minimise disruption to shipping activities</w:t>
      </w:r>
      <w:r w:rsidR="00831F9B">
        <w:t>,</w:t>
      </w:r>
      <w:r w:rsidR="00754E21">
        <w:t xml:space="preserve"> or</w:t>
      </w:r>
    </w:p>
    <w:p w:rsidR="00756875" w:rsidRDefault="00756875" w:rsidP="002D5AC3">
      <w:pPr>
        <w:pStyle w:val="Bulletlist"/>
        <w:numPr>
          <w:ilvl w:val="2"/>
          <w:numId w:val="13"/>
        </w:numPr>
        <w:spacing w:line="276" w:lineRule="auto"/>
      </w:pPr>
      <w:r>
        <w:t xml:space="preserve">loss of </w:t>
      </w:r>
      <w:r w:rsidR="00DE64B7">
        <w:t xml:space="preserve">fishing </w:t>
      </w:r>
      <w:r>
        <w:t xml:space="preserve">opportunities for fishing operators </w:t>
      </w:r>
      <w:r w:rsidR="00754E21">
        <w:t>at stages of construction, such as where a safety zone is required</w:t>
      </w:r>
      <w:r w:rsidR="002540D2">
        <w:t xml:space="preserve"> and following installation of the offshore wind farm, changes to the types of fishing that can be undertaken or loss of fishing ground.</w:t>
      </w:r>
    </w:p>
    <w:p w:rsidR="00310619" w:rsidRPr="009C15DA" w:rsidRDefault="00310619" w:rsidP="0057257B">
      <w:pPr>
        <w:spacing w:line="276" w:lineRule="auto"/>
        <w:rPr>
          <w:rFonts w:ascii="Arial" w:eastAsia="Cambria" w:hAnsi="Arial" w:cs="Times New Roman"/>
          <w:szCs w:val="24"/>
        </w:rPr>
      </w:pPr>
      <w:r>
        <w:rPr>
          <w:rFonts w:ascii="Arial" w:eastAsia="Cambria" w:hAnsi="Arial" w:cs="Times New Roman"/>
          <w:szCs w:val="24"/>
        </w:rPr>
        <w:t xml:space="preserve">Administrative </w:t>
      </w:r>
      <w:r w:rsidR="009C15DA">
        <w:rPr>
          <w:rFonts w:ascii="Arial" w:eastAsia="Cambria" w:hAnsi="Arial" w:cs="Times New Roman"/>
          <w:szCs w:val="24"/>
        </w:rPr>
        <w:t>impacts incurred by affected parties are expected to be limited and may include r</w:t>
      </w:r>
      <w:r w:rsidR="009C15DA" w:rsidRPr="009C15DA">
        <w:rPr>
          <w:rFonts w:ascii="Arial" w:eastAsia="Cambria" w:hAnsi="Arial" w:cs="Times New Roman"/>
          <w:szCs w:val="24"/>
        </w:rPr>
        <w:t>eporting requirements sought by government on potential impacts</w:t>
      </w:r>
      <w:r w:rsidR="009C15DA">
        <w:rPr>
          <w:rFonts w:ascii="Arial" w:eastAsia="Cambria" w:hAnsi="Arial" w:cs="Times New Roman"/>
          <w:szCs w:val="24"/>
        </w:rPr>
        <w:t xml:space="preserve"> such as maritime incidents</w:t>
      </w:r>
      <w:r w:rsidR="009C15DA" w:rsidRPr="009C15DA">
        <w:rPr>
          <w:rFonts w:ascii="Arial" w:eastAsia="Cambria" w:hAnsi="Arial" w:cs="Times New Roman"/>
          <w:szCs w:val="24"/>
        </w:rPr>
        <w:t xml:space="preserve">.  </w:t>
      </w:r>
    </w:p>
    <w:p w:rsidR="008619D1" w:rsidRPr="00275017" w:rsidRDefault="008619D1" w:rsidP="0057257B">
      <w:pPr>
        <w:pStyle w:val="Heading3"/>
        <w:spacing w:line="276" w:lineRule="auto"/>
        <w:rPr>
          <w:rFonts w:ascii="Arial" w:hAnsi="Arial" w:cs="Arial"/>
        </w:rPr>
      </w:pPr>
      <w:r w:rsidRPr="00275017">
        <w:rPr>
          <w:rFonts w:ascii="Arial" w:hAnsi="Arial" w:cs="Arial"/>
        </w:rPr>
        <w:t xml:space="preserve">Total costs </w:t>
      </w:r>
      <w:r w:rsidR="007E7C91">
        <w:rPr>
          <w:rFonts w:ascii="Arial" w:hAnsi="Arial" w:cs="Arial"/>
        </w:rPr>
        <w:t xml:space="preserve">and benefits </w:t>
      </w:r>
      <w:r w:rsidRPr="00275017">
        <w:rPr>
          <w:rFonts w:ascii="Arial" w:hAnsi="Arial" w:cs="Arial"/>
        </w:rPr>
        <w:t>for option 2</w:t>
      </w:r>
    </w:p>
    <w:p w:rsidR="003278FC" w:rsidRDefault="0076569C" w:rsidP="0057257B">
      <w:pPr>
        <w:spacing w:line="276" w:lineRule="auto"/>
        <w:rPr>
          <w:rFonts w:ascii="Arial" w:hAnsi="Arial" w:cs="Arial"/>
        </w:rPr>
      </w:pPr>
      <w:r>
        <w:rPr>
          <w:rFonts w:ascii="Arial" w:hAnsi="Arial" w:cs="Arial"/>
        </w:rPr>
        <w:t xml:space="preserve">The benefits for </w:t>
      </w:r>
      <w:r w:rsidR="00831F9B">
        <w:rPr>
          <w:rFonts w:ascii="Arial" w:hAnsi="Arial" w:cs="Arial"/>
        </w:rPr>
        <w:t>o</w:t>
      </w:r>
      <w:r>
        <w:rPr>
          <w:rFonts w:ascii="Arial" w:hAnsi="Arial" w:cs="Arial"/>
        </w:rPr>
        <w:t>ption 2 indicate the potential significant</w:t>
      </w:r>
      <w:r w:rsidR="00D958AB">
        <w:rPr>
          <w:rFonts w:ascii="Arial" w:hAnsi="Arial" w:cs="Arial"/>
        </w:rPr>
        <w:t>, multi-billion economic</w:t>
      </w:r>
      <w:r>
        <w:rPr>
          <w:rFonts w:ascii="Arial" w:hAnsi="Arial" w:cs="Arial"/>
        </w:rPr>
        <w:t xml:space="preserve"> returns from </w:t>
      </w:r>
      <w:r w:rsidR="00D958AB">
        <w:rPr>
          <w:rFonts w:ascii="Arial" w:hAnsi="Arial" w:cs="Arial"/>
        </w:rPr>
        <w:t xml:space="preserve">a relatively minor investment </w:t>
      </w:r>
      <w:r w:rsidR="007B63DB">
        <w:rPr>
          <w:rFonts w:ascii="Arial" w:hAnsi="Arial" w:cs="Arial"/>
        </w:rPr>
        <w:t xml:space="preserve">from </w:t>
      </w:r>
      <w:r w:rsidR="00D958AB">
        <w:rPr>
          <w:rFonts w:ascii="Arial" w:hAnsi="Arial" w:cs="Arial"/>
        </w:rPr>
        <w:t xml:space="preserve">government. </w:t>
      </w:r>
    </w:p>
    <w:p w:rsidR="00810822" w:rsidRPr="00275017" w:rsidRDefault="00810822" w:rsidP="0057257B">
      <w:pPr>
        <w:pStyle w:val="Heading1"/>
        <w:numPr>
          <w:ilvl w:val="0"/>
          <w:numId w:val="11"/>
        </w:numPr>
        <w:spacing w:after="0" w:line="276" w:lineRule="auto"/>
        <w:rPr>
          <w:rFonts w:ascii="Arial" w:hAnsi="Arial" w:cs="Arial"/>
        </w:rPr>
      </w:pPr>
      <w:bookmarkStart w:id="17" w:name="_Toc69917404"/>
      <w:r w:rsidRPr="00275017">
        <w:rPr>
          <w:rFonts w:ascii="Arial" w:hAnsi="Arial" w:cs="Arial"/>
        </w:rPr>
        <w:t>Consultation</w:t>
      </w:r>
      <w:bookmarkEnd w:id="17"/>
      <w:r w:rsidRPr="00275017">
        <w:rPr>
          <w:rFonts w:ascii="Arial" w:hAnsi="Arial" w:cs="Arial"/>
        </w:rPr>
        <w:t xml:space="preserve"> </w:t>
      </w:r>
    </w:p>
    <w:p w:rsidR="00B04ADB" w:rsidRPr="00B04ADB" w:rsidRDefault="00B04ADB" w:rsidP="0057257B">
      <w:pPr>
        <w:spacing w:line="276" w:lineRule="auto"/>
        <w:rPr>
          <w:rFonts w:ascii="Arial" w:hAnsi="Arial" w:cs="Arial"/>
        </w:rPr>
      </w:pPr>
      <w:r w:rsidRPr="00B04ADB">
        <w:rPr>
          <w:rFonts w:ascii="Arial" w:hAnsi="Arial" w:cs="Arial"/>
        </w:rPr>
        <w:t xml:space="preserve">The </w:t>
      </w:r>
      <w:r w:rsidR="0009546F">
        <w:rPr>
          <w:rFonts w:ascii="Arial" w:hAnsi="Arial" w:cs="Arial"/>
        </w:rPr>
        <w:t>d</w:t>
      </w:r>
      <w:r w:rsidRPr="00B04ADB">
        <w:rPr>
          <w:rFonts w:ascii="Arial" w:hAnsi="Arial" w:cs="Arial"/>
        </w:rPr>
        <w:t xml:space="preserve">epartment undertook public consultation on concepts for a proposed regulatory framework between 3 January and 28 February 2020. The online consultation materials were complemented by face-to-face public information sessions in Perth and Melbourne. </w:t>
      </w:r>
    </w:p>
    <w:p w:rsidR="00B04ADB" w:rsidRPr="00B04ADB" w:rsidRDefault="00B04ADB" w:rsidP="0057257B">
      <w:pPr>
        <w:spacing w:line="276" w:lineRule="auto"/>
        <w:rPr>
          <w:rFonts w:ascii="Arial" w:hAnsi="Arial" w:cs="Arial"/>
        </w:rPr>
      </w:pPr>
      <w:r w:rsidRPr="00B04ADB">
        <w:rPr>
          <w:rFonts w:ascii="Arial" w:hAnsi="Arial" w:cs="Arial"/>
        </w:rPr>
        <w:t xml:space="preserve">Approximately 300 people attended the information sessions and 48 written submissions were received. </w:t>
      </w:r>
      <w:r w:rsidR="00107AD2">
        <w:rPr>
          <w:rFonts w:ascii="Arial" w:hAnsi="Arial" w:cs="Arial"/>
        </w:rPr>
        <w:t>Overall</w:t>
      </w:r>
      <w:r w:rsidR="00540A96">
        <w:rPr>
          <w:rFonts w:ascii="Arial" w:hAnsi="Arial" w:cs="Arial"/>
        </w:rPr>
        <w:t>,</w:t>
      </w:r>
      <w:r w:rsidR="00107AD2">
        <w:rPr>
          <w:rFonts w:ascii="Arial" w:hAnsi="Arial" w:cs="Arial"/>
        </w:rPr>
        <w:t xml:space="preserve"> s</w:t>
      </w:r>
      <w:r w:rsidRPr="00B04ADB">
        <w:rPr>
          <w:rFonts w:ascii="Arial" w:hAnsi="Arial" w:cs="Arial"/>
        </w:rPr>
        <w:t xml:space="preserve">ubmissions were supportive of the proposed framework. </w:t>
      </w:r>
    </w:p>
    <w:p w:rsidR="00B04ADB" w:rsidRPr="00B04ADB" w:rsidRDefault="00B04ADB" w:rsidP="0057257B">
      <w:pPr>
        <w:spacing w:line="276" w:lineRule="auto"/>
        <w:rPr>
          <w:rFonts w:ascii="Arial" w:hAnsi="Arial" w:cs="Arial"/>
        </w:rPr>
      </w:pPr>
      <w:r w:rsidRPr="00B04ADB">
        <w:rPr>
          <w:rFonts w:ascii="Arial" w:hAnsi="Arial" w:cs="Arial"/>
        </w:rPr>
        <w:t xml:space="preserve">Many of the submissions sought further detail relating to the operation of the proposed framework – much of this detail </w:t>
      </w:r>
      <w:r w:rsidR="00480AA9">
        <w:rPr>
          <w:rFonts w:ascii="Arial" w:hAnsi="Arial" w:cs="Arial"/>
        </w:rPr>
        <w:t>would</w:t>
      </w:r>
      <w:r w:rsidR="00480AA9" w:rsidRPr="00B04ADB">
        <w:rPr>
          <w:rFonts w:ascii="Arial" w:hAnsi="Arial" w:cs="Arial"/>
        </w:rPr>
        <w:t xml:space="preserve"> </w:t>
      </w:r>
      <w:r w:rsidRPr="00B04ADB">
        <w:rPr>
          <w:rFonts w:ascii="Arial" w:hAnsi="Arial" w:cs="Arial"/>
        </w:rPr>
        <w:t xml:space="preserve">be determined and consulted on through the process </w:t>
      </w:r>
      <w:r w:rsidR="00480AA9">
        <w:rPr>
          <w:rFonts w:ascii="Arial" w:hAnsi="Arial" w:cs="Arial"/>
        </w:rPr>
        <w:t>of</w:t>
      </w:r>
      <w:r w:rsidR="00480AA9" w:rsidRPr="00B04ADB">
        <w:rPr>
          <w:rFonts w:ascii="Arial" w:hAnsi="Arial" w:cs="Arial"/>
        </w:rPr>
        <w:t xml:space="preserve"> </w:t>
      </w:r>
      <w:r w:rsidRPr="00B04ADB">
        <w:rPr>
          <w:rFonts w:ascii="Arial" w:hAnsi="Arial" w:cs="Arial"/>
        </w:rPr>
        <w:t>develop</w:t>
      </w:r>
      <w:r w:rsidR="00480AA9">
        <w:rPr>
          <w:rFonts w:ascii="Arial" w:hAnsi="Arial" w:cs="Arial"/>
        </w:rPr>
        <w:t>ing</w:t>
      </w:r>
      <w:r w:rsidRPr="00B04ADB">
        <w:rPr>
          <w:rFonts w:ascii="Arial" w:hAnsi="Arial" w:cs="Arial"/>
        </w:rPr>
        <w:t xml:space="preserve"> regulations and guidelines in 2021. The following key themes raised through consultation were relevant to the overall structure of the framework and in some cases have led to re-shaping of the policy.</w:t>
      </w:r>
    </w:p>
    <w:p w:rsidR="00B04ADB" w:rsidRPr="002D5AC3" w:rsidRDefault="00B04ADB" w:rsidP="002D5AC3">
      <w:pPr>
        <w:spacing w:line="276" w:lineRule="auto"/>
        <w:rPr>
          <w:rFonts w:cs="Arial"/>
          <w:u w:val="single"/>
        </w:rPr>
      </w:pPr>
      <w:r w:rsidRPr="002D5AC3">
        <w:rPr>
          <w:rFonts w:ascii="Arial" w:hAnsi="Arial" w:cs="Arial"/>
          <w:u w:val="single"/>
        </w:rPr>
        <w:t>Decommissioning bonds</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Policy presented: a bond equal to the cost for government to decommission infrastructure in the licence area must be held prior to installation activities commencing</w:t>
      </w:r>
      <w:r w:rsidRPr="00894F9D">
        <w:rPr>
          <w:rFonts w:ascii="Arial" w:eastAsia="Times New Roman" w:hAnsi="Arial" w:cs="Arial"/>
          <w:lang w:eastAsia="en-AU"/>
        </w:rPr>
        <w:t xml:space="preserve">. </w:t>
      </w:r>
      <w:r w:rsidR="00CC0F27" w:rsidRPr="00894F9D">
        <w:rPr>
          <w:rFonts w:ascii="Arial" w:eastAsia="Times New Roman" w:hAnsi="Arial" w:cs="Arial"/>
          <w:lang w:eastAsia="en-AU"/>
        </w:rPr>
        <w:t xml:space="preserve">Details of this approach will be outlined further </w:t>
      </w:r>
      <w:r w:rsidR="00894F9D" w:rsidRPr="00894F9D">
        <w:rPr>
          <w:rFonts w:ascii="Arial" w:eastAsia="Times New Roman" w:hAnsi="Arial" w:cs="Arial"/>
          <w:lang w:eastAsia="en-AU"/>
        </w:rPr>
        <w:t>during consultation on</w:t>
      </w:r>
      <w:r w:rsidR="00CC0F27" w:rsidRPr="00894F9D">
        <w:rPr>
          <w:rFonts w:ascii="Arial" w:eastAsia="Times New Roman" w:hAnsi="Arial" w:cs="Arial"/>
          <w:lang w:eastAsia="en-AU"/>
        </w:rPr>
        <w:t xml:space="preserve"> </w:t>
      </w:r>
      <w:r w:rsidR="00894F9D" w:rsidRPr="00894F9D">
        <w:rPr>
          <w:rFonts w:ascii="Arial" w:eastAsia="Times New Roman" w:hAnsi="Arial" w:cs="Arial"/>
          <w:lang w:eastAsia="en-AU"/>
        </w:rPr>
        <w:t>regulatory design</w:t>
      </w:r>
      <w:r w:rsidR="00CC0F27" w:rsidRPr="00894F9D">
        <w:rPr>
          <w:rFonts w:ascii="Arial" w:eastAsia="Times New Roman" w:hAnsi="Arial" w:cs="Arial"/>
          <w:lang w:eastAsia="en-AU"/>
        </w:rPr>
        <w:t>.</w:t>
      </w:r>
      <w:r w:rsidR="00CC0F27">
        <w:rPr>
          <w:rFonts w:ascii="Arial" w:eastAsia="Times New Roman" w:hAnsi="Arial" w:cs="Arial"/>
          <w:lang w:eastAsia="en-AU"/>
        </w:rPr>
        <w:t xml:space="preserve">  </w:t>
      </w:r>
    </w:p>
    <w:p w:rsidR="00B04ADB" w:rsidRPr="00B04ADB" w:rsidRDefault="00B04ADB" w:rsidP="0057257B">
      <w:pPr>
        <w:spacing w:line="276" w:lineRule="auto"/>
        <w:rPr>
          <w:rFonts w:ascii="Arial" w:eastAsia="Times New Roman" w:hAnsi="Arial" w:cs="Arial"/>
          <w:lang w:eastAsia="en-AU"/>
        </w:rPr>
      </w:pPr>
      <w:r w:rsidRPr="002D5AC3">
        <w:rPr>
          <w:rFonts w:ascii="Arial" w:eastAsia="Times New Roman" w:hAnsi="Arial" w:cs="Arial"/>
          <w:b/>
          <w:lang w:eastAsia="en-AU"/>
        </w:rPr>
        <w:t xml:space="preserve">Feedback: </w:t>
      </w:r>
      <w:r>
        <w:rPr>
          <w:rFonts w:ascii="Arial" w:hAnsi="Arial" w:cs="Arial"/>
        </w:rPr>
        <w:t xml:space="preserve">Several developers </w:t>
      </w:r>
      <w:r w:rsidRPr="00B04ADB">
        <w:rPr>
          <w:rFonts w:ascii="Arial" w:hAnsi="Arial" w:cs="Arial"/>
        </w:rPr>
        <w:t xml:space="preserve">and a number of other organisations from industry and research sectors agree with the decommissioning bond </w:t>
      </w:r>
      <w:r w:rsidRPr="00B04ADB">
        <w:rPr>
          <w:rFonts w:ascii="Arial" w:eastAsia="Times New Roman" w:hAnsi="Arial" w:cs="Arial"/>
          <w:lang w:eastAsia="en-AU"/>
        </w:rPr>
        <w:t>principle.</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A number of non-government organisations (NGOs) are concerned that a bond system could be seen as a disincentive noting that a similar financial expectation is not currently placed on offshore petroleum.</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The </w:t>
      </w:r>
      <w:r w:rsidR="0075042D">
        <w:rPr>
          <w:rFonts w:ascii="Arial" w:eastAsia="Times New Roman" w:hAnsi="Arial" w:cs="Arial"/>
          <w:lang w:eastAsia="en-AU"/>
        </w:rPr>
        <w:t>d</w:t>
      </w:r>
      <w:r w:rsidR="0075042D" w:rsidRPr="00B04ADB">
        <w:rPr>
          <w:rFonts w:ascii="Arial" w:eastAsia="Times New Roman" w:hAnsi="Arial" w:cs="Arial"/>
          <w:lang w:eastAsia="en-AU"/>
        </w:rPr>
        <w:t xml:space="preserve">epartment </w:t>
      </w:r>
      <w:r w:rsidRPr="00B04ADB">
        <w:rPr>
          <w:rFonts w:ascii="Arial" w:eastAsia="Times New Roman" w:hAnsi="Arial" w:cs="Arial"/>
          <w:lang w:eastAsia="en-AU"/>
        </w:rPr>
        <w:t>notes that recent issues in offshore petroleum have led to a review of decommissioning and financial assurance requirements and there may be additional requirements placed on petroleum titleholders in future.</w:t>
      </w:r>
    </w:p>
    <w:p w:rsidR="00B04ADB" w:rsidRPr="00B04ADB" w:rsidRDefault="00B04ADB" w:rsidP="0057257B">
      <w:pPr>
        <w:spacing w:line="276" w:lineRule="auto"/>
        <w:rPr>
          <w:rFonts w:ascii="Arial" w:eastAsia="Times New Roman" w:hAnsi="Arial" w:cs="Arial"/>
          <w:lang w:eastAsia="en-AU"/>
        </w:rPr>
      </w:pPr>
      <w:r>
        <w:rPr>
          <w:rFonts w:ascii="Arial" w:eastAsia="Times New Roman" w:hAnsi="Arial" w:cs="Arial"/>
          <w:lang w:eastAsia="en-AU"/>
        </w:rPr>
        <w:t>Other developers believe</w:t>
      </w:r>
      <w:r w:rsidRPr="00B04ADB">
        <w:rPr>
          <w:rFonts w:ascii="Arial" w:eastAsia="Times New Roman" w:hAnsi="Arial" w:cs="Arial"/>
          <w:lang w:eastAsia="en-AU"/>
        </w:rPr>
        <w:t xml:space="preserve"> that decommissioning bonds should not apply to Transmission and Infrastructure Permits.</w:t>
      </w:r>
    </w:p>
    <w:p w:rsidR="00B04ADB" w:rsidRPr="00B04ADB" w:rsidRDefault="00CE6F62" w:rsidP="0057257B">
      <w:pPr>
        <w:spacing w:line="276" w:lineRule="auto"/>
        <w:rPr>
          <w:rFonts w:ascii="Arial" w:eastAsia="Times New Roman" w:hAnsi="Arial" w:cs="Arial"/>
          <w:lang w:eastAsia="en-AU"/>
        </w:rPr>
      </w:pPr>
      <w:r>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00B04ADB" w:rsidRPr="00B04ADB">
        <w:rPr>
          <w:rFonts w:ascii="Arial" w:eastAsia="Times New Roman" w:hAnsi="Arial" w:cs="Arial"/>
          <w:lang w:eastAsia="en-AU"/>
        </w:rPr>
        <w:t>note</w:t>
      </w:r>
      <w:r>
        <w:rPr>
          <w:rFonts w:ascii="Arial" w:eastAsia="Times New Roman" w:hAnsi="Arial" w:cs="Arial"/>
          <w:lang w:eastAsia="en-AU"/>
        </w:rPr>
        <w:t>s</w:t>
      </w:r>
      <w:r w:rsidR="00B04ADB" w:rsidRPr="00B04ADB">
        <w:rPr>
          <w:rFonts w:ascii="Arial" w:eastAsia="Times New Roman" w:hAnsi="Arial" w:cs="Arial"/>
          <w:lang w:eastAsia="en-AU"/>
        </w:rPr>
        <w:t xml:space="preserve"> that decommissioning bonds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00B04ADB" w:rsidRPr="00B04ADB">
        <w:rPr>
          <w:rFonts w:ascii="Arial" w:eastAsia="Times New Roman" w:hAnsi="Arial" w:cs="Arial"/>
          <w:lang w:eastAsia="en-AU"/>
        </w:rPr>
        <w:t>be scalable depending on the mode of decommissioning accepted by the regulator</w:t>
      </w:r>
      <w:r w:rsidR="00DE64B7">
        <w:rPr>
          <w:rFonts w:ascii="Arial" w:eastAsia="Times New Roman" w:hAnsi="Arial" w:cs="Arial"/>
          <w:lang w:eastAsia="en-AU"/>
        </w:rPr>
        <w:t xml:space="preserve">. For example, some </w:t>
      </w:r>
      <w:r w:rsidR="00B04ADB" w:rsidRPr="00B04ADB">
        <w:rPr>
          <w:rFonts w:ascii="Arial" w:eastAsia="Times New Roman" w:hAnsi="Arial" w:cs="Arial"/>
          <w:lang w:eastAsia="en-AU"/>
        </w:rPr>
        <w:t xml:space="preserve">buried transmission infrastructure may be </w:t>
      </w:r>
      <w:r w:rsidR="00DE64B7">
        <w:rPr>
          <w:rFonts w:ascii="Arial" w:eastAsia="Times New Roman" w:hAnsi="Arial" w:cs="Arial"/>
          <w:lang w:eastAsia="en-AU"/>
        </w:rPr>
        <w:t xml:space="preserve">able </w:t>
      </w:r>
      <w:r w:rsidR="00B04ADB" w:rsidRPr="00B04ADB">
        <w:rPr>
          <w:rFonts w:ascii="Arial" w:eastAsia="Times New Roman" w:hAnsi="Arial" w:cs="Arial"/>
          <w:lang w:eastAsia="en-AU"/>
        </w:rPr>
        <w:t xml:space="preserve">to </w:t>
      </w:r>
      <w:r w:rsidR="00DE64B7">
        <w:rPr>
          <w:rFonts w:ascii="Arial" w:eastAsia="Times New Roman" w:hAnsi="Arial" w:cs="Arial"/>
          <w:lang w:eastAsia="en-AU"/>
        </w:rPr>
        <w:t>be left</w:t>
      </w:r>
      <w:r w:rsidR="00B04ADB" w:rsidRPr="00B04ADB">
        <w:rPr>
          <w:rFonts w:ascii="Arial" w:eastAsia="Times New Roman" w:hAnsi="Arial" w:cs="Arial"/>
          <w:lang w:eastAsia="en-AU"/>
        </w:rPr>
        <w:t xml:space="preserve"> in place, with a very low decommissioning cost and associated bond.</w:t>
      </w:r>
    </w:p>
    <w:p w:rsidR="00B04ADB" w:rsidRPr="00664F3E" w:rsidRDefault="00B04ADB" w:rsidP="0057257B">
      <w:pPr>
        <w:spacing w:line="276" w:lineRule="auto"/>
        <w:rPr>
          <w:rFonts w:ascii="Arial" w:eastAsia="Times New Roman" w:hAnsi="Arial" w:cs="Arial"/>
          <w:b/>
          <w:lang w:eastAsia="en-AU"/>
        </w:rPr>
      </w:pPr>
      <w:r w:rsidRPr="00664F3E">
        <w:rPr>
          <w:rFonts w:ascii="Arial" w:eastAsia="Times New Roman" w:hAnsi="Arial" w:cs="Arial"/>
          <w:b/>
          <w:lang w:eastAsia="en-AU"/>
        </w:rPr>
        <w:t>Outcome:</w:t>
      </w:r>
      <w:r w:rsidR="00664F3E">
        <w:rPr>
          <w:rFonts w:ascii="Arial" w:eastAsia="Times New Roman" w:hAnsi="Arial" w:cs="Arial"/>
          <w:b/>
          <w:lang w:eastAsia="en-AU"/>
        </w:rPr>
        <w:t xml:space="preserve"> </w:t>
      </w:r>
      <w:r w:rsidR="00CE6F62">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Pr="00B04ADB">
        <w:rPr>
          <w:rFonts w:ascii="Arial" w:eastAsia="Times New Roman" w:hAnsi="Arial" w:cs="Arial"/>
          <w:lang w:eastAsia="en-AU"/>
        </w:rPr>
        <w:t>note</w:t>
      </w:r>
      <w:r w:rsidR="00CE6F62">
        <w:rPr>
          <w:rFonts w:ascii="Arial" w:eastAsia="Times New Roman" w:hAnsi="Arial" w:cs="Arial"/>
          <w:lang w:eastAsia="en-AU"/>
        </w:rPr>
        <w:t>s</w:t>
      </w:r>
      <w:r w:rsidRPr="00B04ADB">
        <w:rPr>
          <w:rFonts w:ascii="Arial" w:eastAsia="Times New Roman" w:hAnsi="Arial" w:cs="Arial"/>
          <w:lang w:eastAsia="en-AU"/>
        </w:rPr>
        <w:t xml:space="preserve"> a need to engage closely with stakeholders as </w:t>
      </w:r>
      <w:r w:rsidR="00CE6F62">
        <w:rPr>
          <w:rFonts w:ascii="Arial" w:eastAsia="Times New Roman" w:hAnsi="Arial" w:cs="Arial"/>
          <w:lang w:eastAsia="en-AU"/>
        </w:rPr>
        <w:t xml:space="preserve">the </w:t>
      </w:r>
      <w:r w:rsidR="0009546F">
        <w:rPr>
          <w:rFonts w:ascii="Arial" w:eastAsia="Times New Roman" w:hAnsi="Arial" w:cs="Arial"/>
          <w:lang w:eastAsia="en-AU"/>
        </w:rPr>
        <w:t>d</w:t>
      </w:r>
      <w:r w:rsidR="00CE6F62">
        <w:rPr>
          <w:rFonts w:ascii="Arial" w:eastAsia="Times New Roman" w:hAnsi="Arial" w:cs="Arial"/>
          <w:lang w:eastAsia="en-AU"/>
        </w:rPr>
        <w:t>epartment</w:t>
      </w:r>
      <w:r w:rsidRPr="00B04ADB">
        <w:rPr>
          <w:rFonts w:ascii="Arial" w:eastAsia="Times New Roman" w:hAnsi="Arial" w:cs="Arial"/>
          <w:lang w:eastAsia="en-AU"/>
        </w:rPr>
        <w:t xml:space="preserve"> develop</w:t>
      </w:r>
      <w:r w:rsidR="00CE6F62">
        <w:rPr>
          <w:rFonts w:ascii="Arial" w:eastAsia="Times New Roman" w:hAnsi="Arial" w:cs="Arial"/>
          <w:lang w:eastAsia="en-AU"/>
        </w:rPr>
        <w:t>s</w:t>
      </w:r>
      <w:r w:rsidR="00CC0F27">
        <w:rPr>
          <w:rFonts w:ascii="Arial" w:eastAsia="Times New Roman" w:hAnsi="Arial" w:cs="Arial"/>
          <w:lang w:eastAsia="en-AU"/>
        </w:rPr>
        <w:t xml:space="preserve"> further public</w:t>
      </w:r>
      <w:r w:rsidRPr="00B04ADB">
        <w:rPr>
          <w:rFonts w:ascii="Arial" w:eastAsia="Times New Roman" w:hAnsi="Arial" w:cs="Arial"/>
          <w:lang w:eastAsia="en-AU"/>
        </w:rPr>
        <w:t xml:space="preserve"> guidance around this issue in 2021.</w:t>
      </w:r>
      <w:r w:rsidR="00664F3E">
        <w:rPr>
          <w:rFonts w:ascii="Arial" w:eastAsia="Times New Roman" w:hAnsi="Arial" w:cs="Arial"/>
          <w:lang w:eastAsia="en-AU"/>
        </w:rPr>
        <w:t xml:space="preserve"> A decommissioning bond as regarded as best international practice. </w:t>
      </w:r>
    </w:p>
    <w:p w:rsidR="00B04ADB" w:rsidRPr="002D5AC3" w:rsidRDefault="00B04ADB" w:rsidP="002D5AC3">
      <w:pPr>
        <w:spacing w:line="276" w:lineRule="auto"/>
        <w:rPr>
          <w:rFonts w:cs="Arial"/>
          <w:u w:val="single"/>
        </w:rPr>
      </w:pPr>
      <w:r w:rsidRPr="002D5AC3">
        <w:rPr>
          <w:rFonts w:ascii="Arial" w:hAnsi="Arial" w:cs="Arial"/>
          <w:u w:val="single"/>
        </w:rPr>
        <w:t>Feasibility licence term</w:t>
      </w:r>
    </w:p>
    <w:p w:rsidR="00B04ADB" w:rsidRPr="00B04ADB" w:rsidRDefault="00B04ADB" w:rsidP="0057257B">
      <w:pPr>
        <w:spacing w:line="276" w:lineRule="auto"/>
        <w:rPr>
          <w:rFonts w:ascii="Arial" w:eastAsia="Times New Roman" w:hAnsi="Arial" w:cs="Arial"/>
          <w:i/>
          <w:lang w:eastAsia="en-AU"/>
        </w:rPr>
      </w:pPr>
      <w:r w:rsidRPr="00B04ADB">
        <w:rPr>
          <w:rFonts w:ascii="Arial" w:eastAsia="Times New Roman" w:hAnsi="Arial" w:cs="Arial"/>
          <w:lang w:eastAsia="en-AU"/>
        </w:rPr>
        <w:t>Policy presented: at the time of consultation, a feasibility licence was proposed as a five-year licence term in which a developer has an exclusive right to seek a Commercial Licence over the Feasibility Licence area. Before a Commercial Licence could be sought, the licence holder must be ‘shovel-ready’, with an accepted management plan, bond agreement and final investment decision in place.</w:t>
      </w:r>
    </w:p>
    <w:p w:rsidR="00B04ADB" w:rsidRPr="00B04ADB" w:rsidRDefault="00B04ADB" w:rsidP="0057257B">
      <w:pPr>
        <w:spacing w:line="276" w:lineRule="auto"/>
        <w:rPr>
          <w:rFonts w:ascii="Arial" w:eastAsia="Times New Roman" w:hAnsi="Arial" w:cs="Arial"/>
          <w:lang w:eastAsia="en-AU"/>
        </w:rPr>
      </w:pPr>
      <w:r w:rsidRPr="002D5AC3">
        <w:rPr>
          <w:rFonts w:ascii="Arial" w:eastAsia="Times New Roman" w:hAnsi="Arial" w:cs="Arial"/>
          <w:b/>
          <w:lang w:eastAsia="en-AU"/>
        </w:rPr>
        <w:t xml:space="preserve">Feedback: </w:t>
      </w:r>
      <w:r w:rsidRPr="00B04ADB">
        <w:rPr>
          <w:rFonts w:ascii="Arial" w:hAnsi="Arial" w:cs="Arial"/>
        </w:rPr>
        <w:t>While there was some support for the five-year term, a number of submissions indicated that this timeframe could be too short, noting the expectation to undertake several significant tasks in order to be ready.</w:t>
      </w:r>
    </w:p>
    <w:p w:rsidR="00B04ADB" w:rsidRPr="00664F3E" w:rsidRDefault="00664F3E" w:rsidP="0057257B">
      <w:pPr>
        <w:spacing w:line="276" w:lineRule="auto"/>
        <w:rPr>
          <w:rFonts w:ascii="Arial" w:eastAsia="Times New Roman" w:hAnsi="Arial" w:cs="Arial"/>
          <w:b/>
          <w:lang w:eastAsia="en-AU"/>
        </w:rPr>
      </w:pPr>
      <w:r w:rsidRPr="00664F3E">
        <w:rPr>
          <w:rFonts w:ascii="Arial" w:eastAsia="Times New Roman" w:hAnsi="Arial" w:cs="Arial"/>
          <w:b/>
          <w:lang w:eastAsia="en-AU"/>
        </w:rPr>
        <w:t>Outcomes:</w:t>
      </w:r>
      <w:r>
        <w:rPr>
          <w:rFonts w:ascii="Arial" w:eastAsia="Times New Roman" w:hAnsi="Arial" w:cs="Arial"/>
          <w:b/>
          <w:lang w:eastAsia="en-AU"/>
        </w:rPr>
        <w:t xml:space="preserve"> </w:t>
      </w:r>
      <w:r w:rsidR="00CE6F62">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00DE64B7">
        <w:rPr>
          <w:rFonts w:ascii="Arial" w:eastAsia="Times New Roman" w:hAnsi="Arial" w:cs="Arial"/>
          <w:lang w:eastAsia="en-AU"/>
        </w:rPr>
        <w:t>has</w:t>
      </w:r>
      <w:r w:rsidR="00B04ADB" w:rsidRPr="00B04ADB">
        <w:rPr>
          <w:rFonts w:ascii="Arial" w:eastAsia="Times New Roman" w:hAnsi="Arial" w:cs="Arial"/>
          <w:lang w:eastAsia="en-AU"/>
        </w:rPr>
        <w:t xml:space="preserve"> amended the </w:t>
      </w:r>
      <w:r w:rsidR="00813CE6">
        <w:rPr>
          <w:rFonts w:ascii="Arial" w:eastAsia="Times New Roman" w:hAnsi="Arial" w:cs="Arial"/>
          <w:lang w:eastAsia="en-AU"/>
        </w:rPr>
        <w:t xml:space="preserve">proposed </w:t>
      </w:r>
      <w:r w:rsidR="00B04ADB" w:rsidRPr="00B04ADB">
        <w:rPr>
          <w:rFonts w:ascii="Arial" w:eastAsia="Times New Roman" w:hAnsi="Arial" w:cs="Arial"/>
          <w:lang w:eastAsia="en-AU"/>
        </w:rPr>
        <w:t>term to seven years.</w:t>
      </w:r>
      <w:r>
        <w:rPr>
          <w:rFonts w:ascii="Arial" w:eastAsia="Times New Roman" w:hAnsi="Arial" w:cs="Arial"/>
          <w:b/>
          <w:lang w:eastAsia="en-AU"/>
        </w:rPr>
        <w:t xml:space="preserve"> </w:t>
      </w:r>
      <w:r w:rsidR="00B04ADB" w:rsidRPr="00B04ADB">
        <w:rPr>
          <w:rFonts w:ascii="Arial" w:eastAsia="Times New Roman" w:hAnsi="Arial" w:cs="Arial"/>
          <w:lang w:eastAsia="en-AU"/>
        </w:rPr>
        <w:t xml:space="preserve">To avoid inactivity in a licence area, holders of a feasibility licence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00B04ADB" w:rsidRPr="00B04ADB">
        <w:rPr>
          <w:rFonts w:ascii="Arial" w:eastAsia="Times New Roman" w:hAnsi="Arial" w:cs="Arial"/>
          <w:lang w:eastAsia="en-AU"/>
        </w:rPr>
        <w:t>be expected to meet work program milestones at advertised points during the term of the licence. Failure to meet milestones may be grounds for cancellation of the licence.</w:t>
      </w:r>
    </w:p>
    <w:p w:rsidR="00B04ADB" w:rsidRPr="002D5AC3" w:rsidRDefault="00B04ADB" w:rsidP="002D5AC3">
      <w:pPr>
        <w:spacing w:line="276" w:lineRule="auto"/>
        <w:rPr>
          <w:rFonts w:cs="Arial"/>
          <w:u w:val="single"/>
        </w:rPr>
      </w:pPr>
      <w:r w:rsidRPr="002D5AC3">
        <w:rPr>
          <w:rFonts w:ascii="Arial" w:hAnsi="Arial" w:cs="Arial"/>
          <w:u w:val="single"/>
        </w:rPr>
        <w:t>Commercial licence term</w:t>
      </w:r>
    </w:p>
    <w:p w:rsidR="00B04ADB" w:rsidRPr="00B04ADB" w:rsidRDefault="00B04ADB" w:rsidP="0057257B">
      <w:pPr>
        <w:spacing w:line="276" w:lineRule="auto"/>
        <w:rPr>
          <w:rFonts w:ascii="Arial" w:eastAsia="Times New Roman" w:hAnsi="Arial" w:cs="Arial"/>
          <w:i/>
          <w:lang w:eastAsia="en-AU"/>
        </w:rPr>
      </w:pPr>
      <w:r w:rsidRPr="00B04ADB">
        <w:rPr>
          <w:rFonts w:ascii="Arial" w:eastAsia="Times New Roman" w:hAnsi="Arial" w:cs="Arial"/>
          <w:lang w:eastAsia="en-AU"/>
        </w:rPr>
        <w:t xml:space="preserve">Policy presented: at the time of consultation, a commercial licence was proposed as a 30-year licence term in which a developer can construct, operate and decommission offshore </w:t>
      </w:r>
      <w:r w:rsidR="00E11CD2">
        <w:rPr>
          <w:rFonts w:ascii="Arial" w:eastAsia="Times New Roman" w:hAnsi="Arial" w:cs="Arial"/>
          <w:lang w:eastAsia="en-AU"/>
        </w:rPr>
        <w:t>electricity</w:t>
      </w:r>
      <w:r w:rsidRPr="00B04ADB">
        <w:rPr>
          <w:rFonts w:ascii="Arial" w:eastAsia="Times New Roman" w:hAnsi="Arial" w:cs="Arial"/>
          <w:lang w:eastAsia="en-AU"/>
        </w:rPr>
        <w:t xml:space="preserve"> infrastructure. </w:t>
      </w:r>
    </w:p>
    <w:p w:rsidR="00B04ADB" w:rsidRPr="00664F3E" w:rsidRDefault="00B04ADB" w:rsidP="0057257B">
      <w:pPr>
        <w:spacing w:line="276" w:lineRule="auto"/>
        <w:rPr>
          <w:rFonts w:ascii="Arial" w:hAnsi="Arial" w:cs="Arial"/>
        </w:rPr>
      </w:pPr>
      <w:r w:rsidRPr="002D5AC3">
        <w:rPr>
          <w:rFonts w:ascii="Arial" w:eastAsia="Times New Roman" w:hAnsi="Arial" w:cs="Arial"/>
          <w:b/>
          <w:lang w:eastAsia="en-AU"/>
        </w:rPr>
        <w:t xml:space="preserve">Feedback: </w:t>
      </w:r>
      <w:r w:rsidRPr="00B04ADB">
        <w:rPr>
          <w:rFonts w:ascii="Arial" w:hAnsi="Arial" w:cs="Arial"/>
        </w:rPr>
        <w:t>A number of submissions advised that a 30-year term is too short to cover the complete lifecycle of construction, operation and decommissioning.</w:t>
      </w:r>
      <w:r w:rsidR="00664F3E">
        <w:rPr>
          <w:rFonts w:ascii="Arial" w:hAnsi="Arial" w:cs="Arial"/>
        </w:rPr>
        <w:t xml:space="preserve"> Parties suggested</w:t>
      </w:r>
      <w:r w:rsidRPr="00B04ADB">
        <w:rPr>
          <w:rFonts w:ascii="Arial" w:hAnsi="Arial" w:cs="Arial"/>
        </w:rPr>
        <w:t xml:space="preserve"> 40-50-year</w:t>
      </w:r>
      <w:r w:rsidR="00664F3E">
        <w:rPr>
          <w:rFonts w:ascii="Arial" w:hAnsi="Arial" w:cs="Arial"/>
        </w:rPr>
        <w:t xml:space="preserve"> term would be appropriate or an </w:t>
      </w:r>
      <w:r w:rsidRPr="00B04ADB">
        <w:rPr>
          <w:rFonts w:ascii="Arial" w:hAnsi="Arial" w:cs="Arial"/>
        </w:rPr>
        <w:t>automatic licence renewal should be implemented.</w:t>
      </w:r>
    </w:p>
    <w:p w:rsidR="00B04ADB" w:rsidRPr="00664F3E" w:rsidRDefault="00664F3E" w:rsidP="0057257B">
      <w:pPr>
        <w:spacing w:line="276" w:lineRule="auto"/>
        <w:rPr>
          <w:rFonts w:ascii="Arial" w:eastAsia="Times New Roman" w:hAnsi="Arial" w:cs="Arial"/>
          <w:b/>
          <w:lang w:eastAsia="en-AU"/>
        </w:rPr>
      </w:pPr>
      <w:r>
        <w:rPr>
          <w:rFonts w:ascii="Arial" w:eastAsia="Times New Roman" w:hAnsi="Arial" w:cs="Arial"/>
          <w:b/>
          <w:lang w:eastAsia="en-AU"/>
        </w:rPr>
        <w:t xml:space="preserve">Outcome: </w:t>
      </w:r>
      <w:r w:rsidR="00CE6F62">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00813CE6">
        <w:rPr>
          <w:rFonts w:ascii="Arial" w:eastAsia="Times New Roman" w:hAnsi="Arial" w:cs="Arial"/>
          <w:lang w:eastAsia="en-AU"/>
        </w:rPr>
        <w:t>is now proposing that</w:t>
      </w:r>
      <w:r w:rsidR="00B04ADB" w:rsidRPr="00B04ADB">
        <w:rPr>
          <w:rFonts w:ascii="Arial" w:eastAsia="Times New Roman" w:hAnsi="Arial" w:cs="Arial"/>
          <w:lang w:eastAsia="en-AU"/>
        </w:rPr>
        <w:t xml:space="preserve"> the standard commercial licence term </w:t>
      </w:r>
      <w:r w:rsidR="00813CE6">
        <w:rPr>
          <w:rFonts w:ascii="Arial" w:eastAsia="Times New Roman" w:hAnsi="Arial" w:cs="Arial"/>
          <w:lang w:eastAsia="en-AU"/>
        </w:rPr>
        <w:t>be</w:t>
      </w:r>
      <w:r w:rsidR="00813CE6" w:rsidRPr="00B04ADB">
        <w:rPr>
          <w:rFonts w:ascii="Arial" w:eastAsia="Times New Roman" w:hAnsi="Arial" w:cs="Arial"/>
          <w:lang w:eastAsia="en-AU"/>
        </w:rPr>
        <w:t xml:space="preserve"> </w:t>
      </w:r>
      <w:r w:rsidR="00B04ADB" w:rsidRPr="00B04ADB">
        <w:rPr>
          <w:rFonts w:ascii="Arial" w:eastAsia="Times New Roman" w:hAnsi="Arial" w:cs="Arial"/>
          <w:lang w:eastAsia="en-AU"/>
        </w:rPr>
        <w:t>40</w:t>
      </w:r>
      <w:r w:rsidR="00813CE6">
        <w:rPr>
          <w:rFonts w:ascii="Arial" w:eastAsia="Times New Roman" w:hAnsi="Arial" w:cs="Arial"/>
          <w:lang w:eastAsia="en-AU"/>
        </w:rPr>
        <w:t xml:space="preserve"> </w:t>
      </w:r>
      <w:r w:rsidR="00B04ADB" w:rsidRPr="00B04ADB">
        <w:rPr>
          <w:rFonts w:ascii="Arial" w:eastAsia="Times New Roman" w:hAnsi="Arial" w:cs="Arial"/>
          <w:lang w:eastAsia="en-AU"/>
        </w:rPr>
        <w:t xml:space="preserve">years, with </w:t>
      </w:r>
      <w:r w:rsidR="00813CE6">
        <w:rPr>
          <w:rFonts w:ascii="Arial" w:eastAsia="Times New Roman" w:hAnsi="Arial" w:cs="Arial"/>
          <w:lang w:eastAsia="en-AU"/>
        </w:rPr>
        <w:t xml:space="preserve">possible renewal of another </w:t>
      </w:r>
      <w:r w:rsidR="00B04ADB" w:rsidRPr="00B04ADB">
        <w:rPr>
          <w:rFonts w:ascii="Arial" w:eastAsia="Times New Roman" w:hAnsi="Arial" w:cs="Arial"/>
          <w:lang w:eastAsia="en-AU"/>
        </w:rPr>
        <w:t>40</w:t>
      </w:r>
      <w:r w:rsidR="00813CE6">
        <w:rPr>
          <w:rFonts w:ascii="Arial" w:eastAsia="Times New Roman" w:hAnsi="Arial" w:cs="Arial"/>
          <w:lang w:eastAsia="en-AU"/>
        </w:rPr>
        <w:t xml:space="preserve"> </w:t>
      </w:r>
      <w:r w:rsidR="00B04ADB" w:rsidRPr="00B04ADB">
        <w:rPr>
          <w:rFonts w:ascii="Arial" w:eastAsia="Times New Roman" w:hAnsi="Arial" w:cs="Arial"/>
          <w:lang w:eastAsia="en-AU"/>
        </w:rPr>
        <w:t>year term.</w:t>
      </w:r>
      <w:r w:rsidR="00AD3BB0">
        <w:rPr>
          <w:rFonts w:ascii="Arial" w:eastAsia="Times New Roman" w:hAnsi="Arial" w:cs="Arial"/>
          <w:lang w:eastAsia="en-AU"/>
        </w:rPr>
        <w:t xml:space="preserve"> The licence period for transmission infrastructure will be determined by the life of the assets.</w:t>
      </w:r>
    </w:p>
    <w:p w:rsidR="00B04ADB" w:rsidRPr="00B04ADB" w:rsidRDefault="00CE6F62" w:rsidP="0057257B">
      <w:pPr>
        <w:spacing w:line="276" w:lineRule="auto"/>
        <w:rPr>
          <w:rFonts w:ascii="Arial" w:hAnsi="Arial" w:cs="Arial"/>
          <w:b/>
          <w:i/>
        </w:rPr>
      </w:pPr>
      <w:r>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00B04ADB" w:rsidRPr="00B04ADB">
        <w:rPr>
          <w:rFonts w:ascii="Arial" w:eastAsia="Times New Roman" w:hAnsi="Arial" w:cs="Arial"/>
          <w:lang w:eastAsia="en-AU"/>
        </w:rPr>
        <w:t>do</w:t>
      </w:r>
      <w:r>
        <w:rPr>
          <w:rFonts w:ascii="Arial" w:eastAsia="Times New Roman" w:hAnsi="Arial" w:cs="Arial"/>
          <w:lang w:eastAsia="en-AU"/>
        </w:rPr>
        <w:t>es</w:t>
      </w:r>
      <w:r w:rsidR="00B04ADB" w:rsidRPr="00B04ADB">
        <w:rPr>
          <w:rFonts w:ascii="Arial" w:eastAsia="Times New Roman" w:hAnsi="Arial" w:cs="Arial"/>
          <w:lang w:eastAsia="en-AU"/>
        </w:rPr>
        <w:t xml:space="preserve"> not intend to offer automatic renewal terms. Instead licence holders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00B04ADB" w:rsidRPr="00B04ADB">
        <w:rPr>
          <w:rFonts w:ascii="Arial" w:eastAsia="Times New Roman" w:hAnsi="Arial" w:cs="Arial"/>
          <w:lang w:eastAsia="en-AU"/>
        </w:rPr>
        <w:t>be able to apply for a renewal well in advance of the licence expiry</w:t>
      </w:r>
      <w:r w:rsidR="00813CE6">
        <w:rPr>
          <w:rFonts w:ascii="Arial" w:eastAsia="Times New Roman" w:hAnsi="Arial" w:cs="Arial"/>
          <w:lang w:eastAsia="en-AU"/>
        </w:rPr>
        <w:t>.</w:t>
      </w:r>
      <w:r w:rsidR="00B04ADB" w:rsidRPr="00B04ADB">
        <w:rPr>
          <w:rFonts w:ascii="Arial" w:eastAsia="Times New Roman" w:hAnsi="Arial" w:cs="Arial"/>
          <w:lang w:eastAsia="en-AU"/>
        </w:rPr>
        <w:t xml:space="preserve"> </w:t>
      </w:r>
      <w:r w:rsidR="00813CE6">
        <w:rPr>
          <w:rFonts w:ascii="Arial" w:eastAsia="Times New Roman" w:hAnsi="Arial" w:cs="Arial"/>
          <w:lang w:eastAsia="en-AU"/>
        </w:rPr>
        <w:t>The</w:t>
      </w:r>
      <w:r w:rsidR="00B04ADB" w:rsidRPr="00B04ADB">
        <w:rPr>
          <w:rFonts w:ascii="Arial" w:eastAsia="Times New Roman" w:hAnsi="Arial" w:cs="Arial"/>
          <w:lang w:eastAsia="en-AU"/>
        </w:rPr>
        <w:t xml:space="preserve"> renewal decision </w:t>
      </w:r>
      <w:r w:rsidR="00480AA9">
        <w:rPr>
          <w:rFonts w:ascii="Arial" w:eastAsia="Times New Roman" w:hAnsi="Arial" w:cs="Arial"/>
          <w:lang w:eastAsia="en-AU"/>
        </w:rPr>
        <w:t xml:space="preserve">would </w:t>
      </w:r>
      <w:r w:rsidR="00813CE6">
        <w:rPr>
          <w:rFonts w:ascii="Arial" w:eastAsia="Times New Roman" w:hAnsi="Arial" w:cs="Arial"/>
          <w:lang w:eastAsia="en-AU"/>
        </w:rPr>
        <w:t>take</w:t>
      </w:r>
      <w:r w:rsidR="00B04ADB" w:rsidRPr="00B04ADB">
        <w:rPr>
          <w:rFonts w:ascii="Arial" w:eastAsia="Times New Roman" w:hAnsi="Arial" w:cs="Arial"/>
          <w:lang w:eastAsia="en-AU"/>
        </w:rPr>
        <w:t xml:space="preserve"> into account the operation of the assets (</w:t>
      </w:r>
      <w:r w:rsidR="001B1906" w:rsidRPr="00B04ADB">
        <w:rPr>
          <w:rFonts w:ascii="Arial" w:eastAsia="Times New Roman" w:hAnsi="Arial" w:cs="Arial"/>
          <w:lang w:eastAsia="en-AU"/>
        </w:rPr>
        <w:t>i.e.</w:t>
      </w:r>
      <w:r w:rsidR="00B04ADB" w:rsidRPr="00B04ADB">
        <w:rPr>
          <w:rFonts w:ascii="Arial" w:eastAsia="Times New Roman" w:hAnsi="Arial" w:cs="Arial"/>
          <w:lang w:eastAsia="en-AU"/>
        </w:rPr>
        <w:t xml:space="preserve"> in relation to contracts, maintenance schedules, equipment improvements and decommissioning plans). The Minister’s decision to renew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00B04ADB" w:rsidRPr="00B04ADB">
        <w:rPr>
          <w:rFonts w:ascii="Arial" w:eastAsia="Times New Roman" w:hAnsi="Arial" w:cs="Arial"/>
          <w:lang w:eastAsia="en-AU"/>
        </w:rPr>
        <w:t>provide an opportunity to consider the merit of continuing the operations and provide an opportunity to update licence conditions etc.</w:t>
      </w:r>
    </w:p>
    <w:p w:rsidR="00B04ADB" w:rsidRPr="002D5AC3" w:rsidRDefault="00B04ADB" w:rsidP="002D5AC3">
      <w:pPr>
        <w:spacing w:line="276" w:lineRule="auto"/>
        <w:rPr>
          <w:rFonts w:cs="Arial"/>
          <w:u w:val="single"/>
        </w:rPr>
      </w:pPr>
      <w:r w:rsidRPr="002D5AC3">
        <w:rPr>
          <w:rFonts w:ascii="Arial" w:hAnsi="Arial" w:cs="Arial"/>
          <w:u w:val="single"/>
        </w:rPr>
        <w:t>Pre-qualification</w:t>
      </w:r>
    </w:p>
    <w:p w:rsidR="00B04ADB" w:rsidRPr="00B04ADB" w:rsidRDefault="00B04ADB" w:rsidP="0057257B">
      <w:pPr>
        <w:spacing w:line="276" w:lineRule="auto"/>
        <w:rPr>
          <w:rFonts w:ascii="Arial" w:eastAsia="Times New Roman" w:hAnsi="Arial" w:cs="Arial"/>
          <w:i/>
          <w:lang w:eastAsia="en-AU"/>
        </w:rPr>
      </w:pPr>
      <w:r w:rsidRPr="00B04ADB">
        <w:rPr>
          <w:rFonts w:ascii="Arial" w:eastAsia="Times New Roman" w:hAnsi="Arial" w:cs="Arial"/>
          <w:lang w:eastAsia="en-AU"/>
        </w:rPr>
        <w:t>Policy presented: at the time of issuing the discussion paper, pre-qualification was expressed as a base threshold for participation in the regime and would include an assessment of a party’s technical and financial capability as well as consideration of past performance.</w:t>
      </w:r>
    </w:p>
    <w:p w:rsidR="00B04ADB" w:rsidRPr="00B04ADB" w:rsidRDefault="00B04ADB" w:rsidP="0057257B">
      <w:pPr>
        <w:spacing w:line="276" w:lineRule="auto"/>
        <w:rPr>
          <w:rFonts w:ascii="Arial" w:eastAsia="Times New Roman" w:hAnsi="Arial" w:cs="Arial"/>
          <w:lang w:eastAsia="en-AU"/>
        </w:rPr>
      </w:pPr>
      <w:r w:rsidRPr="002D5AC3">
        <w:rPr>
          <w:rFonts w:ascii="Arial" w:eastAsia="Times New Roman" w:hAnsi="Arial" w:cs="Arial"/>
          <w:b/>
          <w:lang w:eastAsia="en-AU"/>
        </w:rPr>
        <w:t xml:space="preserve">Feedback: </w:t>
      </w:r>
      <w:r w:rsidRPr="00B04ADB">
        <w:rPr>
          <w:rFonts w:ascii="Arial" w:hAnsi="Arial" w:cs="Arial"/>
        </w:rPr>
        <w:t>Submissions showed broad support for a pre-qualification process, however there were some concerns that pre-qualification thresholds if set too high, could limit participation of new or start-up companies and by doing so limit innovation.</w:t>
      </w:r>
    </w:p>
    <w:p w:rsidR="00B04ADB" w:rsidRPr="007E2007" w:rsidRDefault="007E2007" w:rsidP="0057257B">
      <w:pPr>
        <w:spacing w:line="276" w:lineRule="auto"/>
        <w:rPr>
          <w:rFonts w:ascii="Arial" w:eastAsia="Times New Roman" w:hAnsi="Arial" w:cs="Arial"/>
          <w:b/>
          <w:lang w:eastAsia="en-AU"/>
        </w:rPr>
      </w:pPr>
      <w:r>
        <w:rPr>
          <w:rFonts w:ascii="Arial" w:eastAsia="Times New Roman" w:hAnsi="Arial" w:cs="Arial"/>
          <w:b/>
          <w:lang w:eastAsia="en-AU"/>
        </w:rPr>
        <w:t>Outcome</w:t>
      </w:r>
      <w:r w:rsidR="00B04ADB" w:rsidRPr="007E2007">
        <w:rPr>
          <w:rFonts w:ascii="Arial" w:eastAsia="Times New Roman" w:hAnsi="Arial" w:cs="Arial"/>
          <w:b/>
          <w:lang w:eastAsia="en-AU"/>
        </w:rPr>
        <w:t>:</w:t>
      </w:r>
      <w:r>
        <w:rPr>
          <w:rFonts w:ascii="Arial" w:eastAsia="Times New Roman" w:hAnsi="Arial" w:cs="Arial"/>
          <w:b/>
          <w:lang w:eastAsia="en-AU"/>
        </w:rPr>
        <w:t xml:space="preserve"> </w:t>
      </w:r>
      <w:r w:rsidR="00813CE6">
        <w:rPr>
          <w:rFonts w:ascii="Arial" w:eastAsia="Times New Roman" w:hAnsi="Arial" w:cs="Arial"/>
          <w:lang w:eastAsia="en-AU"/>
        </w:rPr>
        <w:t>The</w:t>
      </w:r>
      <w:r w:rsidR="00CE6F62">
        <w:rPr>
          <w:rFonts w:ascii="Arial" w:eastAsia="Times New Roman" w:hAnsi="Arial" w:cs="Arial"/>
          <w:lang w:eastAsia="en-AU"/>
        </w:rPr>
        <w:t xml:space="preserv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sidR="00813CE6">
        <w:rPr>
          <w:rFonts w:ascii="Arial" w:eastAsia="Times New Roman" w:hAnsi="Arial" w:cs="Arial"/>
          <w:lang w:eastAsia="en-AU"/>
        </w:rPr>
        <w:t>considers</w:t>
      </w:r>
      <w:r w:rsidR="00B04ADB" w:rsidRPr="00B04ADB">
        <w:rPr>
          <w:rFonts w:ascii="Arial" w:eastAsia="Times New Roman" w:hAnsi="Arial" w:cs="Arial"/>
          <w:lang w:eastAsia="en-AU"/>
        </w:rPr>
        <w:t xml:space="preserve"> that this kind of threshold qualification process is most meaningful when a proponent’s qualifications can be tested against the requirements of a particular project. For this reason this assessment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00B04ADB" w:rsidRPr="00B04ADB">
        <w:rPr>
          <w:rFonts w:ascii="Arial" w:eastAsia="Times New Roman" w:hAnsi="Arial" w:cs="Arial"/>
          <w:lang w:eastAsia="en-AU"/>
        </w:rPr>
        <w:t xml:space="preserve">be best undertaken as part of the licence application process rather than as a standalone pre-qualification. In line with this, the working title for this assessment is now a </w:t>
      </w:r>
      <w:r w:rsidR="00480AA9">
        <w:rPr>
          <w:rFonts w:ascii="Arial" w:eastAsia="Times New Roman" w:hAnsi="Arial" w:cs="Arial"/>
          <w:lang w:eastAsia="en-AU"/>
        </w:rPr>
        <w:t>suitability</w:t>
      </w:r>
      <w:r w:rsidR="00B04ADB" w:rsidRPr="00B04ADB">
        <w:rPr>
          <w:rFonts w:ascii="Arial" w:eastAsia="Times New Roman" w:hAnsi="Arial" w:cs="Arial"/>
          <w:lang w:eastAsia="en-AU"/>
        </w:rPr>
        <w:t xml:space="preserve"> test, rather than pre-qualification.</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The </w:t>
      </w:r>
      <w:r w:rsidR="00480AA9">
        <w:rPr>
          <w:rFonts w:ascii="Arial" w:eastAsia="Times New Roman" w:hAnsi="Arial" w:cs="Arial"/>
          <w:lang w:eastAsia="en-AU"/>
        </w:rPr>
        <w:t>suitability</w:t>
      </w:r>
      <w:r w:rsidRPr="00B04ADB">
        <w:rPr>
          <w:rFonts w:ascii="Arial" w:eastAsia="Times New Roman" w:hAnsi="Arial" w:cs="Arial"/>
          <w:lang w:eastAsia="en-AU"/>
        </w:rPr>
        <w:t xml:space="preserve"> test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Pr="00B04ADB">
        <w:rPr>
          <w:rFonts w:ascii="Arial" w:eastAsia="Times New Roman" w:hAnsi="Arial" w:cs="Arial"/>
          <w:lang w:eastAsia="en-AU"/>
        </w:rPr>
        <w:t>also likely feature as part of the process to approve transfers of licences to ensure that entities taking over ongoing licences and/or operational assets have the required capabilities to maintain standards in line with the management plan.</w:t>
      </w:r>
      <w:r w:rsidRPr="00B04ADB">
        <w:rPr>
          <w:rFonts w:ascii="Arial" w:hAnsi="Arial" w:cs="Arial"/>
        </w:rPr>
        <w:t xml:space="preserve"> </w:t>
      </w:r>
    </w:p>
    <w:p w:rsidR="00B04ADB" w:rsidRPr="007E2007" w:rsidRDefault="00CE6F62" w:rsidP="0057257B">
      <w:pPr>
        <w:spacing w:line="276" w:lineRule="auto"/>
        <w:rPr>
          <w:rFonts w:ascii="Arial" w:eastAsia="Times New Roman" w:hAnsi="Arial" w:cs="Arial"/>
          <w:lang w:eastAsia="en-AU"/>
        </w:rPr>
      </w:pPr>
      <w:r>
        <w:rPr>
          <w:rFonts w:ascii="Arial" w:eastAsia="Times New Roman" w:hAnsi="Arial" w:cs="Arial"/>
          <w:lang w:eastAsia="en-AU"/>
        </w:rPr>
        <w:t xml:space="preserve">The </w:t>
      </w:r>
      <w:r w:rsidR="0075042D">
        <w:rPr>
          <w:rFonts w:ascii="Arial" w:eastAsia="Times New Roman" w:hAnsi="Arial" w:cs="Arial"/>
          <w:lang w:eastAsia="en-AU"/>
        </w:rPr>
        <w:t>department</w:t>
      </w:r>
      <w:r w:rsidR="0075042D" w:rsidRPr="00B04ADB">
        <w:rPr>
          <w:rFonts w:ascii="Arial" w:eastAsia="Times New Roman" w:hAnsi="Arial" w:cs="Arial"/>
          <w:lang w:eastAsia="en-AU"/>
        </w:rPr>
        <w:t xml:space="preserve"> </w:t>
      </w:r>
      <w:r>
        <w:rPr>
          <w:rFonts w:ascii="Arial" w:eastAsia="Times New Roman" w:hAnsi="Arial" w:cs="Arial"/>
          <w:lang w:eastAsia="en-AU"/>
        </w:rPr>
        <w:t>is</w:t>
      </w:r>
      <w:r w:rsidRPr="00B04ADB">
        <w:rPr>
          <w:rFonts w:ascii="Arial" w:eastAsia="Times New Roman" w:hAnsi="Arial" w:cs="Arial"/>
          <w:lang w:eastAsia="en-AU"/>
        </w:rPr>
        <w:t xml:space="preserve"> </w:t>
      </w:r>
      <w:r w:rsidR="00B04ADB" w:rsidRPr="00B04ADB">
        <w:rPr>
          <w:rFonts w:ascii="Arial" w:eastAsia="Times New Roman" w:hAnsi="Arial" w:cs="Arial"/>
          <w:lang w:eastAsia="en-AU"/>
        </w:rPr>
        <w:t>continuing to mature and finesse the policy around the fit-and-proper test and working with NOPTA to draw on their experience from the petroleum industry.</w:t>
      </w:r>
    </w:p>
    <w:p w:rsidR="00B04ADB" w:rsidRPr="002D5AC3" w:rsidRDefault="00B04ADB" w:rsidP="002D5AC3">
      <w:pPr>
        <w:spacing w:line="276" w:lineRule="auto"/>
        <w:rPr>
          <w:rFonts w:cs="Arial"/>
          <w:u w:val="single"/>
        </w:rPr>
      </w:pPr>
      <w:r w:rsidRPr="002D5AC3">
        <w:rPr>
          <w:rFonts w:ascii="Arial" w:hAnsi="Arial" w:cs="Arial"/>
          <w:u w:val="single"/>
        </w:rPr>
        <w:t>Work health safety (WHS)</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Policy presented: As the discussion paper was silent on what WHS provisions would be applied, several stakeholders made assumptions that the provisions from the </w:t>
      </w:r>
      <w:r w:rsidRPr="00C22764">
        <w:rPr>
          <w:rFonts w:ascii="Arial" w:eastAsia="Times New Roman" w:hAnsi="Arial" w:cs="Arial"/>
          <w:i/>
          <w:lang w:eastAsia="en-AU"/>
        </w:rPr>
        <w:t xml:space="preserve">Offshore Petroleum and Greenhouse Gas Storage Act 2006 </w:t>
      </w:r>
      <w:r w:rsidRPr="00B04ADB">
        <w:rPr>
          <w:rFonts w:ascii="Arial" w:eastAsia="Times New Roman" w:hAnsi="Arial" w:cs="Arial"/>
          <w:lang w:eastAsia="en-AU"/>
        </w:rPr>
        <w:t xml:space="preserve">(OPGGS Act) would apply. </w:t>
      </w:r>
    </w:p>
    <w:p w:rsidR="00B04ADB" w:rsidRPr="00B04ADB" w:rsidRDefault="00B04ADB" w:rsidP="0057257B">
      <w:pPr>
        <w:spacing w:line="276" w:lineRule="auto"/>
        <w:rPr>
          <w:rFonts w:ascii="Arial" w:eastAsia="Times New Roman" w:hAnsi="Arial" w:cs="Arial"/>
          <w:lang w:eastAsia="en-AU"/>
        </w:rPr>
      </w:pPr>
      <w:r w:rsidRPr="002D5AC3">
        <w:rPr>
          <w:rFonts w:ascii="Arial" w:eastAsia="Times New Roman" w:hAnsi="Arial" w:cs="Arial"/>
          <w:b/>
          <w:lang w:eastAsia="en-AU"/>
        </w:rPr>
        <w:t>Feedback:</w:t>
      </w:r>
      <w:r w:rsidR="00831F9B">
        <w:rPr>
          <w:rFonts w:ascii="Arial" w:eastAsia="Times New Roman" w:hAnsi="Arial" w:cs="Arial"/>
          <w:b/>
          <w:lang w:eastAsia="en-AU"/>
        </w:rPr>
        <w:t xml:space="preserve"> </w:t>
      </w:r>
      <w:r w:rsidRPr="00B04ADB">
        <w:rPr>
          <w:rFonts w:ascii="Arial" w:eastAsia="Times New Roman" w:hAnsi="Arial" w:cs="Arial"/>
          <w:lang w:eastAsia="en-AU"/>
        </w:rPr>
        <w:t xml:space="preserve">There was some support for extending the objective-based principles of the OPGGS Act to the regulation of health and safety for offshore </w:t>
      </w:r>
      <w:r w:rsidR="00E11CD2">
        <w:rPr>
          <w:rFonts w:ascii="Arial" w:eastAsia="Times New Roman" w:hAnsi="Arial" w:cs="Arial"/>
          <w:lang w:eastAsia="en-AU"/>
        </w:rPr>
        <w:t>electricity infrastructure</w:t>
      </w:r>
      <w:r w:rsidRPr="00B04ADB">
        <w:rPr>
          <w:rFonts w:ascii="Arial" w:eastAsia="Times New Roman" w:hAnsi="Arial" w:cs="Arial"/>
          <w:lang w:eastAsia="en-AU"/>
        </w:rPr>
        <w:t xml:space="preserve"> activities in Australia.</w:t>
      </w:r>
    </w:p>
    <w:p w:rsidR="00B04ADB" w:rsidRPr="00B04ADB" w:rsidRDefault="007E2007" w:rsidP="0057257B">
      <w:pPr>
        <w:spacing w:line="276" w:lineRule="auto"/>
        <w:rPr>
          <w:rFonts w:ascii="Arial" w:eastAsia="Times New Roman" w:hAnsi="Arial" w:cs="Arial"/>
          <w:lang w:eastAsia="en-AU"/>
        </w:rPr>
      </w:pPr>
      <w:r>
        <w:rPr>
          <w:rFonts w:ascii="Arial" w:eastAsia="Times New Roman" w:hAnsi="Arial" w:cs="Arial"/>
          <w:lang w:eastAsia="en-AU"/>
        </w:rPr>
        <w:t xml:space="preserve">Other parties </w:t>
      </w:r>
      <w:r w:rsidR="00B04ADB" w:rsidRPr="00B04ADB">
        <w:rPr>
          <w:rFonts w:ascii="Arial" w:eastAsia="Times New Roman" w:hAnsi="Arial" w:cs="Arial"/>
          <w:lang w:eastAsia="en-AU"/>
        </w:rPr>
        <w:t>suggested that it would be preferable to apply the model WHS legislation and provided detailed advice about the potential risks that can arise in this space, including in relation to disapplication of maritime safety legislation.</w:t>
      </w:r>
    </w:p>
    <w:p w:rsidR="00B04ADB" w:rsidRPr="007E2007" w:rsidRDefault="007E2007" w:rsidP="0057257B">
      <w:pPr>
        <w:spacing w:line="276" w:lineRule="auto"/>
        <w:rPr>
          <w:rFonts w:ascii="Arial" w:eastAsia="Times New Roman" w:hAnsi="Arial" w:cs="Arial"/>
          <w:lang w:eastAsia="en-AU"/>
        </w:rPr>
      </w:pPr>
      <w:r w:rsidRPr="007E2007">
        <w:rPr>
          <w:rFonts w:ascii="Arial" w:eastAsia="Times New Roman" w:hAnsi="Arial" w:cs="Arial"/>
          <w:b/>
          <w:lang w:eastAsia="en-AU"/>
        </w:rPr>
        <w:t>Outcome</w:t>
      </w:r>
      <w:r w:rsidR="00B04ADB" w:rsidRPr="00B04ADB">
        <w:rPr>
          <w:rFonts w:ascii="Arial" w:eastAsia="Times New Roman" w:hAnsi="Arial" w:cs="Arial"/>
          <w:lang w:eastAsia="en-AU"/>
        </w:rPr>
        <w:t>:</w:t>
      </w:r>
      <w:r>
        <w:rPr>
          <w:rFonts w:ascii="Arial" w:eastAsia="Times New Roman" w:hAnsi="Arial" w:cs="Arial"/>
          <w:lang w:eastAsia="en-AU"/>
        </w:rPr>
        <w:t xml:space="preserve"> </w:t>
      </w:r>
      <w:r w:rsidR="00800CEC" w:rsidRPr="00800CEC">
        <w:rPr>
          <w:rFonts w:eastAsia="Arial" w:cs="Arial"/>
          <w:szCs w:val="20"/>
        </w:rPr>
        <w:t xml:space="preserve"> </w:t>
      </w:r>
      <w:r w:rsidR="00800CEC">
        <w:rPr>
          <w:rFonts w:ascii="Arial" w:eastAsia="Times New Roman" w:hAnsi="Arial" w:cs="Arial"/>
          <w:lang w:eastAsia="en-AU"/>
        </w:rPr>
        <w:t xml:space="preserve">The </w:t>
      </w:r>
      <w:r w:rsidR="00EA3ECD">
        <w:rPr>
          <w:rFonts w:ascii="Arial" w:eastAsia="Times New Roman" w:hAnsi="Arial" w:cs="Arial"/>
          <w:lang w:eastAsia="en-AU"/>
        </w:rPr>
        <w:t>regulatory framework proposes</w:t>
      </w:r>
      <w:r w:rsidR="00800CEC">
        <w:rPr>
          <w:rFonts w:ascii="Arial" w:eastAsia="Times New Roman" w:hAnsi="Arial" w:cs="Arial"/>
          <w:lang w:eastAsia="en-AU"/>
        </w:rPr>
        <w:t xml:space="preserve"> d</w:t>
      </w:r>
      <w:r w:rsidR="00800CEC" w:rsidRPr="002D5AC3">
        <w:rPr>
          <w:rFonts w:ascii="Arial" w:eastAsia="Times New Roman" w:hAnsi="Arial" w:cs="Arial"/>
          <w:lang w:eastAsia="en-AU"/>
        </w:rPr>
        <w:t>evelop</w:t>
      </w:r>
      <w:r w:rsidR="00EA3ECD">
        <w:rPr>
          <w:rFonts w:ascii="Arial" w:eastAsia="Times New Roman" w:hAnsi="Arial" w:cs="Arial"/>
          <w:lang w:eastAsia="en-AU"/>
        </w:rPr>
        <w:t>ing</w:t>
      </w:r>
      <w:r w:rsidR="00800CEC" w:rsidRPr="002D5AC3">
        <w:rPr>
          <w:rFonts w:ascii="Arial" w:eastAsia="Times New Roman" w:hAnsi="Arial" w:cs="Arial"/>
          <w:lang w:eastAsia="en-AU"/>
        </w:rPr>
        <w:t xml:space="preserve"> an industry specific </w:t>
      </w:r>
      <w:r w:rsidR="00EA3ECD">
        <w:rPr>
          <w:rFonts w:ascii="Arial" w:eastAsia="Times New Roman" w:hAnsi="Arial" w:cs="Arial"/>
          <w:lang w:eastAsia="en-AU"/>
        </w:rPr>
        <w:t xml:space="preserve">WHS </w:t>
      </w:r>
      <w:r w:rsidR="00800CEC" w:rsidRPr="002D5AC3">
        <w:rPr>
          <w:rFonts w:ascii="Arial" w:eastAsia="Times New Roman" w:hAnsi="Arial" w:cs="Arial"/>
          <w:lang w:eastAsia="en-AU"/>
        </w:rPr>
        <w:t xml:space="preserve">regime </w:t>
      </w:r>
      <w:r w:rsidR="00EA3ECD">
        <w:rPr>
          <w:rFonts w:ascii="Arial" w:eastAsia="Times New Roman" w:hAnsi="Arial" w:cs="Arial"/>
          <w:lang w:eastAsia="en-AU"/>
        </w:rPr>
        <w:t xml:space="preserve">drawing on the </w:t>
      </w:r>
      <w:r w:rsidR="00800CEC" w:rsidRPr="002D5AC3">
        <w:rPr>
          <w:rFonts w:ascii="Arial" w:eastAsia="Times New Roman" w:hAnsi="Arial" w:cs="Arial"/>
          <w:lang w:eastAsia="en-AU"/>
        </w:rPr>
        <w:t>model WHS laws</w:t>
      </w:r>
      <w:r w:rsidR="00EA3ECD">
        <w:rPr>
          <w:rFonts w:ascii="Arial" w:eastAsia="Times New Roman" w:hAnsi="Arial" w:cs="Arial"/>
          <w:lang w:eastAsia="en-AU"/>
        </w:rPr>
        <w:t>.</w:t>
      </w:r>
      <w:r w:rsidR="00800CEC" w:rsidRPr="002D5AC3">
        <w:rPr>
          <w:rFonts w:ascii="Arial" w:eastAsia="Times New Roman" w:hAnsi="Arial" w:cs="Arial"/>
          <w:lang w:eastAsia="en-AU"/>
        </w:rPr>
        <w:t xml:space="preserve"> </w:t>
      </w:r>
      <w:r w:rsidR="00EA3ECD">
        <w:rPr>
          <w:rFonts w:ascii="Arial" w:eastAsia="Times New Roman" w:hAnsi="Arial" w:cs="Arial"/>
          <w:lang w:eastAsia="en-AU"/>
        </w:rPr>
        <w:t xml:space="preserve">Where the model WHS do </w:t>
      </w:r>
      <w:r w:rsidR="006C37E5">
        <w:rPr>
          <w:rFonts w:ascii="Arial" w:eastAsia="Times New Roman" w:hAnsi="Arial" w:cs="Arial"/>
          <w:lang w:eastAsia="en-AU"/>
        </w:rPr>
        <w:t xml:space="preserve">not </w:t>
      </w:r>
      <w:r w:rsidR="00EA3ECD">
        <w:rPr>
          <w:rFonts w:ascii="Arial" w:eastAsia="Times New Roman" w:hAnsi="Arial" w:cs="Arial"/>
          <w:lang w:eastAsia="en-AU"/>
        </w:rPr>
        <w:t xml:space="preserve">sufficiently cover an activity, </w:t>
      </w:r>
      <w:r w:rsidR="00EA3ECD" w:rsidRPr="004B5B17">
        <w:rPr>
          <w:rFonts w:ascii="Arial" w:hAnsi="Arial" w:cs="Arial"/>
        </w:rPr>
        <w:t xml:space="preserve">modifications or new provisions </w:t>
      </w:r>
      <w:r w:rsidR="00480AA9">
        <w:rPr>
          <w:rFonts w:ascii="Arial" w:hAnsi="Arial" w:cs="Arial"/>
        </w:rPr>
        <w:t xml:space="preserve">would </w:t>
      </w:r>
      <w:r w:rsidR="006C37E5">
        <w:rPr>
          <w:rFonts w:ascii="Arial" w:hAnsi="Arial" w:cs="Arial"/>
        </w:rPr>
        <w:t xml:space="preserve">be </w:t>
      </w:r>
      <w:r w:rsidR="00EA3ECD" w:rsidRPr="004B5B17">
        <w:rPr>
          <w:rFonts w:ascii="Arial" w:hAnsi="Arial" w:cs="Arial"/>
        </w:rPr>
        <w:t xml:space="preserve">drafted as </w:t>
      </w:r>
      <w:r w:rsidR="004F16A9">
        <w:rPr>
          <w:rFonts w:ascii="Arial" w:hAnsi="Arial" w:cs="Arial"/>
        </w:rPr>
        <w:t>required</w:t>
      </w:r>
      <w:r w:rsidR="00EA3ECD" w:rsidRPr="004B5B17">
        <w:rPr>
          <w:rFonts w:ascii="Arial" w:hAnsi="Arial" w:cs="Arial"/>
        </w:rPr>
        <w:t xml:space="preserve">. </w:t>
      </w:r>
    </w:p>
    <w:p w:rsidR="00B04ADB" w:rsidRPr="002D5AC3" w:rsidRDefault="00B04ADB" w:rsidP="002D5AC3">
      <w:pPr>
        <w:spacing w:line="276" w:lineRule="auto"/>
        <w:rPr>
          <w:rFonts w:cs="Arial"/>
          <w:u w:val="single"/>
        </w:rPr>
      </w:pPr>
      <w:r w:rsidRPr="002D5AC3">
        <w:rPr>
          <w:rFonts w:ascii="Arial" w:hAnsi="Arial" w:cs="Arial"/>
          <w:u w:val="single"/>
        </w:rPr>
        <w:t xml:space="preserve">NOPSEMA as the offshore </w:t>
      </w:r>
      <w:r w:rsidR="00C26C9C">
        <w:rPr>
          <w:rFonts w:ascii="Arial" w:hAnsi="Arial" w:cs="Arial"/>
          <w:u w:val="single"/>
        </w:rPr>
        <w:t>electricity</w:t>
      </w:r>
      <w:r w:rsidR="00C26C9C" w:rsidRPr="002D5AC3">
        <w:rPr>
          <w:rFonts w:ascii="Arial" w:hAnsi="Arial" w:cs="Arial"/>
          <w:u w:val="single"/>
        </w:rPr>
        <w:t xml:space="preserve"> </w:t>
      </w:r>
      <w:r w:rsidRPr="002D5AC3">
        <w:rPr>
          <w:rFonts w:ascii="Arial" w:hAnsi="Arial" w:cs="Arial"/>
          <w:u w:val="single"/>
        </w:rPr>
        <w:t>regulator</w:t>
      </w:r>
    </w:p>
    <w:p w:rsidR="00B04ADB" w:rsidRPr="007E2007"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Policy presented: The offshore </w:t>
      </w:r>
      <w:r w:rsidR="00C26C9C">
        <w:rPr>
          <w:rFonts w:ascii="Arial" w:eastAsia="Times New Roman" w:hAnsi="Arial" w:cs="Arial"/>
          <w:lang w:eastAsia="en-AU"/>
        </w:rPr>
        <w:t>electricity</w:t>
      </w:r>
      <w:r w:rsidR="00C26C9C" w:rsidRPr="00B04ADB">
        <w:rPr>
          <w:rFonts w:ascii="Arial" w:eastAsia="Times New Roman" w:hAnsi="Arial" w:cs="Arial"/>
          <w:lang w:eastAsia="en-AU"/>
        </w:rPr>
        <w:t xml:space="preserve"> </w:t>
      </w:r>
      <w:r w:rsidRPr="00B04ADB">
        <w:rPr>
          <w:rFonts w:ascii="Arial" w:eastAsia="Times New Roman" w:hAnsi="Arial" w:cs="Arial"/>
          <w:lang w:eastAsia="en-AU"/>
        </w:rPr>
        <w:t xml:space="preserve">regulator </w:t>
      </w:r>
      <w:r w:rsidR="00480AA9">
        <w:rPr>
          <w:rFonts w:ascii="Arial" w:eastAsia="Times New Roman" w:hAnsi="Arial" w:cs="Arial"/>
          <w:lang w:eastAsia="en-AU"/>
        </w:rPr>
        <w:t>would</w:t>
      </w:r>
      <w:r w:rsidR="00480AA9" w:rsidRPr="00B04ADB">
        <w:rPr>
          <w:rFonts w:ascii="Arial" w:eastAsia="Times New Roman" w:hAnsi="Arial" w:cs="Arial"/>
          <w:lang w:eastAsia="en-AU"/>
        </w:rPr>
        <w:t xml:space="preserve"> </w:t>
      </w:r>
      <w:r w:rsidRPr="00B04ADB">
        <w:rPr>
          <w:rFonts w:ascii="Arial" w:eastAsia="Times New Roman" w:hAnsi="Arial" w:cs="Arial"/>
          <w:lang w:eastAsia="en-AU"/>
        </w:rPr>
        <w:t xml:space="preserve">be responsible for overseeing health and safety, structural integrity and environmental management compliance for offshore </w:t>
      </w:r>
      <w:r w:rsidR="00736857">
        <w:rPr>
          <w:rFonts w:ascii="Arial" w:eastAsia="Times New Roman" w:hAnsi="Arial" w:cs="Arial"/>
          <w:lang w:eastAsia="en-AU"/>
        </w:rPr>
        <w:t>electricity infrastructure</w:t>
      </w:r>
      <w:r w:rsidRPr="00B04ADB">
        <w:rPr>
          <w:rFonts w:ascii="Arial" w:eastAsia="Times New Roman" w:hAnsi="Arial" w:cs="Arial"/>
          <w:lang w:eastAsia="en-AU"/>
        </w:rPr>
        <w:t xml:space="preserve"> activities. The discussion paper proposed that this role be fulfilled by NOPSEMA.</w:t>
      </w:r>
    </w:p>
    <w:p w:rsidR="00B04ADB" w:rsidRPr="00B04ADB" w:rsidRDefault="00B04ADB" w:rsidP="0057257B">
      <w:pPr>
        <w:spacing w:line="276" w:lineRule="auto"/>
        <w:rPr>
          <w:rFonts w:ascii="Arial" w:eastAsia="Times New Roman" w:hAnsi="Arial" w:cs="Arial"/>
          <w:lang w:eastAsia="en-AU"/>
        </w:rPr>
      </w:pPr>
      <w:r w:rsidRPr="002D5AC3">
        <w:rPr>
          <w:rFonts w:ascii="Arial" w:eastAsia="Times New Roman" w:hAnsi="Arial" w:cs="Arial"/>
          <w:b/>
          <w:lang w:eastAsia="en-AU"/>
        </w:rPr>
        <w:t xml:space="preserve">Feedback: </w:t>
      </w:r>
      <w:r w:rsidRPr="00B04ADB">
        <w:rPr>
          <w:rFonts w:ascii="Arial" w:eastAsia="Times New Roman" w:hAnsi="Arial" w:cs="Arial"/>
          <w:lang w:eastAsia="en-AU"/>
        </w:rPr>
        <w:t xml:space="preserve">Many stakeholders supported NOPSEMA as the regulator for offshore </w:t>
      </w:r>
      <w:r w:rsidR="00736857">
        <w:rPr>
          <w:rFonts w:ascii="Arial" w:eastAsia="Times New Roman" w:hAnsi="Arial" w:cs="Arial"/>
          <w:lang w:eastAsia="en-AU"/>
        </w:rPr>
        <w:t>electricity</w:t>
      </w:r>
      <w:r w:rsidRPr="00B04ADB">
        <w:rPr>
          <w:rFonts w:ascii="Arial" w:eastAsia="Times New Roman" w:hAnsi="Arial" w:cs="Arial"/>
          <w:lang w:eastAsia="en-AU"/>
        </w:rPr>
        <w:t xml:space="preserve"> sector, based on their technical expertise and experience in regulating activities in the offshore environment. A key benefit noted was the ability to undertake the work without the costs and time delay associated with establishing a new regulator with similar functions to an existing independent body. </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Some stakeholders highlighted the need for specialist skills specific to the renewable energy sector and that the regulator will need to recognise and understand the differences between the offshore petroleum and offshore </w:t>
      </w:r>
      <w:r w:rsidR="00C26C9C">
        <w:rPr>
          <w:rFonts w:ascii="Arial" w:eastAsia="Times New Roman" w:hAnsi="Arial" w:cs="Arial"/>
          <w:lang w:eastAsia="en-AU"/>
        </w:rPr>
        <w:t>renewable</w:t>
      </w:r>
      <w:r w:rsidR="00C26C9C" w:rsidRPr="00B04ADB">
        <w:rPr>
          <w:rFonts w:ascii="Arial" w:eastAsia="Times New Roman" w:hAnsi="Arial" w:cs="Arial"/>
          <w:lang w:eastAsia="en-AU"/>
        </w:rPr>
        <w:t xml:space="preserve"> </w:t>
      </w:r>
      <w:r w:rsidRPr="00B04ADB">
        <w:rPr>
          <w:rFonts w:ascii="Arial" w:eastAsia="Times New Roman" w:hAnsi="Arial" w:cs="Arial"/>
          <w:lang w:eastAsia="en-AU"/>
        </w:rPr>
        <w:t xml:space="preserve">energy industries. </w:t>
      </w:r>
    </w:p>
    <w:p w:rsidR="00B04ADB" w:rsidRPr="00B04ADB" w:rsidRDefault="00B04ADB" w:rsidP="0057257B">
      <w:pPr>
        <w:spacing w:line="276" w:lineRule="auto"/>
        <w:rPr>
          <w:rFonts w:ascii="Arial" w:eastAsia="Times New Roman" w:hAnsi="Arial" w:cs="Arial"/>
          <w:lang w:eastAsia="en-AU"/>
        </w:rPr>
      </w:pPr>
      <w:r w:rsidRPr="00B04ADB">
        <w:rPr>
          <w:rFonts w:ascii="Arial" w:eastAsia="Times New Roman" w:hAnsi="Arial" w:cs="Arial"/>
          <w:lang w:eastAsia="en-AU"/>
        </w:rPr>
        <w:t xml:space="preserve">Conversely, some stakeholders did not support NOPSEMA as the regulator based on a perceived conflict of interest in regulating competing industries as well as a misconception that NOPSEMA would have a role in regulating the broader electricity grid. </w:t>
      </w:r>
    </w:p>
    <w:p w:rsidR="00B04ADB" w:rsidRPr="007E2007" w:rsidRDefault="007E2007" w:rsidP="00147019">
      <w:pPr>
        <w:spacing w:line="276" w:lineRule="auto"/>
        <w:rPr>
          <w:rFonts w:ascii="Arial" w:eastAsia="Times New Roman" w:hAnsi="Arial" w:cs="Arial"/>
          <w:lang w:eastAsia="en-AU"/>
        </w:rPr>
      </w:pPr>
      <w:r w:rsidRPr="007E2007">
        <w:rPr>
          <w:rFonts w:ascii="Arial" w:eastAsia="Times New Roman" w:hAnsi="Arial" w:cs="Arial"/>
          <w:b/>
          <w:lang w:eastAsia="en-AU"/>
        </w:rPr>
        <w:t>Outcome</w:t>
      </w:r>
      <w:r w:rsidR="00B04ADB" w:rsidRPr="00B04ADB">
        <w:rPr>
          <w:rFonts w:ascii="Arial" w:eastAsia="Times New Roman" w:hAnsi="Arial" w:cs="Arial"/>
          <w:lang w:eastAsia="en-AU"/>
        </w:rPr>
        <w:t>:</w:t>
      </w:r>
      <w:r>
        <w:rPr>
          <w:rFonts w:ascii="Arial" w:eastAsia="Times New Roman" w:hAnsi="Arial" w:cs="Arial"/>
          <w:lang w:eastAsia="en-AU"/>
        </w:rPr>
        <w:t xml:space="preserve"> </w:t>
      </w:r>
      <w:r w:rsidR="00B04ADB" w:rsidRPr="00B04ADB">
        <w:rPr>
          <w:rFonts w:ascii="Arial" w:eastAsia="Times New Roman" w:hAnsi="Arial" w:cs="Arial"/>
          <w:lang w:eastAsia="en-AU"/>
        </w:rPr>
        <w:t xml:space="preserve">No change. Noting there was a mix of views on this topic, the matters raised were generally not related to the competency of NOPSEMA as a regulator, but to specific issues around jurisdictional complexity, electrical regulation and the potential need for upskilling. The </w:t>
      </w:r>
      <w:r w:rsidR="0009546F">
        <w:rPr>
          <w:rFonts w:ascii="Arial" w:eastAsia="Times New Roman" w:hAnsi="Arial" w:cs="Arial"/>
          <w:lang w:eastAsia="en-AU"/>
        </w:rPr>
        <w:t>d</w:t>
      </w:r>
      <w:r w:rsidR="00B04ADB" w:rsidRPr="00B04ADB">
        <w:rPr>
          <w:rFonts w:ascii="Arial" w:eastAsia="Times New Roman" w:hAnsi="Arial" w:cs="Arial"/>
          <w:lang w:eastAsia="en-AU"/>
        </w:rPr>
        <w:t>epartment maintains its view that i</w:t>
      </w:r>
      <w:r w:rsidR="00B04ADB" w:rsidRPr="00B04ADB">
        <w:rPr>
          <w:rFonts w:ascii="Arial" w:hAnsi="Arial" w:cs="Arial"/>
        </w:rPr>
        <w:t>nstalling NOPSEMA as the regulator is the most viable option and would avoid unnecessary duplication of functions and offer continuity in the regulation of offshore industries</w:t>
      </w:r>
      <w:r w:rsidR="00B04ADB" w:rsidRPr="00BF338A">
        <w:rPr>
          <w:rFonts w:ascii="Arial" w:hAnsi="Arial" w:cs="Arial"/>
        </w:rPr>
        <w:t xml:space="preserve">. </w:t>
      </w:r>
      <w:r w:rsidR="00CE6F62">
        <w:rPr>
          <w:rFonts w:ascii="Arial" w:hAnsi="Arial" w:cs="Arial"/>
        </w:rPr>
        <w:t xml:space="preserve">The </w:t>
      </w:r>
      <w:r w:rsidR="0009546F">
        <w:rPr>
          <w:rFonts w:ascii="Arial" w:hAnsi="Arial" w:cs="Arial"/>
        </w:rPr>
        <w:t>d</w:t>
      </w:r>
      <w:r w:rsidR="00CE6F62">
        <w:rPr>
          <w:rFonts w:ascii="Arial" w:hAnsi="Arial" w:cs="Arial"/>
        </w:rPr>
        <w:t>epartment</w:t>
      </w:r>
      <w:r w:rsidR="00B04ADB" w:rsidRPr="00BF338A">
        <w:rPr>
          <w:rFonts w:ascii="Arial" w:hAnsi="Arial" w:cs="Arial"/>
        </w:rPr>
        <w:t xml:space="preserve"> note</w:t>
      </w:r>
      <w:r w:rsidR="00CE6F62">
        <w:rPr>
          <w:rFonts w:ascii="Arial" w:hAnsi="Arial" w:cs="Arial"/>
        </w:rPr>
        <w:t>s</w:t>
      </w:r>
      <w:r w:rsidR="00B04ADB" w:rsidRPr="00BF338A">
        <w:rPr>
          <w:rFonts w:ascii="Arial" w:hAnsi="Arial" w:cs="Arial"/>
        </w:rPr>
        <w:t xml:space="preserve"> that overseas, offshore petroleum regulators are also taking on the responsibility for regulating offshore wind farms.</w:t>
      </w:r>
    </w:p>
    <w:p w:rsidR="00B04ADB" w:rsidRPr="00B04ADB" w:rsidRDefault="00B04ADB" w:rsidP="00147019">
      <w:pPr>
        <w:spacing w:line="276" w:lineRule="auto"/>
        <w:rPr>
          <w:rFonts w:ascii="Arial" w:hAnsi="Arial" w:cs="Arial"/>
          <w:b/>
          <w:i/>
        </w:rPr>
      </w:pPr>
      <w:r w:rsidRPr="00B04ADB">
        <w:rPr>
          <w:rFonts w:ascii="Arial" w:hAnsi="Arial" w:cs="Arial"/>
          <w:b/>
          <w:i/>
        </w:rPr>
        <w:t>Other matters raised</w:t>
      </w:r>
    </w:p>
    <w:p w:rsidR="00B04ADB" w:rsidRPr="002D5AC3" w:rsidRDefault="00B04ADB" w:rsidP="002D5AC3">
      <w:pPr>
        <w:spacing w:line="276" w:lineRule="auto"/>
        <w:rPr>
          <w:rFonts w:cs="Arial"/>
          <w:u w:val="single"/>
        </w:rPr>
      </w:pPr>
      <w:r w:rsidRPr="002D5AC3">
        <w:rPr>
          <w:rFonts w:ascii="Arial" w:hAnsi="Arial" w:cs="Arial"/>
          <w:u w:val="single"/>
        </w:rPr>
        <w:t>Application processes and assessment criteria</w:t>
      </w:r>
    </w:p>
    <w:p w:rsidR="00B04ADB" w:rsidRPr="00B04ADB" w:rsidRDefault="00B04ADB" w:rsidP="00E47E7A">
      <w:pPr>
        <w:spacing w:line="276" w:lineRule="auto"/>
        <w:rPr>
          <w:rFonts w:ascii="Arial" w:hAnsi="Arial" w:cs="Arial"/>
        </w:rPr>
      </w:pPr>
      <w:r w:rsidRPr="00B04ADB">
        <w:rPr>
          <w:rFonts w:ascii="Arial" w:hAnsi="Arial" w:cs="Arial"/>
        </w:rPr>
        <w:t xml:space="preserve">Many stakeholders highlighted the importance of having clear guidance around application processes and assessment criteria. There was a mix of ideas presented about competitive assessment process and subsequent criteria, but there was broad support for a merit-based process that considers social, environmental and economic factors. </w:t>
      </w:r>
    </w:p>
    <w:p w:rsidR="00B04ADB" w:rsidRPr="00B04ADB" w:rsidRDefault="00B04ADB" w:rsidP="00E47E7A">
      <w:pPr>
        <w:spacing w:line="276" w:lineRule="auto"/>
        <w:rPr>
          <w:rFonts w:ascii="Arial" w:hAnsi="Arial" w:cs="Arial"/>
        </w:rPr>
      </w:pPr>
      <w:r w:rsidRPr="00B04ADB">
        <w:rPr>
          <w:rFonts w:ascii="Arial" w:hAnsi="Arial" w:cs="Arial"/>
        </w:rPr>
        <w:t xml:space="preserve">While high-level merit criteria and application pathways </w:t>
      </w:r>
      <w:r w:rsidR="00981CB2">
        <w:rPr>
          <w:rFonts w:ascii="Arial" w:hAnsi="Arial" w:cs="Arial"/>
        </w:rPr>
        <w:t xml:space="preserve">is proposed to </w:t>
      </w:r>
      <w:r w:rsidRPr="00B04ADB">
        <w:rPr>
          <w:rFonts w:ascii="Arial" w:hAnsi="Arial" w:cs="Arial"/>
        </w:rPr>
        <w:t>be included in the bill, the detail around application assessment criteria is flexible and able to be set at the time of inviting applications.</w:t>
      </w:r>
    </w:p>
    <w:p w:rsidR="00B04ADB" w:rsidRPr="00B04ADB" w:rsidRDefault="00CE6F62" w:rsidP="0057257B">
      <w:pPr>
        <w:spacing w:line="276" w:lineRule="auto"/>
        <w:rPr>
          <w:rFonts w:ascii="Arial" w:hAnsi="Arial" w:cs="Arial"/>
        </w:rPr>
      </w:pPr>
      <w:r>
        <w:rPr>
          <w:rFonts w:ascii="Arial" w:hAnsi="Arial" w:cs="Arial"/>
        </w:rPr>
        <w:t xml:space="preserve">The </w:t>
      </w:r>
      <w:r w:rsidR="0009546F">
        <w:rPr>
          <w:rFonts w:ascii="Arial" w:hAnsi="Arial" w:cs="Arial"/>
        </w:rPr>
        <w:t>d</w:t>
      </w:r>
      <w:r>
        <w:rPr>
          <w:rFonts w:ascii="Arial" w:hAnsi="Arial" w:cs="Arial"/>
        </w:rPr>
        <w:t>epartment</w:t>
      </w:r>
      <w:r w:rsidR="00B04ADB" w:rsidRPr="00B04ADB">
        <w:rPr>
          <w:rFonts w:ascii="Arial" w:hAnsi="Arial" w:cs="Arial"/>
        </w:rPr>
        <w:t xml:space="preserve"> intend</w:t>
      </w:r>
      <w:r>
        <w:rPr>
          <w:rFonts w:ascii="Arial" w:hAnsi="Arial" w:cs="Arial"/>
        </w:rPr>
        <w:t>s</w:t>
      </w:r>
      <w:r w:rsidR="00B04ADB" w:rsidRPr="00B04ADB">
        <w:rPr>
          <w:rFonts w:ascii="Arial" w:hAnsi="Arial" w:cs="Arial"/>
        </w:rPr>
        <w:t xml:space="preserve"> to work with industry to scope reasonable application requirements and assessment criteria in 2021.</w:t>
      </w:r>
    </w:p>
    <w:p w:rsidR="00B04ADB" w:rsidRPr="002D5AC3" w:rsidRDefault="00B04ADB" w:rsidP="002D5AC3">
      <w:pPr>
        <w:spacing w:line="276" w:lineRule="auto"/>
        <w:rPr>
          <w:rFonts w:cs="Arial"/>
          <w:u w:val="single"/>
        </w:rPr>
      </w:pPr>
      <w:r w:rsidRPr="002D5AC3">
        <w:rPr>
          <w:rFonts w:ascii="Arial" w:hAnsi="Arial" w:cs="Arial"/>
          <w:u w:val="single"/>
        </w:rPr>
        <w:t>Data submission and release</w:t>
      </w:r>
    </w:p>
    <w:p w:rsidR="00B04ADB" w:rsidRPr="00B04ADB" w:rsidRDefault="00B04ADB" w:rsidP="0057257B">
      <w:pPr>
        <w:spacing w:line="276" w:lineRule="auto"/>
        <w:rPr>
          <w:rFonts w:ascii="Arial" w:hAnsi="Arial" w:cs="Arial"/>
        </w:rPr>
      </w:pPr>
      <w:r w:rsidRPr="00B04ADB">
        <w:rPr>
          <w:rFonts w:ascii="Arial" w:hAnsi="Arial" w:cs="Arial"/>
        </w:rPr>
        <w:t>Stakeholders expressed mixed perspectives on data. Some stakeholders suggested certain information such as environmental data should be made publicly available. Other stakeholders noted that commercially sensitive data could impact a project’s competitive ability or desirability to be collected if shared publicly.</w:t>
      </w:r>
    </w:p>
    <w:p w:rsidR="00B04ADB" w:rsidRPr="00B04ADB" w:rsidRDefault="00B04ADB" w:rsidP="0057257B">
      <w:pPr>
        <w:spacing w:line="276" w:lineRule="auto"/>
        <w:rPr>
          <w:rFonts w:ascii="Arial" w:hAnsi="Arial" w:cs="Arial"/>
        </w:rPr>
      </w:pPr>
      <w:r w:rsidRPr="00B04ADB">
        <w:rPr>
          <w:rFonts w:ascii="Arial" w:hAnsi="Arial" w:cs="Arial"/>
        </w:rPr>
        <w:t xml:space="preserve">The bill </w:t>
      </w:r>
      <w:r w:rsidR="00480AA9">
        <w:rPr>
          <w:rFonts w:ascii="Arial" w:hAnsi="Arial" w:cs="Arial"/>
        </w:rPr>
        <w:t>would</w:t>
      </w:r>
      <w:r w:rsidR="00480AA9" w:rsidRPr="00B04ADB">
        <w:rPr>
          <w:rFonts w:ascii="Arial" w:hAnsi="Arial" w:cs="Arial"/>
        </w:rPr>
        <w:t xml:space="preserve"> </w:t>
      </w:r>
      <w:r w:rsidRPr="00B04ADB">
        <w:rPr>
          <w:rFonts w:ascii="Arial" w:hAnsi="Arial" w:cs="Arial"/>
        </w:rPr>
        <w:t>provide for heads or power to require and publish data in accordance with regulations. As data is such a sensitive issue</w:t>
      </w:r>
      <w:r w:rsidR="00981CB2">
        <w:rPr>
          <w:rFonts w:ascii="Arial" w:hAnsi="Arial" w:cs="Arial"/>
        </w:rPr>
        <w:t>,</w:t>
      </w:r>
      <w:r w:rsidRPr="00B04ADB">
        <w:rPr>
          <w:rFonts w:ascii="Arial" w:hAnsi="Arial" w:cs="Arial"/>
        </w:rPr>
        <w:t xml:space="preserve"> </w:t>
      </w:r>
      <w:r w:rsidR="00CE6F62">
        <w:rPr>
          <w:rFonts w:ascii="Arial" w:hAnsi="Arial" w:cs="Arial"/>
        </w:rPr>
        <w:t xml:space="preserve">the </w:t>
      </w:r>
      <w:r w:rsidR="0009546F">
        <w:rPr>
          <w:rFonts w:ascii="Arial" w:hAnsi="Arial" w:cs="Arial"/>
        </w:rPr>
        <w:t>d</w:t>
      </w:r>
      <w:r w:rsidR="00CE6F62">
        <w:rPr>
          <w:rFonts w:ascii="Arial" w:hAnsi="Arial" w:cs="Arial"/>
        </w:rPr>
        <w:t>epartment</w:t>
      </w:r>
      <w:r w:rsidRPr="00B04ADB">
        <w:rPr>
          <w:rFonts w:ascii="Arial" w:hAnsi="Arial" w:cs="Arial"/>
        </w:rPr>
        <w:t xml:space="preserve"> propose</w:t>
      </w:r>
      <w:r w:rsidR="00CE6F62">
        <w:rPr>
          <w:rFonts w:ascii="Arial" w:hAnsi="Arial" w:cs="Arial"/>
        </w:rPr>
        <w:t>s</w:t>
      </w:r>
      <w:r w:rsidRPr="00B04ADB">
        <w:rPr>
          <w:rFonts w:ascii="Arial" w:hAnsi="Arial" w:cs="Arial"/>
        </w:rPr>
        <w:t xml:space="preserve"> to work with industry to develop the data regulations in 2021.</w:t>
      </w:r>
    </w:p>
    <w:p w:rsidR="00B04ADB" w:rsidRPr="002D5AC3" w:rsidRDefault="00B04ADB" w:rsidP="002D5AC3">
      <w:pPr>
        <w:spacing w:line="276" w:lineRule="auto"/>
        <w:rPr>
          <w:rFonts w:cs="Arial"/>
          <w:u w:val="single"/>
        </w:rPr>
      </w:pPr>
      <w:r w:rsidRPr="002D5AC3">
        <w:rPr>
          <w:rFonts w:ascii="Arial" w:hAnsi="Arial" w:cs="Arial"/>
          <w:u w:val="single"/>
        </w:rPr>
        <w:t>Electricity markets and grid connection issues</w:t>
      </w:r>
    </w:p>
    <w:p w:rsidR="00B04ADB" w:rsidRPr="00B04ADB" w:rsidRDefault="00B04ADB" w:rsidP="0057257B">
      <w:pPr>
        <w:spacing w:line="276" w:lineRule="auto"/>
        <w:rPr>
          <w:rFonts w:ascii="Arial" w:hAnsi="Arial" w:cs="Arial"/>
        </w:rPr>
      </w:pPr>
      <w:r w:rsidRPr="00B04ADB">
        <w:rPr>
          <w:rFonts w:ascii="Arial" w:hAnsi="Arial" w:cs="Arial"/>
        </w:rPr>
        <w:t xml:space="preserve">Several stakeholders sought information on how the framework </w:t>
      </w:r>
      <w:r w:rsidR="00480AA9">
        <w:rPr>
          <w:rFonts w:ascii="Arial" w:hAnsi="Arial" w:cs="Arial"/>
        </w:rPr>
        <w:t>would</w:t>
      </w:r>
      <w:r w:rsidR="00480AA9" w:rsidRPr="00B04ADB">
        <w:rPr>
          <w:rFonts w:ascii="Arial" w:hAnsi="Arial" w:cs="Arial"/>
        </w:rPr>
        <w:t xml:space="preserve"> </w:t>
      </w:r>
      <w:r w:rsidRPr="00B04ADB">
        <w:rPr>
          <w:rFonts w:ascii="Arial" w:hAnsi="Arial" w:cs="Arial"/>
        </w:rPr>
        <w:t xml:space="preserve">interact with legislation regulating the electricity and transmission markets. </w:t>
      </w:r>
    </w:p>
    <w:p w:rsidR="00B04ADB" w:rsidRPr="00B04ADB" w:rsidRDefault="00B04ADB" w:rsidP="0057257B">
      <w:pPr>
        <w:spacing w:line="276" w:lineRule="auto"/>
        <w:rPr>
          <w:rFonts w:ascii="Arial" w:hAnsi="Arial" w:cs="Arial"/>
        </w:rPr>
      </w:pPr>
      <w:r w:rsidRPr="00B04ADB">
        <w:rPr>
          <w:rFonts w:ascii="Arial" w:hAnsi="Arial" w:cs="Arial"/>
        </w:rPr>
        <w:t xml:space="preserve">Matters relating to connection to electricity markets and onshore transmission are outside of the scope of this framework and </w:t>
      </w:r>
      <w:r w:rsidR="00480AA9">
        <w:rPr>
          <w:rFonts w:ascii="Arial" w:hAnsi="Arial" w:cs="Arial"/>
        </w:rPr>
        <w:t>would</w:t>
      </w:r>
      <w:r w:rsidR="00480AA9" w:rsidRPr="00B04ADB">
        <w:rPr>
          <w:rFonts w:ascii="Arial" w:hAnsi="Arial" w:cs="Arial"/>
        </w:rPr>
        <w:t xml:space="preserve"> </w:t>
      </w:r>
      <w:r w:rsidRPr="00B04ADB">
        <w:rPr>
          <w:rFonts w:ascii="Arial" w:hAnsi="Arial" w:cs="Arial"/>
        </w:rPr>
        <w:t>be the responsibility of project proponents.</w:t>
      </w:r>
    </w:p>
    <w:p w:rsidR="00B04ADB" w:rsidRPr="002D5AC3" w:rsidRDefault="00B04ADB" w:rsidP="002D5AC3">
      <w:pPr>
        <w:spacing w:line="276" w:lineRule="auto"/>
        <w:rPr>
          <w:rFonts w:cs="Arial"/>
          <w:u w:val="single"/>
        </w:rPr>
      </w:pPr>
      <w:r w:rsidRPr="002D5AC3">
        <w:rPr>
          <w:rFonts w:ascii="Arial" w:hAnsi="Arial" w:cs="Arial"/>
          <w:u w:val="single"/>
        </w:rPr>
        <w:t>Strategic planning and incentives for investment</w:t>
      </w:r>
    </w:p>
    <w:p w:rsidR="006C37E5" w:rsidRDefault="00B04ADB" w:rsidP="0057257B">
      <w:pPr>
        <w:spacing w:line="276" w:lineRule="auto"/>
        <w:rPr>
          <w:rFonts w:ascii="Arial" w:hAnsi="Arial" w:cs="Arial"/>
        </w:rPr>
      </w:pPr>
      <w:r w:rsidRPr="00B04ADB">
        <w:rPr>
          <w:rFonts w:ascii="Arial" w:hAnsi="Arial" w:cs="Arial"/>
        </w:rPr>
        <w:t xml:space="preserve">A number of stakeholders recommended that the Australian </w:t>
      </w:r>
      <w:r w:rsidR="00F62D1D">
        <w:rPr>
          <w:rFonts w:ascii="Arial" w:hAnsi="Arial" w:cs="Arial"/>
        </w:rPr>
        <w:t>G</w:t>
      </w:r>
      <w:r w:rsidRPr="00B04ADB">
        <w:rPr>
          <w:rFonts w:ascii="Arial" w:hAnsi="Arial" w:cs="Arial"/>
        </w:rPr>
        <w:t xml:space="preserve">overnment be proactive in identification of preferred clean energy sites and exclusion zones, noting that </w:t>
      </w:r>
      <w:r w:rsidR="006B702C">
        <w:rPr>
          <w:rFonts w:ascii="Arial" w:hAnsi="Arial" w:cs="Arial"/>
        </w:rPr>
        <w:t>in other international jurisdictions</w:t>
      </w:r>
      <w:r w:rsidR="004A2843">
        <w:rPr>
          <w:rFonts w:ascii="Arial" w:hAnsi="Arial" w:cs="Arial"/>
        </w:rPr>
        <w:t>,</w:t>
      </w:r>
      <w:r w:rsidR="006B702C">
        <w:rPr>
          <w:rFonts w:ascii="Arial" w:hAnsi="Arial" w:cs="Arial"/>
        </w:rPr>
        <w:t xml:space="preserve"> </w:t>
      </w:r>
      <w:r w:rsidRPr="00B04ADB">
        <w:rPr>
          <w:rFonts w:ascii="Arial" w:hAnsi="Arial" w:cs="Arial"/>
        </w:rPr>
        <w:t xml:space="preserve">government </w:t>
      </w:r>
      <w:r w:rsidR="006B702C">
        <w:rPr>
          <w:rFonts w:ascii="Arial" w:hAnsi="Arial" w:cs="Arial"/>
        </w:rPr>
        <w:t xml:space="preserve">has provided early stage </w:t>
      </w:r>
      <w:r w:rsidRPr="00B04ADB">
        <w:rPr>
          <w:rFonts w:ascii="Arial" w:hAnsi="Arial" w:cs="Arial"/>
        </w:rPr>
        <w:t xml:space="preserve">investment </w:t>
      </w:r>
      <w:r w:rsidR="006B702C">
        <w:rPr>
          <w:rFonts w:ascii="Arial" w:hAnsi="Arial" w:cs="Arial"/>
        </w:rPr>
        <w:t>in exploration, though this is often where</w:t>
      </w:r>
      <w:r w:rsidR="002F7891">
        <w:rPr>
          <w:rFonts w:ascii="Arial" w:hAnsi="Arial" w:cs="Arial"/>
        </w:rPr>
        <w:t xml:space="preserve"> there may be few other</w:t>
      </w:r>
      <w:r w:rsidR="004A2843">
        <w:rPr>
          <w:rFonts w:ascii="Arial" w:hAnsi="Arial" w:cs="Arial"/>
        </w:rPr>
        <w:t xml:space="preserve"> renewable investment opportunities.</w:t>
      </w:r>
      <w:r w:rsidR="004F16A9">
        <w:rPr>
          <w:rFonts w:ascii="Arial" w:hAnsi="Arial" w:cs="Arial"/>
        </w:rPr>
        <w:t xml:space="preserve"> </w:t>
      </w:r>
    </w:p>
    <w:p w:rsidR="00B04ADB" w:rsidRPr="00B04ADB" w:rsidRDefault="004F16A9" w:rsidP="0057257B">
      <w:pPr>
        <w:spacing w:line="276" w:lineRule="auto"/>
        <w:rPr>
          <w:rFonts w:ascii="Arial" w:hAnsi="Arial" w:cs="Arial"/>
        </w:rPr>
      </w:pPr>
      <w:r>
        <w:rPr>
          <w:rFonts w:ascii="Arial" w:hAnsi="Arial" w:cs="Arial"/>
        </w:rPr>
        <w:t xml:space="preserve">The framework is intended to enable the development of the offshore </w:t>
      </w:r>
      <w:r w:rsidR="00736857">
        <w:rPr>
          <w:rFonts w:ascii="Arial" w:hAnsi="Arial" w:cs="Arial"/>
        </w:rPr>
        <w:t>electricity</w:t>
      </w:r>
      <w:r>
        <w:rPr>
          <w:rFonts w:ascii="Arial" w:hAnsi="Arial" w:cs="Arial"/>
        </w:rPr>
        <w:t xml:space="preserve"> sector, rather than drive its establishment. </w:t>
      </w:r>
    </w:p>
    <w:p w:rsidR="00B04ADB" w:rsidRDefault="00B04ADB" w:rsidP="0057257B">
      <w:pPr>
        <w:spacing w:after="0" w:line="276" w:lineRule="auto"/>
        <w:rPr>
          <w:rFonts w:ascii="Times New Roman" w:hAnsi="Times New Roman"/>
          <w:sz w:val="24"/>
          <w:szCs w:val="24"/>
        </w:rPr>
      </w:pPr>
    </w:p>
    <w:p w:rsidR="00F972A4" w:rsidRDefault="00F972A4">
      <w:pPr>
        <w:rPr>
          <w:rFonts w:ascii="Arial" w:eastAsiaTheme="majorEastAsia" w:hAnsi="Arial" w:cs="Arial"/>
          <w:color w:val="005677" w:themeColor="text2"/>
          <w:sz w:val="48"/>
          <w:szCs w:val="32"/>
        </w:rPr>
      </w:pPr>
      <w:r>
        <w:rPr>
          <w:rFonts w:ascii="Arial" w:hAnsi="Arial" w:cs="Arial"/>
        </w:rPr>
        <w:br w:type="page"/>
      </w:r>
    </w:p>
    <w:p w:rsidR="00810822" w:rsidRPr="00275017" w:rsidRDefault="00810822" w:rsidP="0057257B">
      <w:pPr>
        <w:pStyle w:val="Heading1"/>
        <w:numPr>
          <w:ilvl w:val="0"/>
          <w:numId w:val="11"/>
        </w:numPr>
        <w:spacing w:after="0" w:line="276" w:lineRule="auto"/>
        <w:rPr>
          <w:rFonts w:ascii="Arial" w:hAnsi="Arial" w:cs="Arial"/>
        </w:rPr>
      </w:pPr>
      <w:bookmarkStart w:id="18" w:name="_Toc69917405"/>
      <w:r w:rsidRPr="00275017">
        <w:rPr>
          <w:rFonts w:ascii="Arial" w:hAnsi="Arial" w:cs="Arial"/>
        </w:rPr>
        <w:t>Preferred Option</w:t>
      </w:r>
      <w:bookmarkEnd w:id="18"/>
      <w:r w:rsidRPr="00275017">
        <w:rPr>
          <w:rFonts w:ascii="Arial" w:hAnsi="Arial" w:cs="Arial"/>
        </w:rPr>
        <w:t xml:space="preserve"> </w:t>
      </w:r>
    </w:p>
    <w:p w:rsidR="00894F9D" w:rsidRDefault="00831F9B" w:rsidP="0057257B">
      <w:pPr>
        <w:spacing w:line="276" w:lineRule="auto"/>
        <w:rPr>
          <w:rFonts w:ascii="Arial" w:hAnsi="Arial" w:cs="Arial"/>
        </w:rPr>
      </w:pPr>
      <w:r>
        <w:rPr>
          <w:rFonts w:ascii="Arial" w:hAnsi="Arial" w:cs="Arial"/>
        </w:rPr>
        <w:t xml:space="preserve">The </w:t>
      </w:r>
      <w:r w:rsidR="00B7516E">
        <w:rPr>
          <w:rFonts w:ascii="Arial" w:hAnsi="Arial" w:cs="Arial"/>
        </w:rPr>
        <w:t xml:space="preserve">Australian </w:t>
      </w:r>
      <w:r w:rsidR="00AA4BB6">
        <w:rPr>
          <w:rFonts w:ascii="Arial" w:hAnsi="Arial" w:cs="Arial"/>
        </w:rPr>
        <w:t>G</w:t>
      </w:r>
      <w:r w:rsidR="00810822" w:rsidRPr="00275017">
        <w:rPr>
          <w:rFonts w:ascii="Arial" w:hAnsi="Arial" w:cs="Arial"/>
        </w:rPr>
        <w:t xml:space="preserve">overnment considers that the more effective means for achieving a, competitive and well-functioning offshore </w:t>
      </w:r>
      <w:r w:rsidR="00A0632F">
        <w:rPr>
          <w:rFonts w:ascii="Arial" w:hAnsi="Arial" w:cs="Arial"/>
        </w:rPr>
        <w:t>electricity</w:t>
      </w:r>
      <w:r w:rsidR="00810822" w:rsidRPr="00275017">
        <w:rPr>
          <w:rFonts w:ascii="Arial" w:hAnsi="Arial" w:cs="Arial"/>
        </w:rPr>
        <w:t xml:space="preserve"> industry is by </w:t>
      </w:r>
      <w:r w:rsidR="00462F5E" w:rsidRPr="00275017">
        <w:rPr>
          <w:rFonts w:ascii="Arial" w:hAnsi="Arial" w:cs="Arial"/>
        </w:rPr>
        <w:t>implementing Option 2</w:t>
      </w:r>
      <w:r w:rsidR="007E2007">
        <w:rPr>
          <w:rFonts w:ascii="Arial" w:hAnsi="Arial" w:cs="Arial"/>
        </w:rPr>
        <w:t xml:space="preserve"> - Implementation of an offshore </w:t>
      </w:r>
      <w:r w:rsidR="00A0632F">
        <w:rPr>
          <w:rFonts w:ascii="Arial" w:hAnsi="Arial" w:cs="Arial"/>
        </w:rPr>
        <w:t>electricity infrastructure</w:t>
      </w:r>
      <w:r w:rsidR="00CC482A">
        <w:rPr>
          <w:rFonts w:ascii="Arial" w:hAnsi="Arial" w:cs="Arial"/>
        </w:rPr>
        <w:t xml:space="preserve"> regulatory</w:t>
      </w:r>
      <w:r w:rsidR="007E2007">
        <w:rPr>
          <w:rFonts w:ascii="Arial" w:hAnsi="Arial" w:cs="Arial"/>
        </w:rPr>
        <w:t xml:space="preserve"> framework</w:t>
      </w:r>
      <w:r w:rsidR="002734D0">
        <w:rPr>
          <w:rFonts w:ascii="Arial" w:hAnsi="Arial" w:cs="Arial"/>
        </w:rPr>
        <w:t xml:space="preserve">. </w:t>
      </w:r>
    </w:p>
    <w:p w:rsidR="00894F9D" w:rsidRPr="00D0347C" w:rsidRDefault="002734D0" w:rsidP="0057257B">
      <w:pPr>
        <w:spacing w:line="276" w:lineRule="auto"/>
        <w:rPr>
          <w:rFonts w:ascii="Arial" w:hAnsi="Arial" w:cs="Arial"/>
        </w:rPr>
      </w:pPr>
      <w:r w:rsidRPr="00D0347C">
        <w:rPr>
          <w:rFonts w:ascii="Arial" w:hAnsi="Arial" w:cs="Arial"/>
        </w:rPr>
        <w:t xml:space="preserve">Broadly, this </w:t>
      </w:r>
      <w:r w:rsidR="00480AA9">
        <w:rPr>
          <w:rFonts w:ascii="Arial" w:hAnsi="Arial" w:cs="Arial"/>
        </w:rPr>
        <w:t>would</w:t>
      </w:r>
      <w:r w:rsidR="00480AA9" w:rsidRPr="00D0347C">
        <w:rPr>
          <w:rFonts w:ascii="Arial" w:hAnsi="Arial" w:cs="Arial"/>
        </w:rPr>
        <w:t xml:space="preserve"> </w:t>
      </w:r>
      <w:r w:rsidRPr="00D0347C">
        <w:rPr>
          <w:rFonts w:ascii="Arial" w:hAnsi="Arial" w:cs="Arial"/>
        </w:rPr>
        <w:t>be achieved through e</w:t>
      </w:r>
      <w:r w:rsidR="00810822" w:rsidRPr="00D0347C">
        <w:rPr>
          <w:rFonts w:ascii="Arial" w:hAnsi="Arial" w:cs="Arial"/>
        </w:rPr>
        <w:t>stabl</w:t>
      </w:r>
      <w:r w:rsidR="00894F9D" w:rsidRPr="00D0347C">
        <w:rPr>
          <w:rFonts w:ascii="Arial" w:hAnsi="Arial" w:cs="Arial"/>
        </w:rPr>
        <w:t xml:space="preserve">ishing a legislative framework that </w:t>
      </w:r>
      <w:r w:rsidR="00480AA9">
        <w:rPr>
          <w:rFonts w:ascii="Arial" w:hAnsi="Arial" w:cs="Arial"/>
        </w:rPr>
        <w:t>would</w:t>
      </w:r>
      <w:r w:rsidR="00480AA9" w:rsidRPr="00D0347C">
        <w:rPr>
          <w:rFonts w:ascii="Arial" w:hAnsi="Arial" w:cs="Arial"/>
        </w:rPr>
        <w:t xml:space="preserve"> </w:t>
      </w:r>
      <w:r w:rsidR="00894F9D" w:rsidRPr="00D0347C">
        <w:rPr>
          <w:rFonts w:ascii="Arial" w:hAnsi="Arial" w:cs="Arial"/>
        </w:rPr>
        <w:t>allow a range of act</w:t>
      </w:r>
      <w:r w:rsidR="00D0347C" w:rsidRPr="00D0347C">
        <w:rPr>
          <w:rFonts w:ascii="Arial" w:hAnsi="Arial" w:cs="Arial"/>
        </w:rPr>
        <w:t>ivities n</w:t>
      </w:r>
      <w:r w:rsidR="006A0AC3">
        <w:rPr>
          <w:rFonts w:ascii="Arial" w:hAnsi="Arial" w:cs="Arial"/>
        </w:rPr>
        <w:t xml:space="preserve">ot currently </w:t>
      </w:r>
      <w:r w:rsidR="00831F9B">
        <w:rPr>
          <w:rFonts w:ascii="Arial" w:hAnsi="Arial" w:cs="Arial"/>
        </w:rPr>
        <w:t xml:space="preserve">provided for </w:t>
      </w:r>
      <w:r w:rsidR="006A0AC3">
        <w:rPr>
          <w:rFonts w:ascii="Arial" w:hAnsi="Arial" w:cs="Arial"/>
        </w:rPr>
        <w:t xml:space="preserve">and </w:t>
      </w:r>
      <w:r w:rsidR="00981CB2">
        <w:rPr>
          <w:rFonts w:ascii="Arial" w:hAnsi="Arial" w:cs="Arial"/>
        </w:rPr>
        <w:t>limit</w:t>
      </w:r>
      <w:r w:rsidR="00D0347C" w:rsidRPr="00D0347C">
        <w:rPr>
          <w:rFonts w:ascii="Arial" w:hAnsi="Arial" w:cs="Arial"/>
        </w:rPr>
        <w:t xml:space="preserve"> impacts on </w:t>
      </w:r>
      <w:r w:rsidR="006A0AC3">
        <w:rPr>
          <w:rFonts w:ascii="Arial" w:hAnsi="Arial" w:cs="Arial"/>
        </w:rPr>
        <w:t>other maritime users</w:t>
      </w:r>
      <w:r w:rsidR="00147019">
        <w:rPr>
          <w:rFonts w:ascii="Arial" w:hAnsi="Arial" w:cs="Arial"/>
        </w:rPr>
        <w:t>, offshore workers and the environment</w:t>
      </w:r>
      <w:r w:rsidR="00D0347C" w:rsidRPr="00D0347C">
        <w:rPr>
          <w:rFonts w:ascii="Arial" w:hAnsi="Arial" w:cs="Arial"/>
        </w:rPr>
        <w:t xml:space="preserve">. Timely introduction of the regulatory framework </w:t>
      </w:r>
      <w:r w:rsidR="00480AA9">
        <w:rPr>
          <w:rFonts w:ascii="Arial" w:hAnsi="Arial" w:cs="Arial"/>
        </w:rPr>
        <w:t>would</w:t>
      </w:r>
      <w:r w:rsidR="00480AA9" w:rsidRPr="00D0347C">
        <w:rPr>
          <w:rFonts w:ascii="Arial" w:hAnsi="Arial" w:cs="Arial"/>
        </w:rPr>
        <w:t xml:space="preserve"> </w:t>
      </w:r>
      <w:r w:rsidR="00D0347C" w:rsidRPr="00D0347C">
        <w:rPr>
          <w:rFonts w:ascii="Arial" w:hAnsi="Arial" w:cs="Arial"/>
        </w:rPr>
        <w:t>build investor confidence</w:t>
      </w:r>
      <w:r w:rsidR="00D0347C">
        <w:rPr>
          <w:rFonts w:ascii="Arial" w:hAnsi="Arial" w:cs="Arial"/>
        </w:rPr>
        <w:t xml:space="preserve"> early</w:t>
      </w:r>
      <w:r w:rsidR="00981CB2">
        <w:rPr>
          <w:rFonts w:ascii="Arial" w:hAnsi="Arial" w:cs="Arial"/>
        </w:rPr>
        <w:t xml:space="preserve">, especially considering </w:t>
      </w:r>
      <w:r w:rsidR="00D0347C">
        <w:rPr>
          <w:rFonts w:ascii="Arial" w:hAnsi="Arial" w:cs="Arial"/>
        </w:rPr>
        <w:t xml:space="preserve">the long development time for large scale offshore </w:t>
      </w:r>
      <w:r w:rsidR="007C30F8">
        <w:rPr>
          <w:rFonts w:ascii="Arial" w:hAnsi="Arial" w:cs="Arial"/>
        </w:rPr>
        <w:t>electricity</w:t>
      </w:r>
      <w:r w:rsidR="00D0347C">
        <w:rPr>
          <w:rFonts w:ascii="Arial" w:hAnsi="Arial" w:cs="Arial"/>
        </w:rPr>
        <w:t xml:space="preserve"> infrastructure</w:t>
      </w:r>
      <w:r w:rsidR="00D0347C" w:rsidRPr="00D0347C">
        <w:rPr>
          <w:rFonts w:ascii="Arial" w:hAnsi="Arial" w:cs="Arial"/>
        </w:rPr>
        <w:t xml:space="preserve">.  </w:t>
      </w:r>
    </w:p>
    <w:p w:rsidR="00810822" w:rsidRPr="00275017" w:rsidRDefault="00D0347C" w:rsidP="0057257B">
      <w:pPr>
        <w:spacing w:line="276" w:lineRule="auto"/>
        <w:rPr>
          <w:rFonts w:ascii="Arial" w:hAnsi="Arial" w:cs="Arial"/>
        </w:rPr>
      </w:pPr>
      <w:r w:rsidRPr="00D0347C">
        <w:rPr>
          <w:rFonts w:ascii="Arial" w:hAnsi="Arial" w:cs="Arial"/>
        </w:rPr>
        <w:t>S</w:t>
      </w:r>
      <w:r w:rsidR="00810822" w:rsidRPr="00D0347C">
        <w:rPr>
          <w:rFonts w:ascii="Arial" w:hAnsi="Arial" w:cs="Arial"/>
        </w:rPr>
        <w:t xml:space="preserve">ubsequent regulations and rules </w:t>
      </w:r>
      <w:r w:rsidR="00480AA9">
        <w:rPr>
          <w:rFonts w:ascii="Arial" w:hAnsi="Arial" w:cs="Arial"/>
        </w:rPr>
        <w:t>would</w:t>
      </w:r>
      <w:r w:rsidR="00480AA9" w:rsidRPr="00D0347C">
        <w:rPr>
          <w:rFonts w:ascii="Arial" w:hAnsi="Arial" w:cs="Arial"/>
        </w:rPr>
        <w:t xml:space="preserve"> </w:t>
      </w:r>
      <w:r w:rsidR="00810822" w:rsidRPr="00D0347C">
        <w:rPr>
          <w:rFonts w:ascii="Arial" w:hAnsi="Arial" w:cs="Arial"/>
        </w:rPr>
        <w:t>be formulated</w:t>
      </w:r>
      <w:r w:rsidR="002734D0" w:rsidRPr="00D0347C">
        <w:rPr>
          <w:rFonts w:ascii="Arial" w:hAnsi="Arial" w:cs="Arial"/>
        </w:rPr>
        <w:t xml:space="preserve"> either concurrently or</w:t>
      </w:r>
      <w:r w:rsidR="00810822" w:rsidRPr="00D0347C">
        <w:rPr>
          <w:rFonts w:ascii="Arial" w:hAnsi="Arial" w:cs="Arial"/>
        </w:rPr>
        <w:t xml:space="preserve"> following the initial in</w:t>
      </w:r>
      <w:r w:rsidRPr="00D0347C">
        <w:rPr>
          <w:rFonts w:ascii="Arial" w:hAnsi="Arial" w:cs="Arial"/>
        </w:rPr>
        <w:t xml:space="preserve">troduction of core legislation, and further consultation </w:t>
      </w:r>
      <w:r w:rsidR="00480AA9">
        <w:rPr>
          <w:rFonts w:ascii="Arial" w:hAnsi="Arial" w:cs="Arial"/>
        </w:rPr>
        <w:t>would</w:t>
      </w:r>
      <w:r w:rsidR="00480AA9" w:rsidRPr="00D0347C">
        <w:rPr>
          <w:rFonts w:ascii="Arial" w:hAnsi="Arial" w:cs="Arial"/>
        </w:rPr>
        <w:t xml:space="preserve"> </w:t>
      </w:r>
      <w:r w:rsidRPr="00D0347C">
        <w:rPr>
          <w:rFonts w:ascii="Arial" w:hAnsi="Arial" w:cs="Arial"/>
        </w:rPr>
        <w:t>be undertaken on the regulat</w:t>
      </w:r>
      <w:r w:rsidR="00B04E95">
        <w:rPr>
          <w:rFonts w:ascii="Arial" w:hAnsi="Arial" w:cs="Arial"/>
        </w:rPr>
        <w:t>ions, rules and policy under the proposed</w:t>
      </w:r>
      <w:r w:rsidRPr="00D0347C">
        <w:rPr>
          <w:rFonts w:ascii="Arial" w:hAnsi="Arial" w:cs="Arial"/>
        </w:rPr>
        <w:t xml:space="preserve"> framework.</w:t>
      </w:r>
      <w:r w:rsidR="00810822" w:rsidRPr="00D0347C">
        <w:rPr>
          <w:rFonts w:ascii="Arial" w:hAnsi="Arial" w:cs="Arial"/>
        </w:rPr>
        <w:t xml:space="preserve"> </w:t>
      </w:r>
    </w:p>
    <w:p w:rsidR="00810822" w:rsidRPr="00275017" w:rsidRDefault="00531D3D" w:rsidP="0057257B">
      <w:pPr>
        <w:pStyle w:val="BodyCopy"/>
        <w:spacing w:line="276" w:lineRule="auto"/>
        <w:rPr>
          <w:rFonts w:cs="Arial"/>
        </w:rPr>
      </w:pPr>
      <w:r>
        <w:rPr>
          <w:rFonts w:cs="Arial"/>
        </w:rPr>
        <w:t xml:space="preserve">As noted, the cost benefit assessment was challenging to quantify </w:t>
      </w:r>
      <w:r w:rsidR="00981CB2">
        <w:rPr>
          <w:rFonts w:cs="Arial"/>
        </w:rPr>
        <w:t xml:space="preserve">due to </w:t>
      </w:r>
      <w:r>
        <w:rPr>
          <w:rFonts w:cs="Arial"/>
        </w:rPr>
        <w:t xml:space="preserve">uncertainties in </w:t>
      </w:r>
      <w:r w:rsidR="00981CB2">
        <w:rPr>
          <w:rFonts w:cs="Arial"/>
        </w:rPr>
        <w:t xml:space="preserve">the </w:t>
      </w:r>
      <w:r>
        <w:rPr>
          <w:rFonts w:cs="Arial"/>
        </w:rPr>
        <w:t xml:space="preserve">current operational environment, challenges in forecasting the viability of proposals and the </w:t>
      </w:r>
      <w:r w:rsidR="00981CB2">
        <w:rPr>
          <w:rFonts w:cs="Arial"/>
        </w:rPr>
        <w:t xml:space="preserve">likely </w:t>
      </w:r>
      <w:r>
        <w:rPr>
          <w:rFonts w:cs="Arial"/>
        </w:rPr>
        <w:t xml:space="preserve">growth of </w:t>
      </w:r>
      <w:r w:rsidR="00981CB2">
        <w:rPr>
          <w:rFonts w:cs="Arial"/>
        </w:rPr>
        <w:t xml:space="preserve">the </w:t>
      </w:r>
      <w:r>
        <w:rPr>
          <w:rFonts w:cs="Arial"/>
        </w:rPr>
        <w:t xml:space="preserve">sector. On this basis, </w:t>
      </w:r>
      <w:r w:rsidR="00A26B13">
        <w:rPr>
          <w:rFonts w:cs="Arial"/>
        </w:rPr>
        <w:t>a highly</w:t>
      </w:r>
      <w:r w:rsidR="00F04550">
        <w:rPr>
          <w:rFonts w:cs="Arial"/>
        </w:rPr>
        <w:t xml:space="preserve"> qualitative</w:t>
      </w:r>
      <w:r w:rsidR="00A26B13">
        <w:rPr>
          <w:rFonts w:cs="Arial"/>
        </w:rPr>
        <w:t xml:space="preserve"> cost-benefit assessment was undertaken</w:t>
      </w:r>
      <w:r w:rsidR="00F04550">
        <w:rPr>
          <w:rFonts w:cs="Arial"/>
        </w:rPr>
        <w:t>.</w:t>
      </w:r>
    </w:p>
    <w:p w:rsidR="00810822" w:rsidRPr="00275017" w:rsidRDefault="00A26B13" w:rsidP="0057257B">
      <w:pPr>
        <w:pStyle w:val="BodyCopy"/>
        <w:spacing w:line="276" w:lineRule="auto"/>
        <w:rPr>
          <w:rFonts w:cs="Arial"/>
        </w:rPr>
      </w:pPr>
      <w:r>
        <w:rPr>
          <w:rFonts w:cs="Arial"/>
        </w:rPr>
        <w:t>Despite</w:t>
      </w:r>
      <w:r w:rsidR="00531D3D">
        <w:rPr>
          <w:rFonts w:cs="Arial"/>
        </w:rPr>
        <w:t xml:space="preserve"> this context, </w:t>
      </w:r>
      <w:r w:rsidR="00752A2D">
        <w:rPr>
          <w:rFonts w:cs="Arial"/>
        </w:rPr>
        <w:t xml:space="preserve">the </w:t>
      </w:r>
      <w:r w:rsidR="00531D3D">
        <w:rPr>
          <w:rFonts w:cs="Arial"/>
        </w:rPr>
        <w:t xml:space="preserve">very significant opportunities </w:t>
      </w:r>
      <w:r>
        <w:rPr>
          <w:rFonts w:cs="Arial"/>
        </w:rPr>
        <w:t xml:space="preserve">presented by </w:t>
      </w:r>
      <w:r w:rsidR="00981CB2">
        <w:rPr>
          <w:rFonts w:cs="Arial"/>
        </w:rPr>
        <w:t xml:space="preserve">the proposed </w:t>
      </w:r>
      <w:r w:rsidR="005010A1">
        <w:rPr>
          <w:rFonts w:cs="Arial"/>
        </w:rPr>
        <w:t>regulatory framework provide a strong case that option 2 provides the highest net benefit</w:t>
      </w:r>
      <w:r w:rsidR="00810822" w:rsidRPr="00275017">
        <w:rPr>
          <w:rFonts w:cs="Arial"/>
        </w:rPr>
        <w:t xml:space="preserve">. </w:t>
      </w:r>
    </w:p>
    <w:p w:rsidR="00D0347C" w:rsidRDefault="00D0347C" w:rsidP="0057257B">
      <w:pPr>
        <w:spacing w:line="276" w:lineRule="auto"/>
        <w:rPr>
          <w:rFonts w:ascii="Arial" w:hAnsi="Arial" w:cs="Arial"/>
        </w:rPr>
      </w:pPr>
    </w:p>
    <w:p w:rsidR="00F972A4" w:rsidRDefault="00F972A4">
      <w:pPr>
        <w:rPr>
          <w:rFonts w:ascii="Arial" w:eastAsiaTheme="majorEastAsia" w:hAnsi="Arial" w:cs="Arial"/>
          <w:color w:val="005677" w:themeColor="text2"/>
          <w:sz w:val="48"/>
          <w:szCs w:val="32"/>
        </w:rPr>
      </w:pPr>
      <w:r>
        <w:rPr>
          <w:rFonts w:ascii="Arial" w:hAnsi="Arial" w:cs="Arial"/>
        </w:rPr>
        <w:br w:type="page"/>
      </w:r>
    </w:p>
    <w:p w:rsidR="00810822" w:rsidRPr="00275017" w:rsidRDefault="00810822" w:rsidP="0057257B">
      <w:pPr>
        <w:pStyle w:val="Heading1"/>
        <w:numPr>
          <w:ilvl w:val="0"/>
          <w:numId w:val="11"/>
        </w:numPr>
        <w:spacing w:after="0" w:line="276" w:lineRule="auto"/>
        <w:rPr>
          <w:rFonts w:ascii="Arial" w:hAnsi="Arial" w:cs="Arial"/>
        </w:rPr>
      </w:pPr>
      <w:bookmarkStart w:id="19" w:name="_Toc69917406"/>
      <w:r w:rsidRPr="00275017">
        <w:rPr>
          <w:rFonts w:ascii="Arial" w:hAnsi="Arial" w:cs="Arial"/>
        </w:rPr>
        <w:t>Implementation</w:t>
      </w:r>
      <w:bookmarkEnd w:id="19"/>
    </w:p>
    <w:p w:rsidR="00810822" w:rsidRDefault="00810822" w:rsidP="0057257B">
      <w:pPr>
        <w:spacing w:line="276" w:lineRule="auto"/>
        <w:rPr>
          <w:rFonts w:ascii="Arial" w:hAnsi="Arial" w:cs="Arial"/>
        </w:rPr>
      </w:pPr>
    </w:p>
    <w:p w:rsidR="00C57FE9" w:rsidRDefault="007119A0" w:rsidP="002734D0">
      <w:pPr>
        <w:spacing w:line="276" w:lineRule="auto"/>
        <w:rPr>
          <w:rFonts w:ascii="Arial" w:hAnsi="Arial" w:cs="Arial"/>
        </w:rPr>
      </w:pPr>
      <w:r>
        <w:rPr>
          <w:rFonts w:ascii="Arial" w:hAnsi="Arial" w:cs="Arial"/>
        </w:rPr>
        <w:t xml:space="preserve">Subject to the passage of the Offshore </w:t>
      </w:r>
      <w:r w:rsidR="00BB041D">
        <w:rPr>
          <w:rFonts w:ascii="Arial" w:hAnsi="Arial" w:cs="Arial"/>
        </w:rPr>
        <w:t>Electricity</w:t>
      </w:r>
      <w:r>
        <w:rPr>
          <w:rFonts w:ascii="Arial" w:hAnsi="Arial" w:cs="Arial"/>
        </w:rPr>
        <w:t xml:space="preserve"> Infrastructure Bill</w:t>
      </w:r>
      <w:r w:rsidR="00C57FE9">
        <w:rPr>
          <w:rFonts w:ascii="Arial" w:hAnsi="Arial" w:cs="Arial"/>
        </w:rPr>
        <w:t xml:space="preserve">, the implementation of the proposed legislation is subject to </w:t>
      </w:r>
      <w:r w:rsidR="00981CB2">
        <w:rPr>
          <w:rFonts w:ascii="Arial" w:hAnsi="Arial" w:cs="Arial"/>
        </w:rPr>
        <w:t xml:space="preserve">the </w:t>
      </w:r>
      <w:r w:rsidR="00C57FE9">
        <w:rPr>
          <w:rFonts w:ascii="Arial" w:hAnsi="Arial" w:cs="Arial"/>
        </w:rPr>
        <w:t>challenges outline</w:t>
      </w:r>
      <w:r w:rsidR="00981CB2">
        <w:rPr>
          <w:rFonts w:ascii="Arial" w:hAnsi="Arial" w:cs="Arial"/>
        </w:rPr>
        <w:t>d</w:t>
      </w:r>
      <w:r w:rsidR="00C57FE9">
        <w:rPr>
          <w:rFonts w:ascii="Arial" w:hAnsi="Arial" w:cs="Arial"/>
        </w:rPr>
        <w:t xml:space="preserve"> below.</w:t>
      </w:r>
    </w:p>
    <w:p w:rsidR="00BF338A" w:rsidRDefault="002734D0" w:rsidP="002734D0">
      <w:pPr>
        <w:spacing w:line="276" w:lineRule="auto"/>
      </w:pPr>
      <w:r w:rsidRPr="002734D0">
        <w:rPr>
          <w:rStyle w:val="Heading2Char"/>
        </w:rPr>
        <w:t>I</w:t>
      </w:r>
      <w:r w:rsidR="00BF338A" w:rsidRPr="002734D0">
        <w:rPr>
          <w:rStyle w:val="Heading2Char"/>
        </w:rPr>
        <w:t>mplementation challenges</w:t>
      </w:r>
      <w:r w:rsidR="00BF338A">
        <w:t xml:space="preserve"> </w:t>
      </w:r>
    </w:p>
    <w:p w:rsidR="002734D0" w:rsidRDefault="002734D0" w:rsidP="002734D0">
      <w:pPr>
        <w:spacing w:line="276" w:lineRule="auto"/>
        <w:rPr>
          <w:rFonts w:ascii="Arial" w:hAnsi="Arial" w:cs="Arial"/>
        </w:rPr>
      </w:pPr>
      <w:r>
        <w:rPr>
          <w:rFonts w:ascii="Arial" w:hAnsi="Arial" w:cs="Arial"/>
        </w:rPr>
        <w:t xml:space="preserve">The development of the proposed legislative </w:t>
      </w:r>
      <w:r w:rsidRPr="002734D0">
        <w:rPr>
          <w:rFonts w:ascii="Arial" w:hAnsi="Arial" w:cs="Arial"/>
        </w:rPr>
        <w:t xml:space="preserve">framework </w:t>
      </w:r>
      <w:r>
        <w:rPr>
          <w:rFonts w:ascii="Arial" w:hAnsi="Arial" w:cs="Arial"/>
        </w:rPr>
        <w:t>is a resource intensive process, involv</w:t>
      </w:r>
      <w:r w:rsidR="00A16103">
        <w:rPr>
          <w:rFonts w:ascii="Arial" w:hAnsi="Arial" w:cs="Arial"/>
        </w:rPr>
        <w:t>ing</w:t>
      </w:r>
      <w:r>
        <w:rPr>
          <w:rFonts w:ascii="Arial" w:hAnsi="Arial" w:cs="Arial"/>
        </w:rPr>
        <w:t xml:space="preserve"> significant engagement with agencies across the Commonwealth, external consultation</w:t>
      </w:r>
      <w:r w:rsidR="00831F9B">
        <w:rPr>
          <w:rFonts w:ascii="Arial" w:hAnsi="Arial" w:cs="Arial"/>
        </w:rPr>
        <w:t>,</w:t>
      </w:r>
      <w:r>
        <w:rPr>
          <w:rFonts w:ascii="Arial" w:hAnsi="Arial" w:cs="Arial"/>
        </w:rPr>
        <w:t xml:space="preserve"> as well as new and complex technical matters for consideration</w:t>
      </w:r>
      <w:r w:rsidRPr="002734D0">
        <w:rPr>
          <w:rFonts w:ascii="Arial" w:hAnsi="Arial" w:cs="Arial"/>
        </w:rPr>
        <w:t xml:space="preserve">. The Australian Government is proposing the new legislation </w:t>
      </w:r>
      <w:r>
        <w:rPr>
          <w:rFonts w:ascii="Arial" w:hAnsi="Arial" w:cs="Arial"/>
        </w:rPr>
        <w:t>be introduced as soon as practical, and be able to facilitate</w:t>
      </w:r>
      <w:r w:rsidR="00AC6640">
        <w:rPr>
          <w:rFonts w:ascii="Arial" w:hAnsi="Arial" w:cs="Arial"/>
        </w:rPr>
        <w:t>d</w:t>
      </w:r>
      <w:r>
        <w:rPr>
          <w:rFonts w:ascii="Arial" w:hAnsi="Arial" w:cs="Arial"/>
        </w:rPr>
        <w:t xml:space="preserve"> by mid-2021</w:t>
      </w:r>
      <w:r w:rsidRPr="002734D0">
        <w:rPr>
          <w:rFonts w:ascii="Arial" w:hAnsi="Arial" w:cs="Arial"/>
        </w:rPr>
        <w:t xml:space="preserve">. </w:t>
      </w:r>
    </w:p>
    <w:p w:rsidR="00C57FE9" w:rsidRDefault="00C57FE9" w:rsidP="002734D0">
      <w:pPr>
        <w:spacing w:line="276" w:lineRule="auto"/>
        <w:rPr>
          <w:rFonts w:ascii="Arial" w:hAnsi="Arial" w:cs="Arial"/>
        </w:rPr>
      </w:pPr>
      <w:r>
        <w:rPr>
          <w:rFonts w:ascii="Arial" w:hAnsi="Arial" w:cs="Arial"/>
        </w:rPr>
        <w:t xml:space="preserve">Prior to this, the </w:t>
      </w:r>
      <w:r w:rsidR="0075042D">
        <w:rPr>
          <w:rFonts w:ascii="Arial" w:hAnsi="Arial" w:cs="Arial"/>
        </w:rPr>
        <w:t xml:space="preserve">department </w:t>
      </w:r>
      <w:r w:rsidR="00480AA9">
        <w:rPr>
          <w:rFonts w:ascii="Arial" w:hAnsi="Arial" w:cs="Arial"/>
        </w:rPr>
        <w:t xml:space="preserve">would </w:t>
      </w:r>
      <w:r>
        <w:rPr>
          <w:rFonts w:ascii="Arial" w:hAnsi="Arial" w:cs="Arial"/>
        </w:rPr>
        <w:t xml:space="preserve">continue to undertake a range of consultation with other Commonwealth agencies, engagement with relevant developers, </w:t>
      </w:r>
      <w:r w:rsidR="0026143F">
        <w:rPr>
          <w:rFonts w:ascii="Arial" w:hAnsi="Arial" w:cs="Arial"/>
        </w:rPr>
        <w:t xml:space="preserve">and potentially affected stakeholders to </w:t>
      </w:r>
      <w:r w:rsidR="00A16103">
        <w:rPr>
          <w:rFonts w:ascii="Arial" w:hAnsi="Arial" w:cs="Arial"/>
        </w:rPr>
        <w:t xml:space="preserve">ensure an effective </w:t>
      </w:r>
      <w:r w:rsidR="0026143F">
        <w:rPr>
          <w:rFonts w:ascii="Arial" w:hAnsi="Arial" w:cs="Arial"/>
        </w:rPr>
        <w:t xml:space="preserve">implementation process. </w:t>
      </w:r>
    </w:p>
    <w:p w:rsidR="00793443" w:rsidRDefault="00793443" w:rsidP="007119A0">
      <w:pPr>
        <w:spacing w:line="276" w:lineRule="auto"/>
        <w:rPr>
          <w:rFonts w:ascii="Arial" w:hAnsi="Arial" w:cs="Arial"/>
        </w:rPr>
      </w:pPr>
      <w:r>
        <w:rPr>
          <w:rFonts w:ascii="Arial" w:hAnsi="Arial" w:cs="Arial"/>
        </w:rPr>
        <w:t xml:space="preserve">Concurrent to </w:t>
      </w:r>
      <w:r w:rsidR="00C57FE9">
        <w:rPr>
          <w:rFonts w:ascii="Arial" w:hAnsi="Arial" w:cs="Arial"/>
        </w:rPr>
        <w:t>t</w:t>
      </w:r>
      <w:r>
        <w:rPr>
          <w:rFonts w:ascii="Arial" w:hAnsi="Arial" w:cs="Arial"/>
        </w:rPr>
        <w:t>his process, t</w:t>
      </w:r>
      <w:r w:rsidR="002734D0" w:rsidRPr="002734D0">
        <w:rPr>
          <w:rFonts w:ascii="Arial" w:hAnsi="Arial" w:cs="Arial"/>
        </w:rPr>
        <w:t xml:space="preserve">he </w:t>
      </w:r>
      <w:r w:rsidR="0075042D">
        <w:rPr>
          <w:rFonts w:ascii="Arial" w:hAnsi="Arial" w:cs="Arial"/>
        </w:rPr>
        <w:t>d</w:t>
      </w:r>
      <w:r w:rsidR="0075042D" w:rsidRPr="002734D0">
        <w:rPr>
          <w:rFonts w:ascii="Arial" w:hAnsi="Arial" w:cs="Arial"/>
        </w:rPr>
        <w:t xml:space="preserve">epartment </w:t>
      </w:r>
      <w:r>
        <w:rPr>
          <w:rFonts w:ascii="Arial" w:hAnsi="Arial" w:cs="Arial"/>
        </w:rPr>
        <w:t xml:space="preserve">is starting operational matters to ensure developers are </w:t>
      </w:r>
      <w:r w:rsidR="00981CB2">
        <w:rPr>
          <w:rFonts w:ascii="Arial" w:hAnsi="Arial" w:cs="Arial"/>
        </w:rPr>
        <w:t xml:space="preserve">able to </w:t>
      </w:r>
      <w:r>
        <w:rPr>
          <w:rFonts w:ascii="Arial" w:hAnsi="Arial" w:cs="Arial"/>
        </w:rPr>
        <w:t xml:space="preserve">seek licences in a timely manner. This </w:t>
      </w:r>
      <w:r w:rsidR="00F618CA">
        <w:rPr>
          <w:rFonts w:ascii="Arial" w:hAnsi="Arial" w:cs="Arial"/>
        </w:rPr>
        <w:t xml:space="preserve">would </w:t>
      </w:r>
      <w:r>
        <w:rPr>
          <w:rFonts w:ascii="Arial" w:hAnsi="Arial" w:cs="Arial"/>
        </w:rPr>
        <w:t>include:</w:t>
      </w:r>
    </w:p>
    <w:p w:rsidR="00793443" w:rsidRDefault="00B921A9" w:rsidP="002D5AC3">
      <w:pPr>
        <w:pStyle w:val="Bulletlist"/>
        <w:spacing w:line="276" w:lineRule="auto"/>
        <w:ind w:left="714" w:hanging="357"/>
      </w:pPr>
      <w:r>
        <w:t xml:space="preserve">Recruitment of additional staff within the </w:t>
      </w:r>
      <w:r w:rsidR="0075042D">
        <w:t>department</w:t>
      </w:r>
      <w:r w:rsidR="00831F9B">
        <w:t>,</w:t>
      </w:r>
      <w:r>
        <w:t xml:space="preserve"> </w:t>
      </w:r>
    </w:p>
    <w:p w:rsidR="00B921A9" w:rsidRDefault="00B921A9" w:rsidP="002D5AC3">
      <w:pPr>
        <w:pStyle w:val="Bulletlist"/>
        <w:spacing w:line="276" w:lineRule="auto"/>
        <w:ind w:left="714" w:hanging="357"/>
      </w:pPr>
      <w:r>
        <w:t xml:space="preserve">Preparing NOPSEMA and NOPTA </w:t>
      </w:r>
      <w:r w:rsidR="00981CB2">
        <w:t xml:space="preserve">for </w:t>
      </w:r>
      <w:r>
        <w:t>their expanded scope of wo</w:t>
      </w:r>
      <w:r w:rsidR="007119A0">
        <w:t xml:space="preserve">rk following passage of the </w:t>
      </w:r>
      <w:r w:rsidR="00981CB2">
        <w:t>Act</w:t>
      </w:r>
      <w:r w:rsidR="00831F9B">
        <w:t>,</w:t>
      </w:r>
    </w:p>
    <w:p w:rsidR="00B921A9" w:rsidRDefault="00793443" w:rsidP="002D5AC3">
      <w:pPr>
        <w:pStyle w:val="Bulletlist"/>
        <w:spacing w:line="276" w:lineRule="auto"/>
        <w:ind w:left="714" w:hanging="357"/>
      </w:pPr>
      <w:r>
        <w:t xml:space="preserve">Development of guideline </w:t>
      </w:r>
      <w:r w:rsidR="00B921A9">
        <w:t>material to further explain assessment processes, submission of expression of interest</w:t>
      </w:r>
      <w:r w:rsidR="00831F9B">
        <w:t>,</w:t>
      </w:r>
    </w:p>
    <w:p w:rsidR="00793443" w:rsidRDefault="007119A0" w:rsidP="002D5AC3">
      <w:pPr>
        <w:pStyle w:val="Bulletlist"/>
        <w:spacing w:line="276" w:lineRule="auto"/>
        <w:ind w:left="714" w:hanging="357"/>
      </w:pPr>
      <w:r>
        <w:t>Communication material</w:t>
      </w:r>
      <w:r w:rsidR="00793443">
        <w:t xml:space="preserve"> clarification of policy matters on outstanding technical matters</w:t>
      </w:r>
      <w:r w:rsidR="00B921A9">
        <w:t xml:space="preserve"> (for example </w:t>
      </w:r>
      <w:r w:rsidR="00A16103">
        <w:t xml:space="preserve">the </w:t>
      </w:r>
      <w:r w:rsidR="00B921A9">
        <w:t xml:space="preserve">operation of </w:t>
      </w:r>
      <w:r w:rsidR="00A16103">
        <w:t xml:space="preserve">the </w:t>
      </w:r>
      <w:r w:rsidR="00B921A9">
        <w:t>safety zone)</w:t>
      </w:r>
      <w:r w:rsidR="00831F9B">
        <w:t>,</w:t>
      </w:r>
      <w:r>
        <w:t xml:space="preserve"> and</w:t>
      </w:r>
    </w:p>
    <w:p w:rsidR="00793443" w:rsidRPr="00793443" w:rsidRDefault="00793443" w:rsidP="002D5AC3">
      <w:pPr>
        <w:pStyle w:val="Bulletlist"/>
        <w:spacing w:line="276" w:lineRule="auto"/>
        <w:ind w:left="714" w:hanging="357"/>
      </w:pPr>
      <w:r>
        <w:t>Initiating steps to undertake a d</w:t>
      </w:r>
      <w:r w:rsidR="00B921A9">
        <w:t xml:space="preserve">eclaration for a given area such as data collection, due diligence and stakeholder engagement. </w:t>
      </w:r>
    </w:p>
    <w:p w:rsidR="00FC5BCD" w:rsidRPr="007119A0" w:rsidRDefault="00B921A9" w:rsidP="007119A0">
      <w:pPr>
        <w:spacing w:line="276" w:lineRule="auto"/>
        <w:rPr>
          <w:rStyle w:val="Heading2Char"/>
          <w:rFonts w:ascii="Arial" w:eastAsiaTheme="minorHAnsi" w:hAnsi="Arial" w:cs="Arial"/>
          <w:color w:val="auto"/>
          <w:sz w:val="22"/>
          <w:szCs w:val="22"/>
        </w:rPr>
      </w:pPr>
      <w:r>
        <w:rPr>
          <w:rFonts w:ascii="Arial" w:hAnsi="Arial" w:cs="Arial"/>
        </w:rPr>
        <w:t>T</w:t>
      </w:r>
      <w:r w:rsidR="002734D0" w:rsidRPr="002734D0">
        <w:rPr>
          <w:rFonts w:ascii="Arial" w:hAnsi="Arial" w:cs="Arial"/>
        </w:rPr>
        <w:t xml:space="preserve">he </w:t>
      </w:r>
      <w:r w:rsidR="0009546F">
        <w:rPr>
          <w:rFonts w:ascii="Arial" w:hAnsi="Arial" w:cs="Arial"/>
        </w:rPr>
        <w:t>d</w:t>
      </w:r>
      <w:r w:rsidR="002734D0" w:rsidRPr="002734D0">
        <w:rPr>
          <w:rFonts w:ascii="Arial" w:hAnsi="Arial" w:cs="Arial"/>
        </w:rPr>
        <w:t xml:space="preserve">epartment </w:t>
      </w:r>
      <w:r w:rsidR="00F618CA">
        <w:rPr>
          <w:rFonts w:ascii="Arial" w:hAnsi="Arial" w:cs="Arial"/>
        </w:rPr>
        <w:t>would</w:t>
      </w:r>
      <w:r w:rsidR="00F618CA" w:rsidRPr="002734D0">
        <w:rPr>
          <w:rFonts w:ascii="Arial" w:hAnsi="Arial" w:cs="Arial"/>
        </w:rPr>
        <w:t xml:space="preserve"> </w:t>
      </w:r>
      <w:r w:rsidR="002734D0" w:rsidRPr="002734D0">
        <w:rPr>
          <w:rFonts w:ascii="Arial" w:hAnsi="Arial" w:cs="Arial"/>
        </w:rPr>
        <w:t xml:space="preserve">develop an implementation plan that </w:t>
      </w:r>
      <w:r w:rsidR="00F618CA">
        <w:rPr>
          <w:rFonts w:ascii="Arial" w:hAnsi="Arial" w:cs="Arial"/>
        </w:rPr>
        <w:t>would</w:t>
      </w:r>
      <w:r w:rsidR="00F618CA" w:rsidRPr="002734D0">
        <w:rPr>
          <w:rFonts w:ascii="Arial" w:hAnsi="Arial" w:cs="Arial"/>
        </w:rPr>
        <w:t xml:space="preserve"> </w:t>
      </w:r>
      <w:r w:rsidR="002734D0" w:rsidRPr="002734D0">
        <w:rPr>
          <w:rFonts w:ascii="Arial" w:hAnsi="Arial" w:cs="Arial"/>
        </w:rPr>
        <w:t>guide the program of work.</w:t>
      </w:r>
    </w:p>
    <w:p w:rsidR="002734D0" w:rsidRDefault="002734D0" w:rsidP="002734D0">
      <w:pPr>
        <w:spacing w:line="276" w:lineRule="auto"/>
      </w:pPr>
      <w:r w:rsidRPr="002734D0">
        <w:rPr>
          <w:rStyle w:val="Heading2Char"/>
        </w:rPr>
        <w:t>I</w:t>
      </w:r>
      <w:r w:rsidR="00BF338A" w:rsidRPr="002734D0">
        <w:rPr>
          <w:rStyle w:val="Heading2Char"/>
        </w:rPr>
        <w:t>mplementation risks</w:t>
      </w:r>
    </w:p>
    <w:p w:rsidR="002734D0" w:rsidRDefault="00FC5BCD" w:rsidP="002734D0">
      <w:pPr>
        <w:spacing w:line="276" w:lineRule="auto"/>
        <w:rPr>
          <w:rFonts w:ascii="Arial" w:hAnsi="Arial" w:cs="Arial"/>
        </w:rPr>
      </w:pPr>
      <w:r w:rsidRPr="00FC5BCD">
        <w:rPr>
          <w:rFonts w:ascii="Arial" w:hAnsi="Arial" w:cs="Arial"/>
        </w:rPr>
        <w:t>Key implementation risk</w:t>
      </w:r>
      <w:r>
        <w:rPr>
          <w:rFonts w:ascii="Arial" w:hAnsi="Arial" w:cs="Arial"/>
        </w:rPr>
        <w:t>s</w:t>
      </w:r>
    </w:p>
    <w:tbl>
      <w:tblPr>
        <w:tblStyle w:val="PlainTable5"/>
        <w:tblW w:w="9067" w:type="dxa"/>
        <w:tblLook w:val="04A0" w:firstRow="1" w:lastRow="0" w:firstColumn="1" w:lastColumn="0" w:noHBand="0" w:noVBand="1"/>
      </w:tblPr>
      <w:tblGrid>
        <w:gridCol w:w="2835"/>
        <w:gridCol w:w="2267"/>
        <w:gridCol w:w="3965"/>
      </w:tblGrid>
      <w:tr w:rsidR="006767C5" w:rsidTr="00E507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6767C5" w:rsidRPr="005A103B" w:rsidRDefault="006767C5" w:rsidP="006767C5">
            <w:pPr>
              <w:spacing w:line="276" w:lineRule="auto"/>
              <w:rPr>
                <w:rFonts w:ascii="Arial" w:hAnsi="Arial" w:cs="Arial"/>
                <w:b/>
                <w:sz w:val="22"/>
              </w:rPr>
            </w:pPr>
            <w:r w:rsidRPr="005A103B">
              <w:rPr>
                <w:rFonts w:ascii="Arial" w:hAnsi="Arial" w:cs="Arial"/>
                <w:b/>
                <w:sz w:val="22"/>
              </w:rPr>
              <w:t>Risk and rating</w:t>
            </w:r>
          </w:p>
        </w:tc>
        <w:tc>
          <w:tcPr>
            <w:tcW w:w="2267" w:type="dxa"/>
          </w:tcPr>
          <w:p w:rsidR="006767C5" w:rsidRPr="005A103B" w:rsidRDefault="006767C5" w:rsidP="002734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2"/>
              </w:rPr>
            </w:pPr>
            <w:r w:rsidRPr="005A103B">
              <w:rPr>
                <w:rFonts w:ascii="Arial" w:hAnsi="Arial" w:cs="Arial"/>
                <w:b/>
                <w:sz w:val="22"/>
              </w:rPr>
              <w:t xml:space="preserve">Consequence </w:t>
            </w:r>
          </w:p>
        </w:tc>
        <w:tc>
          <w:tcPr>
            <w:tcW w:w="3965" w:type="dxa"/>
          </w:tcPr>
          <w:p w:rsidR="006767C5" w:rsidRPr="005A103B" w:rsidRDefault="006767C5" w:rsidP="002734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sz w:val="22"/>
              </w:rPr>
            </w:pPr>
            <w:r w:rsidRPr="005A103B">
              <w:rPr>
                <w:rFonts w:ascii="Arial" w:hAnsi="Arial" w:cs="Arial"/>
                <w:b/>
                <w:sz w:val="22"/>
              </w:rPr>
              <w:t xml:space="preserve">Management and mitigation </w:t>
            </w:r>
          </w:p>
        </w:tc>
      </w:tr>
      <w:tr w:rsidR="006767C5" w:rsidTr="00E5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767C5" w:rsidRPr="005A103B" w:rsidRDefault="006767C5" w:rsidP="00E507F2">
            <w:pPr>
              <w:pStyle w:val="Bulletlist"/>
              <w:spacing w:line="276" w:lineRule="auto"/>
              <w:ind w:left="714" w:hanging="357"/>
              <w:jc w:val="left"/>
              <w:rPr>
                <w:sz w:val="22"/>
                <w:szCs w:val="22"/>
              </w:rPr>
            </w:pPr>
            <w:r w:rsidRPr="005A103B">
              <w:rPr>
                <w:sz w:val="22"/>
                <w:szCs w:val="22"/>
              </w:rPr>
              <w:t xml:space="preserve">Delay in passage of legislation </w:t>
            </w:r>
            <w:r w:rsidR="00E507F2" w:rsidRPr="005A103B">
              <w:rPr>
                <w:sz w:val="22"/>
                <w:szCs w:val="22"/>
              </w:rPr>
              <w:t>–</w:t>
            </w:r>
            <w:r w:rsidRPr="005A103B">
              <w:rPr>
                <w:sz w:val="22"/>
                <w:szCs w:val="22"/>
              </w:rPr>
              <w:t xml:space="preserve"> </w:t>
            </w:r>
            <w:r w:rsidRPr="003278FC">
              <w:rPr>
                <w:sz w:val="22"/>
                <w:szCs w:val="22"/>
              </w:rPr>
              <w:t>possible</w:t>
            </w:r>
            <w:r w:rsidR="00E507F2" w:rsidRPr="003278FC">
              <w:rPr>
                <w:sz w:val="22"/>
                <w:szCs w:val="22"/>
              </w:rPr>
              <w:t xml:space="preserve"> </w:t>
            </w:r>
          </w:p>
          <w:p w:rsidR="006767C5" w:rsidRPr="005A103B" w:rsidRDefault="006767C5" w:rsidP="00E507F2">
            <w:pPr>
              <w:spacing w:line="276" w:lineRule="auto"/>
              <w:jc w:val="left"/>
              <w:rPr>
                <w:rFonts w:ascii="Arial" w:hAnsi="Arial" w:cs="Arial"/>
                <w:sz w:val="22"/>
              </w:rPr>
            </w:pPr>
          </w:p>
        </w:tc>
        <w:tc>
          <w:tcPr>
            <w:tcW w:w="2267" w:type="dxa"/>
          </w:tcPr>
          <w:p w:rsidR="006767C5" w:rsidRPr="005A103B" w:rsidRDefault="006767C5" w:rsidP="00E507F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A103B">
              <w:rPr>
                <w:rFonts w:ascii="Arial" w:hAnsi="Arial" w:cs="Arial"/>
              </w:rPr>
              <w:t xml:space="preserve">Reduced investor confidence and potential loss of </w:t>
            </w:r>
            <w:r w:rsidR="00E507F2" w:rsidRPr="005A103B">
              <w:rPr>
                <w:rFonts w:ascii="Arial" w:hAnsi="Arial" w:cs="Arial"/>
              </w:rPr>
              <w:t>new and significant</w:t>
            </w:r>
            <w:r w:rsidRPr="005A103B">
              <w:rPr>
                <w:rFonts w:ascii="Arial" w:hAnsi="Arial" w:cs="Arial"/>
              </w:rPr>
              <w:t xml:space="preserve"> investment </w:t>
            </w:r>
            <w:r w:rsidR="00E507F2" w:rsidRPr="005A103B">
              <w:rPr>
                <w:rFonts w:ascii="Arial" w:hAnsi="Arial" w:cs="Arial"/>
              </w:rPr>
              <w:t>(noting any delays would expect to be limited)</w:t>
            </w:r>
          </w:p>
        </w:tc>
        <w:tc>
          <w:tcPr>
            <w:tcW w:w="3965" w:type="dxa"/>
          </w:tcPr>
          <w:p w:rsidR="006767C5" w:rsidRPr="005A103B" w:rsidRDefault="006767C5" w:rsidP="000B4118">
            <w:pPr>
              <w:pStyle w:val="Bulletlis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sidRPr="005A103B">
              <w:rPr>
                <w:szCs w:val="22"/>
              </w:rPr>
              <w:t xml:space="preserve">Before implementation, the Bill will receive further oversight by the Senate Standing Committee on Regulations and Ordinances of Parliament which could impact on timeframes for implementation. </w:t>
            </w:r>
          </w:p>
        </w:tc>
      </w:tr>
    </w:tbl>
    <w:p w:rsidR="007A32B2" w:rsidRDefault="007A32B2">
      <w:r>
        <w:rPr>
          <w:i/>
          <w:iCs/>
        </w:rPr>
        <w:br w:type="page"/>
      </w:r>
    </w:p>
    <w:tbl>
      <w:tblPr>
        <w:tblStyle w:val="PlainTable5"/>
        <w:tblW w:w="9067" w:type="dxa"/>
        <w:tblLook w:val="04A0" w:firstRow="1" w:lastRow="0" w:firstColumn="1" w:lastColumn="0" w:noHBand="0" w:noVBand="1"/>
      </w:tblPr>
      <w:tblGrid>
        <w:gridCol w:w="2835"/>
        <w:gridCol w:w="2267"/>
        <w:gridCol w:w="3965"/>
      </w:tblGrid>
      <w:tr w:rsidR="006767C5" w:rsidTr="00E507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rsidR="006767C5" w:rsidRPr="005A103B" w:rsidRDefault="000F5DC8" w:rsidP="000B4118">
            <w:pPr>
              <w:pStyle w:val="Bulletlist"/>
              <w:spacing w:line="276" w:lineRule="auto"/>
              <w:ind w:left="714" w:hanging="357"/>
              <w:jc w:val="left"/>
              <w:rPr>
                <w:i w:val="0"/>
                <w:sz w:val="22"/>
                <w:szCs w:val="22"/>
              </w:rPr>
            </w:pPr>
            <w:r w:rsidRPr="005A103B">
              <w:rPr>
                <w:sz w:val="22"/>
                <w:szCs w:val="22"/>
              </w:rPr>
              <w:t>Stakeholders do not support legislation and it not fit for purpose</w:t>
            </w:r>
            <w:r w:rsidR="00E507F2" w:rsidRPr="005A103B">
              <w:rPr>
                <w:sz w:val="22"/>
                <w:szCs w:val="22"/>
              </w:rPr>
              <w:t xml:space="preserve"> – </w:t>
            </w:r>
            <w:r w:rsidR="00E507F2" w:rsidRPr="005A103B">
              <w:rPr>
                <w:sz w:val="22"/>
                <w:szCs w:val="22"/>
              </w:rPr>
              <w:br/>
            </w:r>
            <w:r w:rsidR="00E507F2" w:rsidRPr="005A103B">
              <w:rPr>
                <w:i w:val="0"/>
                <w:sz w:val="22"/>
                <w:szCs w:val="22"/>
              </w:rPr>
              <w:t xml:space="preserve">Low likelihood </w:t>
            </w:r>
            <w:r w:rsidR="000B4118">
              <w:rPr>
                <w:i w:val="0"/>
                <w:sz w:val="22"/>
                <w:szCs w:val="22"/>
              </w:rPr>
              <w:t>as</w:t>
            </w:r>
            <w:r w:rsidR="00E507F2" w:rsidRPr="005A103B">
              <w:rPr>
                <w:i w:val="0"/>
                <w:sz w:val="22"/>
                <w:szCs w:val="22"/>
              </w:rPr>
              <w:t xml:space="preserve"> stakeholders </w:t>
            </w:r>
            <w:r w:rsidR="000B4118">
              <w:rPr>
                <w:i w:val="0"/>
                <w:sz w:val="22"/>
                <w:szCs w:val="22"/>
              </w:rPr>
              <w:t xml:space="preserve">are supportive </w:t>
            </w:r>
          </w:p>
        </w:tc>
        <w:tc>
          <w:tcPr>
            <w:tcW w:w="2267" w:type="dxa"/>
          </w:tcPr>
          <w:p w:rsidR="006767C5" w:rsidRPr="005A103B" w:rsidRDefault="00E507F2" w:rsidP="002734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A103B">
              <w:rPr>
                <w:rFonts w:ascii="Arial" w:hAnsi="Arial" w:cs="Arial"/>
              </w:rPr>
              <w:t>Reputational damage to the department and the Australian government.</w:t>
            </w:r>
          </w:p>
          <w:p w:rsidR="00E507F2" w:rsidRPr="005A103B" w:rsidRDefault="00E507F2" w:rsidP="002734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p w:rsidR="00E507F2" w:rsidRPr="005A103B" w:rsidRDefault="00E507F2" w:rsidP="00454E0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5A103B">
              <w:rPr>
                <w:rFonts w:ascii="Arial" w:hAnsi="Arial" w:cs="Arial"/>
              </w:rPr>
              <w:t>Delays in operationalising legislation</w:t>
            </w:r>
          </w:p>
        </w:tc>
        <w:tc>
          <w:tcPr>
            <w:tcW w:w="3965" w:type="dxa"/>
          </w:tcPr>
          <w:p w:rsidR="000F5DC8" w:rsidRPr="005A103B" w:rsidRDefault="000F5DC8" w:rsidP="000F5DC8">
            <w:pPr>
              <w:pStyle w:val="Bulletlist"/>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A103B">
              <w:rPr>
                <w:szCs w:val="22"/>
              </w:rPr>
              <w:t xml:space="preserve">The drafting process has ensure wide, and open consultation with a broad range of stakeholders with feedback followed up as outlined in section 6. </w:t>
            </w:r>
          </w:p>
          <w:p w:rsidR="00E507F2" w:rsidRPr="005A103B" w:rsidRDefault="00E507F2" w:rsidP="000F5DC8">
            <w:pPr>
              <w:pStyle w:val="Bulletlist"/>
              <w:numPr>
                <w:ilvl w:val="0"/>
                <w:numId w:val="0"/>
              </w:num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5A103B">
              <w:rPr>
                <w:szCs w:val="22"/>
              </w:rPr>
              <w:t xml:space="preserve">The development of regulations </w:t>
            </w:r>
            <w:r w:rsidR="00F618CA">
              <w:rPr>
                <w:szCs w:val="22"/>
              </w:rPr>
              <w:t>would</w:t>
            </w:r>
            <w:r w:rsidR="00F618CA" w:rsidRPr="005A103B">
              <w:rPr>
                <w:szCs w:val="22"/>
              </w:rPr>
              <w:t xml:space="preserve"> </w:t>
            </w:r>
            <w:r w:rsidRPr="005A103B">
              <w:rPr>
                <w:szCs w:val="22"/>
              </w:rPr>
              <w:t>undergo further consultation.</w:t>
            </w:r>
          </w:p>
          <w:p w:rsidR="006767C5" w:rsidRPr="005A103B" w:rsidRDefault="006767C5" w:rsidP="002734D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6767C5" w:rsidTr="00E50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6767C5" w:rsidRPr="005A103B" w:rsidRDefault="000F5DC8" w:rsidP="000B4118">
            <w:pPr>
              <w:pStyle w:val="Bulletlist"/>
              <w:spacing w:line="276" w:lineRule="auto"/>
              <w:ind w:left="714" w:hanging="357"/>
              <w:jc w:val="left"/>
              <w:rPr>
                <w:sz w:val="22"/>
                <w:szCs w:val="22"/>
              </w:rPr>
            </w:pPr>
            <w:r w:rsidRPr="005A103B">
              <w:rPr>
                <w:sz w:val="22"/>
                <w:szCs w:val="22"/>
              </w:rPr>
              <w:t>Operational matters are not prepared in sufficient time</w:t>
            </w:r>
            <w:r w:rsidR="00E507F2" w:rsidRPr="005A103B">
              <w:rPr>
                <w:sz w:val="22"/>
                <w:szCs w:val="22"/>
              </w:rPr>
              <w:t xml:space="preserve"> – </w:t>
            </w:r>
            <w:r w:rsidR="00E507F2" w:rsidRPr="005A103B">
              <w:rPr>
                <w:sz w:val="22"/>
                <w:szCs w:val="22"/>
              </w:rPr>
              <w:br/>
            </w:r>
            <w:r w:rsidR="00E507F2" w:rsidRPr="005A103B">
              <w:rPr>
                <w:i w:val="0"/>
                <w:sz w:val="22"/>
                <w:szCs w:val="22"/>
              </w:rPr>
              <w:t xml:space="preserve">Low </w:t>
            </w:r>
            <w:r w:rsidR="006A5123">
              <w:rPr>
                <w:i w:val="0"/>
                <w:sz w:val="22"/>
                <w:szCs w:val="22"/>
              </w:rPr>
              <w:t>likelihood</w:t>
            </w:r>
          </w:p>
        </w:tc>
        <w:tc>
          <w:tcPr>
            <w:tcW w:w="2267" w:type="dxa"/>
          </w:tcPr>
          <w:p w:rsidR="006767C5" w:rsidRPr="005A103B" w:rsidRDefault="00454E0D" w:rsidP="002734D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5A103B">
              <w:rPr>
                <w:rFonts w:ascii="Arial" w:hAnsi="Arial" w:cs="Arial"/>
              </w:rPr>
              <w:t xml:space="preserve">Delays in undertaking declaration </w:t>
            </w:r>
            <w:r w:rsidR="00D52CBF" w:rsidRPr="005A103B">
              <w:rPr>
                <w:rFonts w:ascii="Arial" w:hAnsi="Arial" w:cs="Arial"/>
              </w:rPr>
              <w:t>processes, and the assessment and  provision of licences</w:t>
            </w:r>
          </w:p>
        </w:tc>
        <w:tc>
          <w:tcPr>
            <w:tcW w:w="3965" w:type="dxa"/>
          </w:tcPr>
          <w:p w:rsidR="000F5DC8" w:rsidRPr="005A103B" w:rsidRDefault="000B4118" w:rsidP="000F5DC8">
            <w:pPr>
              <w:pStyle w:val="Bulletlist"/>
              <w:numPr>
                <w:ilvl w:val="0"/>
                <w:numId w:val="0"/>
              </w:numPr>
              <w:spacing w:line="276" w:lineRule="auto"/>
              <w:cnfStyle w:val="000000100000" w:firstRow="0" w:lastRow="0" w:firstColumn="0" w:lastColumn="0" w:oddVBand="0" w:evenVBand="0" w:oddHBand="1" w:evenHBand="0" w:firstRowFirstColumn="0" w:firstRowLastColumn="0" w:lastRowFirstColumn="0" w:lastRowLastColumn="0"/>
              <w:rPr>
                <w:szCs w:val="22"/>
              </w:rPr>
            </w:pPr>
            <w:r>
              <w:rPr>
                <w:szCs w:val="22"/>
              </w:rPr>
              <w:t>Lead times should be adequate, noting that o</w:t>
            </w:r>
            <w:r w:rsidR="000F5DC8" w:rsidRPr="005A103B">
              <w:rPr>
                <w:szCs w:val="22"/>
              </w:rPr>
              <w:t>perationalising the new legislative framework is a significant undertaking</w:t>
            </w:r>
            <w:r>
              <w:rPr>
                <w:szCs w:val="22"/>
              </w:rPr>
              <w:t>. There are many</w:t>
            </w:r>
            <w:r w:rsidR="000F5DC8" w:rsidRPr="005A103B">
              <w:rPr>
                <w:szCs w:val="22"/>
              </w:rPr>
              <w:t xml:space="preserve"> stakeholders, </w:t>
            </w:r>
            <w:r>
              <w:rPr>
                <w:szCs w:val="22"/>
              </w:rPr>
              <w:t xml:space="preserve">a </w:t>
            </w:r>
            <w:r w:rsidR="000F5DC8" w:rsidRPr="005A103B">
              <w:rPr>
                <w:szCs w:val="22"/>
              </w:rPr>
              <w:t>large geographic coverage and the introduction of a new sector to Australia</w:t>
            </w:r>
            <w:r>
              <w:rPr>
                <w:szCs w:val="22"/>
              </w:rPr>
              <w:t>’s</w:t>
            </w:r>
            <w:r w:rsidR="000F5DC8" w:rsidRPr="005A103B">
              <w:rPr>
                <w:szCs w:val="22"/>
              </w:rPr>
              <w:t xml:space="preserve"> offshore region.  </w:t>
            </w:r>
          </w:p>
          <w:p w:rsidR="006767C5" w:rsidRPr="005A103B" w:rsidRDefault="006767C5" w:rsidP="002734D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5DC8" w:rsidTr="00E507F2">
        <w:tc>
          <w:tcPr>
            <w:cnfStyle w:val="001000000000" w:firstRow="0" w:lastRow="0" w:firstColumn="1" w:lastColumn="0" w:oddVBand="0" w:evenVBand="0" w:oddHBand="0" w:evenHBand="0" w:firstRowFirstColumn="0" w:firstRowLastColumn="0" w:lastRowFirstColumn="0" w:lastRowLastColumn="0"/>
            <w:tcW w:w="2835" w:type="dxa"/>
          </w:tcPr>
          <w:p w:rsidR="000F5DC8" w:rsidRPr="005A103B" w:rsidRDefault="000F5DC8" w:rsidP="00533F09">
            <w:pPr>
              <w:pStyle w:val="Bulletlist"/>
              <w:spacing w:line="276" w:lineRule="auto"/>
              <w:ind w:left="714" w:hanging="357"/>
              <w:jc w:val="left"/>
              <w:rPr>
                <w:sz w:val="22"/>
                <w:szCs w:val="22"/>
              </w:rPr>
            </w:pPr>
            <w:r w:rsidRPr="005A103B">
              <w:rPr>
                <w:sz w:val="22"/>
                <w:szCs w:val="22"/>
              </w:rPr>
              <w:t xml:space="preserve">Impacts on affected users </w:t>
            </w:r>
            <w:r w:rsidR="00E507F2" w:rsidRPr="005A103B">
              <w:rPr>
                <w:sz w:val="22"/>
                <w:szCs w:val="22"/>
              </w:rPr>
              <w:t>are</w:t>
            </w:r>
            <w:r w:rsidRPr="005A103B">
              <w:rPr>
                <w:sz w:val="22"/>
                <w:szCs w:val="22"/>
              </w:rPr>
              <w:t xml:space="preserve"> greater than anticipated</w:t>
            </w:r>
            <w:r w:rsidR="00E507F2" w:rsidRPr="005A103B">
              <w:rPr>
                <w:sz w:val="22"/>
                <w:szCs w:val="22"/>
              </w:rPr>
              <w:t xml:space="preserve"> – </w:t>
            </w:r>
            <w:r w:rsidR="00533F09" w:rsidRPr="005A103B">
              <w:rPr>
                <w:sz w:val="22"/>
                <w:szCs w:val="22"/>
              </w:rPr>
              <w:br/>
            </w:r>
            <w:r w:rsidR="00533F09" w:rsidRPr="005A103B">
              <w:rPr>
                <w:i w:val="0"/>
                <w:sz w:val="22"/>
                <w:szCs w:val="22"/>
              </w:rPr>
              <w:t>L</w:t>
            </w:r>
            <w:r w:rsidR="00E507F2" w:rsidRPr="005A103B">
              <w:rPr>
                <w:i w:val="0"/>
                <w:sz w:val="22"/>
                <w:szCs w:val="22"/>
              </w:rPr>
              <w:t>ow likelihood</w:t>
            </w:r>
            <w:r w:rsidR="00E507F2" w:rsidRPr="005A103B">
              <w:rPr>
                <w:sz w:val="22"/>
                <w:szCs w:val="22"/>
              </w:rPr>
              <w:t xml:space="preserve"> </w:t>
            </w:r>
          </w:p>
        </w:tc>
        <w:tc>
          <w:tcPr>
            <w:tcW w:w="2267" w:type="dxa"/>
          </w:tcPr>
          <w:p w:rsidR="000F5DC8" w:rsidRPr="005A103B" w:rsidRDefault="00E507F2" w:rsidP="002734D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5A103B">
              <w:rPr>
                <w:rFonts w:ascii="Arial" w:hAnsi="Arial" w:cs="Arial"/>
              </w:rPr>
              <w:t>Undue costs</w:t>
            </w:r>
          </w:p>
        </w:tc>
        <w:tc>
          <w:tcPr>
            <w:tcW w:w="3965" w:type="dxa"/>
          </w:tcPr>
          <w:p w:rsidR="000F5DC8" w:rsidRPr="005A103B" w:rsidRDefault="000F5DC8" w:rsidP="000F5DC8">
            <w:pPr>
              <w:pStyle w:val="Bulletlist"/>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5A103B">
              <w:rPr>
                <w:szCs w:val="22"/>
              </w:rPr>
              <w:t xml:space="preserve">Every consideration has been made to ensure a flexible, responsive regime that can accommodate the needs of the offshore maritime environment. As previously noted, should the regulatory framework require further refinement to respond to the needs of end users, further conditions and consideration can be included through the declaration, assessment, or within management plans approved as part of issuance of a licence. </w:t>
            </w:r>
          </w:p>
        </w:tc>
      </w:tr>
    </w:tbl>
    <w:p w:rsidR="002270FF" w:rsidRDefault="002270FF" w:rsidP="000F5DC8">
      <w:pPr>
        <w:pStyle w:val="Bulletlist"/>
        <w:numPr>
          <w:ilvl w:val="0"/>
          <w:numId w:val="0"/>
        </w:numPr>
        <w:spacing w:line="276" w:lineRule="auto"/>
      </w:pPr>
    </w:p>
    <w:p w:rsidR="00BF338A" w:rsidRDefault="002734D0" w:rsidP="002734D0">
      <w:pPr>
        <w:pStyle w:val="Heading2"/>
      </w:pPr>
      <w:r>
        <w:t>T</w:t>
      </w:r>
      <w:r w:rsidR="00BF338A">
        <w:t xml:space="preserve">ransitional arrangements </w:t>
      </w:r>
    </w:p>
    <w:p w:rsidR="00335E7A" w:rsidRPr="00222166" w:rsidRDefault="00990009" w:rsidP="00C95A92">
      <w:pPr>
        <w:spacing w:line="276" w:lineRule="auto"/>
        <w:rPr>
          <w:rFonts w:ascii="Arial" w:hAnsi="Arial" w:cs="Arial"/>
        </w:rPr>
      </w:pPr>
      <w:r>
        <w:rPr>
          <w:rFonts w:ascii="Arial" w:hAnsi="Arial" w:cs="Arial"/>
        </w:rPr>
        <w:t>E</w:t>
      </w:r>
      <w:r w:rsidR="00335E7A" w:rsidRPr="00222166">
        <w:rPr>
          <w:rFonts w:ascii="Arial" w:hAnsi="Arial" w:cs="Arial"/>
        </w:rPr>
        <w:t xml:space="preserve">xisting activities and rights underway at the time of commencement </w:t>
      </w:r>
      <w:r w:rsidR="00F618CA">
        <w:rPr>
          <w:rFonts w:ascii="Arial" w:hAnsi="Arial" w:cs="Arial"/>
        </w:rPr>
        <w:t xml:space="preserve">would </w:t>
      </w:r>
      <w:r>
        <w:rPr>
          <w:rFonts w:ascii="Arial" w:hAnsi="Arial" w:cs="Arial"/>
        </w:rPr>
        <w:t>be</w:t>
      </w:r>
      <w:r w:rsidR="00335E7A" w:rsidRPr="00222166">
        <w:rPr>
          <w:rFonts w:ascii="Arial" w:hAnsi="Arial" w:cs="Arial"/>
        </w:rPr>
        <w:t xml:space="preserve"> allowed to continue, specifically: </w:t>
      </w:r>
    </w:p>
    <w:p w:rsidR="00335E7A" w:rsidRPr="00222166" w:rsidRDefault="00FC5BCD" w:rsidP="002D5AC3">
      <w:pPr>
        <w:pStyle w:val="Bulletlist"/>
        <w:spacing w:line="276" w:lineRule="auto"/>
        <w:ind w:left="714" w:hanging="357"/>
      </w:pPr>
      <w:r w:rsidRPr="00222166">
        <w:t>the Basslink cable</w:t>
      </w:r>
      <w:r w:rsidR="00F618CA">
        <w:t>; and</w:t>
      </w:r>
    </w:p>
    <w:p w:rsidR="00335E7A" w:rsidRPr="00222166" w:rsidRDefault="00335E7A" w:rsidP="002D5AC3">
      <w:pPr>
        <w:pStyle w:val="Bulletlist"/>
        <w:spacing w:line="276" w:lineRule="auto"/>
        <w:ind w:left="714" w:hanging="357"/>
      </w:pPr>
      <w:r w:rsidRPr="00222166">
        <w:t>the Star o</w:t>
      </w:r>
      <w:r w:rsidR="00FC5BCD" w:rsidRPr="00222166">
        <w:t>f the South deed of licence</w:t>
      </w:r>
    </w:p>
    <w:p w:rsidR="002734D0" w:rsidRPr="00FC5BCD" w:rsidRDefault="00990009" w:rsidP="00FC5BCD">
      <w:pPr>
        <w:pStyle w:val="Bulletlist"/>
        <w:numPr>
          <w:ilvl w:val="0"/>
          <w:numId w:val="0"/>
        </w:numPr>
        <w:spacing w:line="276" w:lineRule="auto"/>
        <w:rPr>
          <w:rFonts w:eastAsiaTheme="minorHAnsi" w:cs="Arial"/>
          <w:szCs w:val="22"/>
        </w:rPr>
      </w:pPr>
      <w:r>
        <w:rPr>
          <w:rFonts w:eastAsiaTheme="minorHAnsi" w:cs="Arial"/>
          <w:szCs w:val="22"/>
        </w:rPr>
        <w:t>It is proposed the</w:t>
      </w:r>
      <w:r w:rsidR="00335E7A" w:rsidRPr="00222166">
        <w:rPr>
          <w:rFonts w:eastAsiaTheme="minorHAnsi" w:cs="Arial"/>
          <w:szCs w:val="22"/>
        </w:rPr>
        <w:t xml:space="preserve"> regulatory framework </w:t>
      </w:r>
      <w:r w:rsidR="00F618CA">
        <w:rPr>
          <w:rFonts w:eastAsiaTheme="minorHAnsi" w:cs="Arial"/>
          <w:szCs w:val="22"/>
        </w:rPr>
        <w:t xml:space="preserve">would </w:t>
      </w:r>
      <w:r w:rsidR="00335E7A" w:rsidRPr="00222166">
        <w:rPr>
          <w:rFonts w:eastAsiaTheme="minorHAnsi" w:cs="Arial"/>
          <w:szCs w:val="22"/>
        </w:rPr>
        <w:t>not apply to existing activities conducted by the relevant entities in association with the</w:t>
      </w:r>
      <w:r w:rsidR="00027181" w:rsidRPr="00222166">
        <w:rPr>
          <w:rFonts w:eastAsiaTheme="minorHAnsi" w:cs="Arial"/>
          <w:szCs w:val="22"/>
        </w:rPr>
        <w:t>se projects</w:t>
      </w:r>
      <w:r w:rsidR="00831F9B">
        <w:rPr>
          <w:rFonts w:eastAsiaTheme="minorHAnsi" w:cs="Arial"/>
          <w:szCs w:val="22"/>
        </w:rPr>
        <w:t>. T</w:t>
      </w:r>
      <w:r w:rsidR="00335E7A" w:rsidRPr="00222166">
        <w:rPr>
          <w:rFonts w:eastAsiaTheme="minorHAnsi" w:cs="Arial"/>
          <w:szCs w:val="22"/>
        </w:rPr>
        <w:t xml:space="preserve">he framework would </w:t>
      </w:r>
      <w:r w:rsidR="00831F9B">
        <w:rPr>
          <w:rFonts w:eastAsiaTheme="minorHAnsi" w:cs="Arial"/>
          <w:szCs w:val="22"/>
        </w:rPr>
        <w:t xml:space="preserve">however, </w:t>
      </w:r>
      <w:r w:rsidR="00335E7A" w:rsidRPr="00222166">
        <w:rPr>
          <w:rFonts w:eastAsiaTheme="minorHAnsi" w:cs="Arial"/>
          <w:szCs w:val="22"/>
        </w:rPr>
        <w:t xml:space="preserve">apply to those entities </w:t>
      </w:r>
      <w:r>
        <w:rPr>
          <w:rFonts w:eastAsiaTheme="minorHAnsi" w:cs="Arial"/>
          <w:szCs w:val="22"/>
        </w:rPr>
        <w:t xml:space="preserve">where they </w:t>
      </w:r>
      <w:r w:rsidR="00F04550">
        <w:rPr>
          <w:rFonts w:eastAsiaTheme="minorHAnsi" w:cs="Arial"/>
          <w:szCs w:val="22"/>
        </w:rPr>
        <w:t>undertake</w:t>
      </w:r>
      <w:r w:rsidR="00335E7A" w:rsidRPr="00222166">
        <w:rPr>
          <w:rFonts w:eastAsiaTheme="minorHAnsi" w:cs="Arial"/>
          <w:szCs w:val="22"/>
        </w:rPr>
        <w:t xml:space="preserve"> new offshore </w:t>
      </w:r>
      <w:r w:rsidR="00BB041D">
        <w:rPr>
          <w:rFonts w:eastAsiaTheme="minorHAnsi" w:cs="Arial"/>
          <w:szCs w:val="22"/>
        </w:rPr>
        <w:t>electricity infrastructure</w:t>
      </w:r>
      <w:r w:rsidR="00335E7A" w:rsidRPr="00FC5BCD">
        <w:rPr>
          <w:rFonts w:eastAsiaTheme="minorHAnsi" w:cs="Arial"/>
          <w:szCs w:val="22"/>
        </w:rPr>
        <w:t xml:space="preserve"> activities that are not already authorised. It is also intended that the framework should apply to activities associated with those entities’ existing licences if property or licence rights are transferred to a third party.</w:t>
      </w:r>
    </w:p>
    <w:p w:rsidR="00BF338A" w:rsidRDefault="002734D0" w:rsidP="002734D0">
      <w:pPr>
        <w:pStyle w:val="Heading2"/>
      </w:pPr>
      <w:r>
        <w:t>Monitoring and evaluation of policy</w:t>
      </w:r>
      <w:r w:rsidR="00BF338A">
        <w:t xml:space="preserve"> </w:t>
      </w:r>
    </w:p>
    <w:p w:rsidR="00FC5BCD" w:rsidRDefault="0026143F" w:rsidP="00FC5BCD">
      <w:pPr>
        <w:rPr>
          <w:rFonts w:ascii="Arial" w:hAnsi="Arial" w:cs="Arial"/>
        </w:rPr>
      </w:pPr>
      <w:r>
        <w:rPr>
          <w:rFonts w:ascii="Arial" w:hAnsi="Arial" w:cs="Arial"/>
        </w:rPr>
        <w:t>The department has sought to ensure broad and ongoing monitoring and evaluation of the legislation through a variety of processes:</w:t>
      </w:r>
    </w:p>
    <w:p w:rsidR="0026143F" w:rsidRDefault="0026143F" w:rsidP="002A7831">
      <w:pPr>
        <w:pStyle w:val="Bulletlist"/>
        <w:spacing w:line="276" w:lineRule="auto"/>
        <w:ind w:left="714" w:hanging="357"/>
      </w:pPr>
      <w:r>
        <w:t xml:space="preserve">The Offshore </w:t>
      </w:r>
      <w:r w:rsidR="00BB041D">
        <w:t>Electricity Infrastructure</w:t>
      </w:r>
      <w:r>
        <w:t xml:space="preserve"> </w:t>
      </w:r>
      <w:r w:rsidR="0075042D">
        <w:t xml:space="preserve">Interdepartmental Committee </w:t>
      </w:r>
      <w:r>
        <w:t xml:space="preserve">(IDC) have established a </w:t>
      </w:r>
      <w:r w:rsidR="002A7831">
        <w:t>good</w:t>
      </w:r>
      <w:r>
        <w:t xml:space="preserve"> level of awareness of the opportunities and potential impacts of the sector, and a </w:t>
      </w:r>
      <w:r w:rsidR="002A7831">
        <w:t>robust</w:t>
      </w:r>
      <w:r>
        <w:t xml:space="preserve"> network for ongoing engagement and feedback. </w:t>
      </w:r>
    </w:p>
    <w:p w:rsidR="004D7A7E" w:rsidRDefault="00BC5776" w:rsidP="002A7831">
      <w:pPr>
        <w:pStyle w:val="Bulletlist"/>
        <w:spacing w:line="276" w:lineRule="auto"/>
        <w:ind w:left="714" w:hanging="357"/>
      </w:pPr>
      <w:r>
        <w:t>As the most prospective region</w:t>
      </w:r>
      <w:r w:rsidR="00B458D9">
        <w:t>,</w:t>
      </w:r>
      <w:r>
        <w:t xml:space="preserve"> the </w:t>
      </w:r>
      <w:r w:rsidR="0009546F">
        <w:t>d</w:t>
      </w:r>
      <w:r>
        <w:t>epartment has established a l</w:t>
      </w:r>
      <w:r w:rsidR="00027181">
        <w:t xml:space="preserve">ong standing engagement with </w:t>
      </w:r>
      <w:r w:rsidR="00A22BDB">
        <w:t xml:space="preserve">relevant Victorian </w:t>
      </w:r>
      <w:r w:rsidR="00B458D9">
        <w:t xml:space="preserve">government </w:t>
      </w:r>
      <w:r w:rsidR="00027181">
        <w:t>agencies</w:t>
      </w:r>
      <w:r>
        <w:t xml:space="preserve"> to inform roll out at the local level</w:t>
      </w:r>
      <w:r w:rsidR="00027181">
        <w:t xml:space="preserve">. </w:t>
      </w:r>
    </w:p>
    <w:p w:rsidR="0026143F" w:rsidRDefault="000B4118" w:rsidP="002A7831">
      <w:pPr>
        <w:pStyle w:val="Bulletlist"/>
        <w:spacing w:line="276" w:lineRule="auto"/>
        <w:ind w:left="714" w:hanging="357"/>
      </w:pPr>
      <w:r>
        <w:t xml:space="preserve">The </w:t>
      </w:r>
      <w:r w:rsidR="0075042D">
        <w:t xml:space="preserve">department </w:t>
      </w:r>
      <w:r w:rsidR="0026143F">
        <w:t xml:space="preserve">has undertaken extensive external </w:t>
      </w:r>
      <w:r w:rsidR="00312E15">
        <w:t>engagement with industry</w:t>
      </w:r>
      <w:r w:rsidR="00A22BDB">
        <w:t xml:space="preserve"> prior to development of the regulatory framework, as part of formal consultation and during drafting of the Bill. </w:t>
      </w:r>
    </w:p>
    <w:p w:rsidR="00BC5776" w:rsidRPr="00BC1051" w:rsidRDefault="000B4118" w:rsidP="00533F09">
      <w:pPr>
        <w:pStyle w:val="Default"/>
        <w:spacing w:before="120" w:after="120" w:line="276" w:lineRule="auto"/>
        <w:rPr>
          <w:rFonts w:ascii="Arial" w:hAnsi="Arial" w:cs="Arial"/>
          <w:color w:val="auto"/>
          <w:sz w:val="22"/>
          <w:szCs w:val="22"/>
        </w:rPr>
      </w:pPr>
      <w:r>
        <w:rPr>
          <w:rFonts w:ascii="Arial" w:hAnsi="Arial" w:cs="Arial"/>
          <w:color w:val="auto"/>
          <w:sz w:val="22"/>
          <w:szCs w:val="22"/>
        </w:rPr>
        <w:t>Implementation</w:t>
      </w:r>
      <w:r w:rsidRPr="00BC1051">
        <w:rPr>
          <w:rFonts w:ascii="Arial" w:hAnsi="Arial" w:cs="Arial"/>
          <w:color w:val="auto"/>
          <w:sz w:val="22"/>
          <w:szCs w:val="22"/>
        </w:rPr>
        <w:t xml:space="preserve"> </w:t>
      </w:r>
      <w:r w:rsidR="00533F09" w:rsidRPr="00BC1051">
        <w:rPr>
          <w:rFonts w:ascii="Arial" w:hAnsi="Arial" w:cs="Arial"/>
          <w:color w:val="auto"/>
          <w:sz w:val="22"/>
          <w:szCs w:val="22"/>
        </w:rPr>
        <w:t xml:space="preserve">may be further informed by assurance reviews, internal audits and quality reviews, to understand opportunities to improve implementation. </w:t>
      </w:r>
      <w:r w:rsidR="00BC5776" w:rsidRPr="00BC1051">
        <w:rPr>
          <w:rFonts w:ascii="Arial" w:hAnsi="Arial" w:cs="Arial"/>
          <w:color w:val="auto"/>
          <w:sz w:val="22"/>
          <w:szCs w:val="22"/>
        </w:rPr>
        <w:t>More general</w:t>
      </w:r>
      <w:r w:rsidR="00533F09" w:rsidRPr="00BC1051">
        <w:rPr>
          <w:rFonts w:ascii="Arial" w:hAnsi="Arial" w:cs="Arial"/>
          <w:color w:val="auto"/>
          <w:sz w:val="22"/>
          <w:szCs w:val="22"/>
        </w:rPr>
        <w:t xml:space="preserve">ly, monitoring </w:t>
      </w:r>
      <w:r w:rsidR="00F618CA">
        <w:rPr>
          <w:rFonts w:ascii="Arial" w:hAnsi="Arial" w:cs="Arial"/>
          <w:color w:val="auto"/>
          <w:sz w:val="22"/>
          <w:szCs w:val="22"/>
        </w:rPr>
        <w:t>would</w:t>
      </w:r>
      <w:r w:rsidR="00F618CA" w:rsidRPr="00BC1051">
        <w:rPr>
          <w:rFonts w:ascii="Arial" w:hAnsi="Arial" w:cs="Arial"/>
          <w:color w:val="auto"/>
          <w:sz w:val="22"/>
          <w:szCs w:val="22"/>
        </w:rPr>
        <w:t xml:space="preserve"> </w:t>
      </w:r>
      <w:r w:rsidR="00533F09" w:rsidRPr="00BC1051">
        <w:rPr>
          <w:rFonts w:ascii="Arial" w:hAnsi="Arial" w:cs="Arial"/>
          <w:color w:val="auto"/>
          <w:sz w:val="22"/>
          <w:szCs w:val="22"/>
        </w:rPr>
        <w:t>take place through</w:t>
      </w:r>
      <w:r w:rsidR="00BC5776" w:rsidRPr="00BC1051">
        <w:rPr>
          <w:rFonts w:ascii="Arial" w:hAnsi="Arial" w:cs="Arial"/>
          <w:color w:val="auto"/>
          <w:sz w:val="22"/>
          <w:szCs w:val="22"/>
        </w:rPr>
        <w:t xml:space="preserve"> existing communications channels </w:t>
      </w:r>
      <w:r w:rsidR="00533F09" w:rsidRPr="00BC1051">
        <w:rPr>
          <w:rFonts w:ascii="Arial" w:hAnsi="Arial" w:cs="Arial"/>
          <w:color w:val="auto"/>
          <w:sz w:val="22"/>
          <w:szCs w:val="22"/>
        </w:rPr>
        <w:t xml:space="preserve">with </w:t>
      </w:r>
      <w:r w:rsidR="00BC5776" w:rsidRPr="00BC1051">
        <w:rPr>
          <w:rFonts w:ascii="Arial" w:hAnsi="Arial" w:cs="Arial"/>
          <w:color w:val="auto"/>
          <w:sz w:val="22"/>
          <w:szCs w:val="22"/>
        </w:rPr>
        <w:t>industry stakeholders</w:t>
      </w:r>
      <w:r w:rsidR="00BC1051" w:rsidRPr="00BC1051">
        <w:rPr>
          <w:rFonts w:ascii="Arial" w:hAnsi="Arial" w:cs="Arial"/>
          <w:color w:val="auto"/>
          <w:sz w:val="22"/>
          <w:szCs w:val="22"/>
        </w:rPr>
        <w:t>.</w:t>
      </w:r>
      <w:r w:rsidR="00BC5776" w:rsidRPr="00BC1051">
        <w:rPr>
          <w:rFonts w:ascii="Arial" w:hAnsi="Arial" w:cs="Arial"/>
          <w:color w:val="auto"/>
          <w:sz w:val="22"/>
          <w:szCs w:val="22"/>
        </w:rPr>
        <w:t xml:space="preserve"> </w:t>
      </w:r>
    </w:p>
    <w:p w:rsidR="00BC5776" w:rsidRPr="00FC5BCD" w:rsidRDefault="00BC5776" w:rsidP="00533F09">
      <w:pPr>
        <w:spacing w:line="276" w:lineRule="auto"/>
        <w:rPr>
          <w:rFonts w:ascii="Arial" w:hAnsi="Arial" w:cs="Arial"/>
        </w:rPr>
      </w:pPr>
    </w:p>
    <w:sectPr w:rsidR="00BC5776" w:rsidRPr="00FC5BCD" w:rsidSect="0068286F">
      <w:headerReference w:type="default" r:id="rId15"/>
      <w:footerReference w:type="default" r:id="rId16"/>
      <w:headerReference w:type="first" r:id="rId17"/>
      <w:footerReference w:type="first" r:id="rId18"/>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59" w:rsidRDefault="009D3659" w:rsidP="00B251DB">
      <w:pPr>
        <w:spacing w:after="0" w:line="240" w:lineRule="auto"/>
      </w:pPr>
      <w:r>
        <w:separator/>
      </w:r>
    </w:p>
  </w:endnote>
  <w:endnote w:type="continuationSeparator" w:id="0">
    <w:p w:rsidR="009D3659" w:rsidRDefault="009D3659" w:rsidP="00B251DB">
      <w:pPr>
        <w:spacing w:after="0" w:line="240" w:lineRule="auto"/>
      </w:pPr>
      <w:r>
        <w:continuationSeparator/>
      </w:r>
    </w:p>
  </w:endnote>
  <w:endnote w:type="continuationNotice" w:id="1">
    <w:p w:rsidR="009D3659" w:rsidRDefault="009D3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Ultra Light">
    <w:altName w:val="Montserrat Ultr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64" w:rsidRDefault="00C22764" w:rsidP="00BD0F8A">
    <w:pPr>
      <w:pStyle w:val="Footer"/>
      <w:jc w:val="right"/>
      <w:rPr>
        <w:noProof/>
      </w:rPr>
    </w:pPr>
    <w:sdt>
      <w:sdtPr>
        <w:alias w:val="Title"/>
        <w:tag w:val=""/>
        <w:id w:val="-1005120900"/>
        <w:placeholder>
          <w:docPart w:val="223018F279E6422FB90E717AC855E64C"/>
        </w:placeholder>
        <w:dataBinding w:prefixMappings="xmlns:ns0='http://purl.org/dc/elements/1.1/' xmlns:ns1='http://schemas.openxmlformats.org/package/2006/metadata/core-properties' " w:xpath="/ns1:coreProperties[1]/ns0:title[1]" w:storeItemID="{6C3C8BC8-F283-45AE-878A-BAB7291924A1}"/>
        <w:text/>
      </w:sdtPr>
      <w:sdtContent>
        <w:r>
          <w:t>RIS – Offshore Electricity Infrastructure</w:t>
        </w:r>
      </w:sdtContent>
    </w:sdt>
    <w:r>
      <w:tab/>
      <w:t>industry.gov.au</w:t>
    </w: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E5701">
          <w:rPr>
            <w:noProof/>
          </w:rPr>
          <w:t>26</w:t>
        </w:r>
        <w:r>
          <w:rPr>
            <w:noProof/>
          </w:rPr>
          <w:fldChar w:fldCharType="end"/>
        </w:r>
      </w:sdtContent>
    </w:sdt>
  </w:p>
  <w:p w:rsidR="00C22764" w:rsidRPr="008F5772" w:rsidRDefault="00C22764" w:rsidP="008F5772">
    <w:pPr>
      <w:pStyle w:val="Header"/>
      <w:jc w:val="center"/>
      <w:rPr>
        <w:b/>
        <w:color w:val="FF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64" w:rsidRDefault="00C22764">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rsidR="00C22764" w:rsidRPr="008F5772" w:rsidRDefault="00C22764" w:rsidP="008F5772">
    <w:pPr>
      <w:pStyle w:val="Header"/>
      <w:jc w:val="center"/>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59" w:rsidRDefault="009D3659" w:rsidP="00B251DB">
      <w:pPr>
        <w:spacing w:after="0" w:line="240" w:lineRule="auto"/>
      </w:pPr>
      <w:r>
        <w:separator/>
      </w:r>
    </w:p>
  </w:footnote>
  <w:footnote w:type="continuationSeparator" w:id="0">
    <w:p w:rsidR="009D3659" w:rsidRDefault="009D3659" w:rsidP="00B251DB">
      <w:pPr>
        <w:spacing w:after="0" w:line="240" w:lineRule="auto"/>
      </w:pPr>
      <w:r>
        <w:continuationSeparator/>
      </w:r>
    </w:p>
  </w:footnote>
  <w:footnote w:type="continuationNotice" w:id="1">
    <w:p w:rsidR="009D3659" w:rsidRDefault="009D3659">
      <w:pPr>
        <w:spacing w:after="0" w:line="240" w:lineRule="auto"/>
      </w:pPr>
    </w:p>
  </w:footnote>
  <w:footnote w:id="2">
    <w:p w:rsidR="00C22764" w:rsidRDefault="00C22764">
      <w:pPr>
        <w:pStyle w:val="FootnoteText"/>
      </w:pPr>
      <w:r>
        <w:rPr>
          <w:rStyle w:val="FootnoteReference"/>
        </w:rPr>
        <w:footnoteRef/>
      </w:r>
      <w:r>
        <w:t xml:space="preserve"> Global Wind Energy Council, Global Offshore Wind Report 2020.  Source: </w:t>
      </w:r>
      <w:r w:rsidRPr="006369BF">
        <w:t>https://gwec.net/global-offshore-wind-report-2020/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64" w:rsidRPr="008F5772" w:rsidRDefault="00C22764" w:rsidP="008F5772">
    <w:pPr>
      <w:pStyle w:val="Header"/>
      <w:jc w:val="center"/>
      <w:rPr>
        <w:b/>
        <w:color w:val="FF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64" w:rsidRPr="004B2776" w:rsidRDefault="00C22764" w:rsidP="00E47E7A">
    <w:pPr>
      <w:pStyle w:val="Header"/>
      <w:rPr>
        <w:b/>
        <w:color w:val="FF0000"/>
        <w:sz w:val="28"/>
        <w:szCs w:val="28"/>
      </w:rPr>
    </w:pPr>
  </w:p>
  <w:p w:rsidR="00C22764" w:rsidRDefault="00C22764">
    <w:pPr>
      <w:pStyle w:val="Header"/>
    </w:pPr>
    <w:r>
      <w:rPr>
        <w:noProof/>
        <w:lang w:eastAsia="en-AU"/>
      </w:rPr>
      <mc:AlternateContent>
        <mc:Choice Requires="wps">
          <w:drawing>
            <wp:anchor distT="0" distB="0" distL="114300" distR="114300" simplePos="0" relativeHeight="251658240" behindDoc="1" locked="0" layoutInCell="1" allowOverlap="1" wp14:anchorId="46528E8E" wp14:editId="6833A6F1">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4A7BD" id="Rectangle 1" o:spid="_x0000_s1026" alt="Title: Departmental background colour gradient - Description: Departmental background colour gradien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" fillcolor="#00283e [3205]" strokecolor="#484a4c [1604]" strokeweight="1pt">
              <v:fill color2="#1b9590 [3206]" colors="0 #00283e;33423f #005677;1 #1b9590" focus="100%" type="gradient"/>
              <w10:wrap anchorx="page" anchory="page"/>
            </v:rect>
          </w:pict>
        </mc:Fallback>
      </mc:AlternateContent>
    </w:r>
    <w:r w:rsidRPr="00180BF8">
      <w:rPr>
        <w:noProof/>
        <w:lang w:eastAsia="en-AU"/>
      </w:rPr>
      <w:drawing>
        <wp:inline distT="0" distB="0" distL="0" distR="0" wp14:anchorId="20984A30" wp14:editId="0D62D6BA">
          <wp:extent cx="2696400" cy="698400"/>
          <wp:effectExtent l="0" t="0" r="0" b="6985"/>
          <wp:docPr id="2" name="Picture 2"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C8C86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2B3D43"/>
    <w:multiLevelType w:val="hybridMultilevel"/>
    <w:tmpl w:val="EDFE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E7A73"/>
    <w:multiLevelType w:val="hybridMultilevel"/>
    <w:tmpl w:val="C14C32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802181"/>
    <w:multiLevelType w:val="multilevel"/>
    <w:tmpl w:val="2B3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939598" w:themeColor="accent1"/>
      </w:rPr>
    </w:lvl>
    <w:lvl w:ilvl="1" w:tplc="21E8437E">
      <w:start w:val="1"/>
      <w:numFmt w:val="bullet"/>
      <w:lvlText w:val="-"/>
      <w:lvlJc w:val="left"/>
      <w:pPr>
        <w:ind w:left="1440" w:hanging="360"/>
      </w:pPr>
      <w:rPr>
        <w:rFonts w:ascii="Courier New" w:hAnsi="Courier New" w:hint="default"/>
        <w:color w:val="939598"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76382"/>
    <w:multiLevelType w:val="hybridMultilevel"/>
    <w:tmpl w:val="610E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64188"/>
    <w:multiLevelType w:val="hybridMultilevel"/>
    <w:tmpl w:val="974A8756"/>
    <w:lvl w:ilvl="0" w:tplc="376EFEB4">
      <w:start w:val="1"/>
      <w:numFmt w:val="bullet"/>
      <w:lvlText w:val=""/>
      <w:lvlJc w:val="left"/>
      <w:pPr>
        <w:ind w:left="720" w:hanging="360"/>
      </w:pPr>
      <w:rPr>
        <w:rFonts w:ascii="Symbol" w:hAnsi="Symbol" w:hint="default"/>
        <w:color w:val="00283E" w:themeColor="accen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A5D66"/>
    <w:multiLevelType w:val="hybridMultilevel"/>
    <w:tmpl w:val="C0D4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5C0272"/>
    <w:multiLevelType w:val="hybridMultilevel"/>
    <w:tmpl w:val="4AFC1F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B6849C2"/>
    <w:multiLevelType w:val="multilevel"/>
    <w:tmpl w:val="4622FB64"/>
    <w:lvl w:ilvl="0">
      <w:start w:val="1"/>
      <w:numFmt w:val="decimal"/>
      <w:lvlText w:val="%1"/>
      <w:lvlJc w:val="left"/>
      <w:pPr>
        <w:ind w:left="432" w:hanging="432"/>
      </w:pPr>
    </w:lvl>
    <w:lvl w:ilvl="1">
      <w:start w:val="1"/>
      <w:numFmt w:val="decimal"/>
      <w:lvlText w:val="%1.%2"/>
      <w:lvlJc w:val="left"/>
      <w:pPr>
        <w:ind w:left="576" w:hanging="576"/>
      </w:pPr>
      <w:rPr>
        <w:rFonts w:asciiTheme="majorHAnsi" w:hAnsiTheme="majorHAnsi" w:cstheme="majorHAnsi" w:hint="default"/>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D8012BB"/>
    <w:multiLevelType w:val="hybridMultilevel"/>
    <w:tmpl w:val="877AE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906DD7"/>
    <w:multiLevelType w:val="hybridMultilevel"/>
    <w:tmpl w:val="53204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871D23"/>
    <w:multiLevelType w:val="hybridMultilevel"/>
    <w:tmpl w:val="F1E6A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292BD5"/>
    <w:multiLevelType w:val="hybridMultilevel"/>
    <w:tmpl w:val="624A4D5C"/>
    <w:lvl w:ilvl="0" w:tplc="C0FAC3A6">
      <w:start w:val="1"/>
      <w:numFmt w:val="decimal"/>
      <w:suff w:val="space"/>
      <w:lvlText w:val="%1)"/>
      <w:lvlJc w:val="left"/>
      <w:pPr>
        <w:ind w:left="284" w:hanging="57"/>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C403C"/>
    <w:multiLevelType w:val="hybridMultilevel"/>
    <w:tmpl w:val="138E784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662BA4"/>
    <w:multiLevelType w:val="hybridMultilevel"/>
    <w:tmpl w:val="EA06AE8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6" w15:restartNumberingAfterBreak="0">
    <w:nsid w:val="4A5903E3"/>
    <w:multiLevelType w:val="hybridMultilevel"/>
    <w:tmpl w:val="91841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DA4FF2"/>
    <w:multiLevelType w:val="hybridMultilevel"/>
    <w:tmpl w:val="8586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51430"/>
    <w:multiLevelType w:val="hybridMultilevel"/>
    <w:tmpl w:val="8C949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8C04B5"/>
    <w:multiLevelType w:val="hybridMultilevel"/>
    <w:tmpl w:val="921C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60B97"/>
    <w:multiLevelType w:val="hybridMultilevel"/>
    <w:tmpl w:val="132E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A864AC"/>
    <w:multiLevelType w:val="hybridMultilevel"/>
    <w:tmpl w:val="E6142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552CA8"/>
    <w:multiLevelType w:val="hybridMultilevel"/>
    <w:tmpl w:val="E5A4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AD3CC8"/>
    <w:multiLevelType w:val="hybridMultilevel"/>
    <w:tmpl w:val="A13CF6D4"/>
    <w:lvl w:ilvl="0" w:tplc="0D108EEC">
      <w:numFmt w:val="bullet"/>
      <w:lvlText w:val="-"/>
      <w:lvlJc w:val="left"/>
      <w:pPr>
        <w:ind w:left="481" w:hanging="360"/>
      </w:pPr>
      <w:rPr>
        <w:rFonts w:ascii="Calibri" w:eastAsiaTheme="minorHAnsi" w:hAnsi="Calibri" w:cs="Calibri" w:hint="default"/>
      </w:rPr>
    </w:lvl>
    <w:lvl w:ilvl="1" w:tplc="0C090003" w:tentative="1">
      <w:start w:val="1"/>
      <w:numFmt w:val="bullet"/>
      <w:lvlText w:val="o"/>
      <w:lvlJc w:val="left"/>
      <w:pPr>
        <w:ind w:left="1201" w:hanging="360"/>
      </w:pPr>
      <w:rPr>
        <w:rFonts w:ascii="Courier New" w:hAnsi="Courier New" w:cs="Courier New" w:hint="default"/>
      </w:rPr>
    </w:lvl>
    <w:lvl w:ilvl="2" w:tplc="0C090005" w:tentative="1">
      <w:start w:val="1"/>
      <w:numFmt w:val="bullet"/>
      <w:lvlText w:val=""/>
      <w:lvlJc w:val="left"/>
      <w:pPr>
        <w:ind w:left="1921" w:hanging="360"/>
      </w:pPr>
      <w:rPr>
        <w:rFonts w:ascii="Wingdings" w:hAnsi="Wingdings" w:hint="default"/>
      </w:rPr>
    </w:lvl>
    <w:lvl w:ilvl="3" w:tplc="0C090001" w:tentative="1">
      <w:start w:val="1"/>
      <w:numFmt w:val="bullet"/>
      <w:lvlText w:val=""/>
      <w:lvlJc w:val="left"/>
      <w:pPr>
        <w:ind w:left="2641" w:hanging="360"/>
      </w:pPr>
      <w:rPr>
        <w:rFonts w:ascii="Symbol" w:hAnsi="Symbol" w:hint="default"/>
      </w:rPr>
    </w:lvl>
    <w:lvl w:ilvl="4" w:tplc="0C090003" w:tentative="1">
      <w:start w:val="1"/>
      <w:numFmt w:val="bullet"/>
      <w:lvlText w:val="o"/>
      <w:lvlJc w:val="left"/>
      <w:pPr>
        <w:ind w:left="3361" w:hanging="360"/>
      </w:pPr>
      <w:rPr>
        <w:rFonts w:ascii="Courier New" w:hAnsi="Courier New" w:cs="Courier New" w:hint="default"/>
      </w:rPr>
    </w:lvl>
    <w:lvl w:ilvl="5" w:tplc="0C090005" w:tentative="1">
      <w:start w:val="1"/>
      <w:numFmt w:val="bullet"/>
      <w:lvlText w:val=""/>
      <w:lvlJc w:val="left"/>
      <w:pPr>
        <w:ind w:left="4081" w:hanging="360"/>
      </w:pPr>
      <w:rPr>
        <w:rFonts w:ascii="Wingdings" w:hAnsi="Wingdings" w:hint="default"/>
      </w:rPr>
    </w:lvl>
    <w:lvl w:ilvl="6" w:tplc="0C090001" w:tentative="1">
      <w:start w:val="1"/>
      <w:numFmt w:val="bullet"/>
      <w:lvlText w:val=""/>
      <w:lvlJc w:val="left"/>
      <w:pPr>
        <w:ind w:left="4801" w:hanging="360"/>
      </w:pPr>
      <w:rPr>
        <w:rFonts w:ascii="Symbol" w:hAnsi="Symbol" w:hint="default"/>
      </w:rPr>
    </w:lvl>
    <w:lvl w:ilvl="7" w:tplc="0C090003" w:tentative="1">
      <w:start w:val="1"/>
      <w:numFmt w:val="bullet"/>
      <w:lvlText w:val="o"/>
      <w:lvlJc w:val="left"/>
      <w:pPr>
        <w:ind w:left="5521" w:hanging="360"/>
      </w:pPr>
      <w:rPr>
        <w:rFonts w:ascii="Courier New" w:hAnsi="Courier New" w:cs="Courier New" w:hint="default"/>
      </w:rPr>
    </w:lvl>
    <w:lvl w:ilvl="8" w:tplc="0C090005" w:tentative="1">
      <w:start w:val="1"/>
      <w:numFmt w:val="bullet"/>
      <w:lvlText w:val=""/>
      <w:lvlJc w:val="left"/>
      <w:pPr>
        <w:ind w:left="6241" w:hanging="360"/>
      </w:pPr>
      <w:rPr>
        <w:rFonts w:ascii="Wingdings" w:hAnsi="Wingdings" w:hint="default"/>
      </w:rPr>
    </w:lvl>
  </w:abstractNum>
  <w:abstractNum w:abstractNumId="25" w15:restartNumberingAfterBreak="0">
    <w:nsid w:val="69953980"/>
    <w:multiLevelType w:val="hybridMultilevel"/>
    <w:tmpl w:val="375E9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0FE00C2"/>
    <w:multiLevelType w:val="hybridMultilevel"/>
    <w:tmpl w:val="E7404536"/>
    <w:lvl w:ilvl="0" w:tplc="8E060C68">
      <w:start w:val="1"/>
      <w:numFmt w:val="bullet"/>
      <w:pStyle w:val="Bulletlist"/>
      <w:lvlText w:val=""/>
      <w:lvlJc w:val="left"/>
      <w:pPr>
        <w:ind w:left="-65" w:hanging="360"/>
      </w:pPr>
      <w:rPr>
        <w:rFonts w:ascii="Wingdings" w:hAnsi="Wingdings" w:hint="default"/>
        <w:color w:val="939598" w:themeColor="accent1"/>
      </w:rPr>
    </w:lvl>
    <w:lvl w:ilvl="1" w:tplc="04090003">
      <w:start w:val="1"/>
      <w:numFmt w:val="bullet"/>
      <w:lvlText w:val="o"/>
      <w:lvlJc w:val="left"/>
      <w:pPr>
        <w:ind w:left="732" w:hanging="360"/>
      </w:pPr>
      <w:rPr>
        <w:rFonts w:ascii="Courier New" w:hAnsi="Courier New" w:hint="default"/>
      </w:rPr>
    </w:lvl>
    <w:lvl w:ilvl="2" w:tplc="0C090003">
      <w:start w:val="1"/>
      <w:numFmt w:val="bullet"/>
      <w:lvlText w:val="o"/>
      <w:lvlJc w:val="left"/>
      <w:pPr>
        <w:ind w:left="1452" w:hanging="360"/>
      </w:pPr>
      <w:rPr>
        <w:rFonts w:ascii="Courier New" w:hAnsi="Courier New" w:cs="Courier New" w:hint="default"/>
      </w:rPr>
    </w:lvl>
    <w:lvl w:ilvl="3" w:tplc="0409000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27" w15:restartNumberingAfterBreak="0">
    <w:nsid w:val="717E32FC"/>
    <w:multiLevelType w:val="hybridMultilevel"/>
    <w:tmpl w:val="6EDA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41A60"/>
    <w:multiLevelType w:val="hybridMultilevel"/>
    <w:tmpl w:val="374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700E2F"/>
    <w:multiLevelType w:val="hybridMultilevel"/>
    <w:tmpl w:val="C40EE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E7025"/>
    <w:multiLevelType w:val="hybridMultilevel"/>
    <w:tmpl w:val="0832A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0D1EE5"/>
    <w:multiLevelType w:val="multilevel"/>
    <w:tmpl w:val="C5F6E5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BD6365"/>
    <w:multiLevelType w:val="hybridMultilevel"/>
    <w:tmpl w:val="A690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5"/>
  </w:num>
  <w:num w:numId="4">
    <w:abstractNumId w:val="28"/>
  </w:num>
  <w:num w:numId="5">
    <w:abstractNumId w:val="32"/>
  </w:num>
  <w:num w:numId="6">
    <w:abstractNumId w:val="4"/>
  </w:num>
  <w:num w:numId="7">
    <w:abstractNumId w:val="16"/>
  </w:num>
  <w:num w:numId="8">
    <w:abstractNumId w:val="23"/>
  </w:num>
  <w:num w:numId="9">
    <w:abstractNumId w:val="12"/>
  </w:num>
  <w:num w:numId="10">
    <w:abstractNumId w:val="29"/>
  </w:num>
  <w:num w:numId="11">
    <w:abstractNumId w:val="9"/>
  </w:num>
  <w:num w:numId="12">
    <w:abstractNumId w:val="17"/>
  </w:num>
  <w:num w:numId="13">
    <w:abstractNumId w:val="26"/>
  </w:num>
  <w:num w:numId="14">
    <w:abstractNumId w:val="20"/>
  </w:num>
  <w:num w:numId="15">
    <w:abstractNumId w:val="0"/>
  </w:num>
  <w:num w:numId="16">
    <w:abstractNumId w:val="2"/>
  </w:num>
  <w:num w:numId="17">
    <w:abstractNumId w:val="22"/>
  </w:num>
  <w:num w:numId="18">
    <w:abstractNumId w:val="30"/>
  </w:num>
  <w:num w:numId="19">
    <w:abstractNumId w:val="27"/>
  </w:num>
  <w:num w:numId="20">
    <w:abstractNumId w:val="18"/>
  </w:num>
  <w:num w:numId="21">
    <w:abstractNumId w:val="13"/>
  </w:num>
  <w:num w:numId="22">
    <w:abstractNumId w:val="24"/>
  </w:num>
  <w:num w:numId="23">
    <w:abstractNumId w:val="25"/>
  </w:num>
  <w:num w:numId="24">
    <w:abstractNumId w:val="15"/>
  </w:num>
  <w:num w:numId="25">
    <w:abstractNumId w:val="3"/>
  </w:num>
  <w:num w:numId="26">
    <w:abstractNumId w:val="21"/>
  </w:num>
  <w:num w:numId="27">
    <w:abstractNumId w:val="26"/>
  </w:num>
  <w:num w:numId="28">
    <w:abstractNumId w:val="10"/>
  </w:num>
  <w:num w:numId="29">
    <w:abstractNumId w:val="7"/>
  </w:num>
  <w:num w:numId="30">
    <w:abstractNumId w:val="11"/>
  </w:num>
  <w:num w:numId="31">
    <w:abstractNumId w:val="26"/>
  </w:num>
  <w:num w:numId="32">
    <w:abstractNumId w:val="14"/>
  </w:num>
  <w:num w:numId="33">
    <w:abstractNumId w:val="8"/>
  </w:num>
  <w:num w:numId="34">
    <w:abstractNumId w:val="1"/>
  </w:num>
  <w:num w:numId="35">
    <w:abstractNumId w:val="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 w:numId="49">
    <w:abstractNumId w:val="26"/>
  </w:num>
  <w:num w:numId="50">
    <w:abstractNumId w:val="26"/>
  </w:num>
  <w:num w:numId="51">
    <w:abstractNumId w:val="26"/>
  </w:num>
  <w:num w:numId="52">
    <w:abstractNumId w:val="26"/>
  </w:num>
  <w:num w:numId="53">
    <w:abstractNumId w:val="26"/>
  </w:num>
  <w:num w:numId="54">
    <w:abstractNumId w:val="26"/>
  </w:num>
  <w:num w:numId="55">
    <w:abstractNumId w:val="26"/>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num>
  <w:num w:numId="63">
    <w:abstractNumId w:val="26"/>
  </w:num>
  <w:num w:numId="64">
    <w:abstractNumId w:val="26"/>
  </w:num>
  <w:num w:numId="65">
    <w:abstractNumId w:val="26"/>
  </w:num>
  <w:num w:numId="66">
    <w:abstractNumId w:val="26"/>
  </w:num>
  <w:num w:numId="67">
    <w:abstractNumId w:val="26"/>
  </w:num>
  <w:num w:numId="68">
    <w:abstractNumId w:val="26"/>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26"/>
  </w:num>
  <w:num w:numId="90">
    <w:abstractNumId w:val="26"/>
  </w:num>
  <w:num w:numId="91">
    <w:abstractNumId w:val="26"/>
  </w:num>
  <w:num w:numId="92">
    <w:abstractNumId w:val="26"/>
  </w:num>
  <w:num w:numId="93">
    <w:abstractNumId w:val="2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22"/>
    <w:rsid w:val="00000171"/>
    <w:rsid w:val="000031C8"/>
    <w:rsid w:val="000031E6"/>
    <w:rsid w:val="00003CEA"/>
    <w:rsid w:val="00005247"/>
    <w:rsid w:val="00005821"/>
    <w:rsid w:val="00023883"/>
    <w:rsid w:val="00027181"/>
    <w:rsid w:val="00030CF3"/>
    <w:rsid w:val="00031695"/>
    <w:rsid w:val="00032995"/>
    <w:rsid w:val="0004223E"/>
    <w:rsid w:val="00044A38"/>
    <w:rsid w:val="00044FD0"/>
    <w:rsid w:val="000552B3"/>
    <w:rsid w:val="00055B0C"/>
    <w:rsid w:val="000653CD"/>
    <w:rsid w:val="00065983"/>
    <w:rsid w:val="0007067B"/>
    <w:rsid w:val="00071648"/>
    <w:rsid w:val="00075DF8"/>
    <w:rsid w:val="00076133"/>
    <w:rsid w:val="000803DB"/>
    <w:rsid w:val="00081D07"/>
    <w:rsid w:val="00082DBA"/>
    <w:rsid w:val="00084230"/>
    <w:rsid w:val="000846F3"/>
    <w:rsid w:val="00085C6D"/>
    <w:rsid w:val="00092A75"/>
    <w:rsid w:val="000937EE"/>
    <w:rsid w:val="0009546F"/>
    <w:rsid w:val="00095DCC"/>
    <w:rsid w:val="000974EA"/>
    <w:rsid w:val="00097F43"/>
    <w:rsid w:val="000A5C22"/>
    <w:rsid w:val="000B00F4"/>
    <w:rsid w:val="000B0848"/>
    <w:rsid w:val="000B214F"/>
    <w:rsid w:val="000B26C9"/>
    <w:rsid w:val="000B4118"/>
    <w:rsid w:val="000B4BFD"/>
    <w:rsid w:val="000B4F45"/>
    <w:rsid w:val="000B590C"/>
    <w:rsid w:val="000B5E49"/>
    <w:rsid w:val="000B7F02"/>
    <w:rsid w:val="000C0FA2"/>
    <w:rsid w:val="000C1F06"/>
    <w:rsid w:val="000C3494"/>
    <w:rsid w:val="000C4432"/>
    <w:rsid w:val="000C5FCE"/>
    <w:rsid w:val="000D3800"/>
    <w:rsid w:val="000D50D9"/>
    <w:rsid w:val="000D6181"/>
    <w:rsid w:val="000D743F"/>
    <w:rsid w:val="000E08F4"/>
    <w:rsid w:val="000E08F8"/>
    <w:rsid w:val="000E1DEF"/>
    <w:rsid w:val="000E599A"/>
    <w:rsid w:val="000E7EE2"/>
    <w:rsid w:val="000F085C"/>
    <w:rsid w:val="000F09F1"/>
    <w:rsid w:val="000F2564"/>
    <w:rsid w:val="000F2F1A"/>
    <w:rsid w:val="000F3426"/>
    <w:rsid w:val="000F3B17"/>
    <w:rsid w:val="000F5DC8"/>
    <w:rsid w:val="00102EED"/>
    <w:rsid w:val="0010473A"/>
    <w:rsid w:val="00104D77"/>
    <w:rsid w:val="00105536"/>
    <w:rsid w:val="001074FF"/>
    <w:rsid w:val="001079C5"/>
    <w:rsid w:val="00107AD2"/>
    <w:rsid w:val="00111A80"/>
    <w:rsid w:val="00114620"/>
    <w:rsid w:val="00116476"/>
    <w:rsid w:val="00121FBD"/>
    <w:rsid w:val="0012434A"/>
    <w:rsid w:val="00126338"/>
    <w:rsid w:val="00126F44"/>
    <w:rsid w:val="00130225"/>
    <w:rsid w:val="001325CB"/>
    <w:rsid w:val="00132F90"/>
    <w:rsid w:val="001341F9"/>
    <w:rsid w:val="00142655"/>
    <w:rsid w:val="00143AD8"/>
    <w:rsid w:val="001452B3"/>
    <w:rsid w:val="00147019"/>
    <w:rsid w:val="00151625"/>
    <w:rsid w:val="00152BF0"/>
    <w:rsid w:val="00153C15"/>
    <w:rsid w:val="00154AB9"/>
    <w:rsid w:val="001627C3"/>
    <w:rsid w:val="00162C7C"/>
    <w:rsid w:val="0016523F"/>
    <w:rsid w:val="00166301"/>
    <w:rsid w:val="00166A83"/>
    <w:rsid w:val="00172557"/>
    <w:rsid w:val="00176848"/>
    <w:rsid w:val="00177F1E"/>
    <w:rsid w:val="00180843"/>
    <w:rsid w:val="00183424"/>
    <w:rsid w:val="001837D7"/>
    <w:rsid w:val="00191C1C"/>
    <w:rsid w:val="00194444"/>
    <w:rsid w:val="0019672F"/>
    <w:rsid w:val="001969D0"/>
    <w:rsid w:val="0019756A"/>
    <w:rsid w:val="00197C41"/>
    <w:rsid w:val="001A0197"/>
    <w:rsid w:val="001A3639"/>
    <w:rsid w:val="001A6163"/>
    <w:rsid w:val="001A6C96"/>
    <w:rsid w:val="001A6E19"/>
    <w:rsid w:val="001A7234"/>
    <w:rsid w:val="001A728A"/>
    <w:rsid w:val="001A74FE"/>
    <w:rsid w:val="001B0D39"/>
    <w:rsid w:val="001B11A3"/>
    <w:rsid w:val="001B1517"/>
    <w:rsid w:val="001B1906"/>
    <w:rsid w:val="001B3DBD"/>
    <w:rsid w:val="001B4779"/>
    <w:rsid w:val="001B5BA3"/>
    <w:rsid w:val="001C033C"/>
    <w:rsid w:val="001C3117"/>
    <w:rsid w:val="001C7F1C"/>
    <w:rsid w:val="001D216A"/>
    <w:rsid w:val="001D2E82"/>
    <w:rsid w:val="001E28CA"/>
    <w:rsid w:val="001E3B1F"/>
    <w:rsid w:val="001E5114"/>
    <w:rsid w:val="001E5C4B"/>
    <w:rsid w:val="001E6235"/>
    <w:rsid w:val="001F5022"/>
    <w:rsid w:val="001F5AB1"/>
    <w:rsid w:val="00201B6F"/>
    <w:rsid w:val="00202AFE"/>
    <w:rsid w:val="00204FDB"/>
    <w:rsid w:val="00205DF3"/>
    <w:rsid w:val="00205F10"/>
    <w:rsid w:val="00211141"/>
    <w:rsid w:val="002132B8"/>
    <w:rsid w:val="002147C7"/>
    <w:rsid w:val="00214D85"/>
    <w:rsid w:val="002167F8"/>
    <w:rsid w:val="00217D3A"/>
    <w:rsid w:val="002207E5"/>
    <w:rsid w:val="0022083E"/>
    <w:rsid w:val="00221E3F"/>
    <w:rsid w:val="00222166"/>
    <w:rsid w:val="002225ED"/>
    <w:rsid w:val="00222D0B"/>
    <w:rsid w:val="00223C71"/>
    <w:rsid w:val="00225015"/>
    <w:rsid w:val="002270FF"/>
    <w:rsid w:val="00230B20"/>
    <w:rsid w:val="00231656"/>
    <w:rsid w:val="002343A1"/>
    <w:rsid w:val="00237669"/>
    <w:rsid w:val="002405E7"/>
    <w:rsid w:val="00240829"/>
    <w:rsid w:val="00241CF1"/>
    <w:rsid w:val="00241D3D"/>
    <w:rsid w:val="00241DBD"/>
    <w:rsid w:val="002440DC"/>
    <w:rsid w:val="00244722"/>
    <w:rsid w:val="00247E68"/>
    <w:rsid w:val="00250047"/>
    <w:rsid w:val="00250CC8"/>
    <w:rsid w:val="00250EB1"/>
    <w:rsid w:val="0025294C"/>
    <w:rsid w:val="002540D2"/>
    <w:rsid w:val="00254DA8"/>
    <w:rsid w:val="002550DD"/>
    <w:rsid w:val="00256063"/>
    <w:rsid w:val="0026058E"/>
    <w:rsid w:val="0026143F"/>
    <w:rsid w:val="002636BA"/>
    <w:rsid w:val="00263D5C"/>
    <w:rsid w:val="002703FF"/>
    <w:rsid w:val="002728C1"/>
    <w:rsid w:val="00272B04"/>
    <w:rsid w:val="002734D0"/>
    <w:rsid w:val="00275017"/>
    <w:rsid w:val="002758DC"/>
    <w:rsid w:val="00276591"/>
    <w:rsid w:val="00291B7A"/>
    <w:rsid w:val="0029295C"/>
    <w:rsid w:val="00292ABA"/>
    <w:rsid w:val="002A3B6B"/>
    <w:rsid w:val="002A440E"/>
    <w:rsid w:val="002A6153"/>
    <w:rsid w:val="002A7831"/>
    <w:rsid w:val="002B0D52"/>
    <w:rsid w:val="002B234D"/>
    <w:rsid w:val="002B46B5"/>
    <w:rsid w:val="002B5C69"/>
    <w:rsid w:val="002B69D0"/>
    <w:rsid w:val="002C1579"/>
    <w:rsid w:val="002C339B"/>
    <w:rsid w:val="002C69ED"/>
    <w:rsid w:val="002D230B"/>
    <w:rsid w:val="002D5AC3"/>
    <w:rsid w:val="002D7002"/>
    <w:rsid w:val="002E10DE"/>
    <w:rsid w:val="002E3B7F"/>
    <w:rsid w:val="002E56F3"/>
    <w:rsid w:val="002E5FCC"/>
    <w:rsid w:val="002E75B3"/>
    <w:rsid w:val="002F01A3"/>
    <w:rsid w:val="002F2ED2"/>
    <w:rsid w:val="002F3882"/>
    <w:rsid w:val="002F3999"/>
    <w:rsid w:val="002F7891"/>
    <w:rsid w:val="002F7A0F"/>
    <w:rsid w:val="002F7AD9"/>
    <w:rsid w:val="003042E2"/>
    <w:rsid w:val="00304B0B"/>
    <w:rsid w:val="00306B8F"/>
    <w:rsid w:val="00310619"/>
    <w:rsid w:val="003113AE"/>
    <w:rsid w:val="00312E15"/>
    <w:rsid w:val="00317B2C"/>
    <w:rsid w:val="00320682"/>
    <w:rsid w:val="00325418"/>
    <w:rsid w:val="00325B95"/>
    <w:rsid w:val="00326AE0"/>
    <w:rsid w:val="003278FC"/>
    <w:rsid w:val="00332D34"/>
    <w:rsid w:val="00335E7A"/>
    <w:rsid w:val="003414AC"/>
    <w:rsid w:val="003465EB"/>
    <w:rsid w:val="00356265"/>
    <w:rsid w:val="00360901"/>
    <w:rsid w:val="00361E62"/>
    <w:rsid w:val="00363930"/>
    <w:rsid w:val="003645A8"/>
    <w:rsid w:val="00367903"/>
    <w:rsid w:val="00371F23"/>
    <w:rsid w:val="00377431"/>
    <w:rsid w:val="003775E4"/>
    <w:rsid w:val="003777F3"/>
    <w:rsid w:val="00377DAE"/>
    <w:rsid w:val="0038155B"/>
    <w:rsid w:val="003833D3"/>
    <w:rsid w:val="00383A64"/>
    <w:rsid w:val="003851F1"/>
    <w:rsid w:val="00385374"/>
    <w:rsid w:val="00390F2E"/>
    <w:rsid w:val="003A2948"/>
    <w:rsid w:val="003A351C"/>
    <w:rsid w:val="003A368C"/>
    <w:rsid w:val="003A4E94"/>
    <w:rsid w:val="003B0194"/>
    <w:rsid w:val="003B1A4B"/>
    <w:rsid w:val="003B2575"/>
    <w:rsid w:val="003B7676"/>
    <w:rsid w:val="003C2A40"/>
    <w:rsid w:val="003C5F22"/>
    <w:rsid w:val="003D16AF"/>
    <w:rsid w:val="003D38ED"/>
    <w:rsid w:val="003D3B68"/>
    <w:rsid w:val="003D44C1"/>
    <w:rsid w:val="003D4E30"/>
    <w:rsid w:val="003E2A11"/>
    <w:rsid w:val="003E2B6A"/>
    <w:rsid w:val="003E5B09"/>
    <w:rsid w:val="003F5389"/>
    <w:rsid w:val="00402B26"/>
    <w:rsid w:val="00403EAC"/>
    <w:rsid w:val="004071B6"/>
    <w:rsid w:val="00416CAC"/>
    <w:rsid w:val="004229FE"/>
    <w:rsid w:val="004339A7"/>
    <w:rsid w:val="0043494E"/>
    <w:rsid w:val="004357B1"/>
    <w:rsid w:val="00437107"/>
    <w:rsid w:val="004400CB"/>
    <w:rsid w:val="00440CAB"/>
    <w:rsid w:val="00441381"/>
    <w:rsid w:val="00444459"/>
    <w:rsid w:val="00444566"/>
    <w:rsid w:val="00447AAA"/>
    <w:rsid w:val="00447CF8"/>
    <w:rsid w:val="00447E91"/>
    <w:rsid w:val="00451F2A"/>
    <w:rsid w:val="00454E0D"/>
    <w:rsid w:val="00457076"/>
    <w:rsid w:val="004572AC"/>
    <w:rsid w:val="004614AD"/>
    <w:rsid w:val="00462F5E"/>
    <w:rsid w:val="004632E9"/>
    <w:rsid w:val="00463361"/>
    <w:rsid w:val="004633B5"/>
    <w:rsid w:val="0046678C"/>
    <w:rsid w:val="004712EA"/>
    <w:rsid w:val="00476455"/>
    <w:rsid w:val="004768FA"/>
    <w:rsid w:val="0048005F"/>
    <w:rsid w:val="00480AA9"/>
    <w:rsid w:val="00481B2A"/>
    <w:rsid w:val="0048286A"/>
    <w:rsid w:val="00491921"/>
    <w:rsid w:val="00494D8C"/>
    <w:rsid w:val="00495626"/>
    <w:rsid w:val="004964F0"/>
    <w:rsid w:val="004A26FA"/>
    <w:rsid w:val="004A2843"/>
    <w:rsid w:val="004A4344"/>
    <w:rsid w:val="004B3450"/>
    <w:rsid w:val="004B4254"/>
    <w:rsid w:val="004B45F4"/>
    <w:rsid w:val="004B5B17"/>
    <w:rsid w:val="004B6B60"/>
    <w:rsid w:val="004C5AFF"/>
    <w:rsid w:val="004C5B2C"/>
    <w:rsid w:val="004C7B52"/>
    <w:rsid w:val="004D1D87"/>
    <w:rsid w:val="004D3B0F"/>
    <w:rsid w:val="004D5685"/>
    <w:rsid w:val="004D7A7E"/>
    <w:rsid w:val="004E39AC"/>
    <w:rsid w:val="004E3ED6"/>
    <w:rsid w:val="004E75D2"/>
    <w:rsid w:val="004F0C8E"/>
    <w:rsid w:val="004F16A9"/>
    <w:rsid w:val="004F1E4C"/>
    <w:rsid w:val="005010A1"/>
    <w:rsid w:val="00504877"/>
    <w:rsid w:val="00504D49"/>
    <w:rsid w:val="00506365"/>
    <w:rsid w:val="00511860"/>
    <w:rsid w:val="005133D6"/>
    <w:rsid w:val="00516B0E"/>
    <w:rsid w:val="00521809"/>
    <w:rsid w:val="0052234B"/>
    <w:rsid w:val="00524506"/>
    <w:rsid w:val="00525A2C"/>
    <w:rsid w:val="0052686B"/>
    <w:rsid w:val="00527849"/>
    <w:rsid w:val="005278DF"/>
    <w:rsid w:val="00530D05"/>
    <w:rsid w:val="00531D3D"/>
    <w:rsid w:val="00533F09"/>
    <w:rsid w:val="0053757B"/>
    <w:rsid w:val="0054059D"/>
    <w:rsid w:val="00540A96"/>
    <w:rsid w:val="00543472"/>
    <w:rsid w:val="00543880"/>
    <w:rsid w:val="005450C1"/>
    <w:rsid w:val="00545515"/>
    <w:rsid w:val="005521A7"/>
    <w:rsid w:val="005541A5"/>
    <w:rsid w:val="005541B2"/>
    <w:rsid w:val="00555D93"/>
    <w:rsid w:val="00563E29"/>
    <w:rsid w:val="005658F1"/>
    <w:rsid w:val="00570064"/>
    <w:rsid w:val="0057257B"/>
    <w:rsid w:val="00573863"/>
    <w:rsid w:val="00576E84"/>
    <w:rsid w:val="005840CF"/>
    <w:rsid w:val="00584B74"/>
    <w:rsid w:val="005910C8"/>
    <w:rsid w:val="005949A6"/>
    <w:rsid w:val="005952B5"/>
    <w:rsid w:val="00596FC5"/>
    <w:rsid w:val="005971A5"/>
    <w:rsid w:val="0059756C"/>
    <w:rsid w:val="005A103B"/>
    <w:rsid w:val="005A1750"/>
    <w:rsid w:val="005A41EA"/>
    <w:rsid w:val="005A58A6"/>
    <w:rsid w:val="005B04D1"/>
    <w:rsid w:val="005B31CB"/>
    <w:rsid w:val="005B4F09"/>
    <w:rsid w:val="005B67F8"/>
    <w:rsid w:val="005C5BEF"/>
    <w:rsid w:val="005D2C37"/>
    <w:rsid w:val="005E32D3"/>
    <w:rsid w:val="005E41B5"/>
    <w:rsid w:val="00603DDF"/>
    <w:rsid w:val="00604E39"/>
    <w:rsid w:val="00607188"/>
    <w:rsid w:val="00611388"/>
    <w:rsid w:val="0061412C"/>
    <w:rsid w:val="00616159"/>
    <w:rsid w:val="006163F4"/>
    <w:rsid w:val="0062551B"/>
    <w:rsid w:val="00627866"/>
    <w:rsid w:val="0063426E"/>
    <w:rsid w:val="00634C7D"/>
    <w:rsid w:val="00634FE5"/>
    <w:rsid w:val="006362A0"/>
    <w:rsid w:val="006369BF"/>
    <w:rsid w:val="00646C9A"/>
    <w:rsid w:val="00646E1E"/>
    <w:rsid w:val="0065326E"/>
    <w:rsid w:val="006545E0"/>
    <w:rsid w:val="0065474B"/>
    <w:rsid w:val="0065734F"/>
    <w:rsid w:val="00657488"/>
    <w:rsid w:val="0066069C"/>
    <w:rsid w:val="00664F3E"/>
    <w:rsid w:val="00671D1D"/>
    <w:rsid w:val="00673DC1"/>
    <w:rsid w:val="006744CF"/>
    <w:rsid w:val="0067587D"/>
    <w:rsid w:val="0067603D"/>
    <w:rsid w:val="006767C5"/>
    <w:rsid w:val="00676DAF"/>
    <w:rsid w:val="00680C3A"/>
    <w:rsid w:val="00681E4B"/>
    <w:rsid w:val="0068286F"/>
    <w:rsid w:val="00682C96"/>
    <w:rsid w:val="00684CCF"/>
    <w:rsid w:val="00685FD3"/>
    <w:rsid w:val="006862F4"/>
    <w:rsid w:val="006863D5"/>
    <w:rsid w:val="00687B75"/>
    <w:rsid w:val="00690055"/>
    <w:rsid w:val="006901B3"/>
    <w:rsid w:val="0069471E"/>
    <w:rsid w:val="00697567"/>
    <w:rsid w:val="006A0AC3"/>
    <w:rsid w:val="006A1C73"/>
    <w:rsid w:val="006A2E6C"/>
    <w:rsid w:val="006A5123"/>
    <w:rsid w:val="006A53AD"/>
    <w:rsid w:val="006A59AB"/>
    <w:rsid w:val="006B0318"/>
    <w:rsid w:val="006B2C04"/>
    <w:rsid w:val="006B371D"/>
    <w:rsid w:val="006B702C"/>
    <w:rsid w:val="006B7C54"/>
    <w:rsid w:val="006C2172"/>
    <w:rsid w:val="006C37E5"/>
    <w:rsid w:val="006C3902"/>
    <w:rsid w:val="006C4C9C"/>
    <w:rsid w:val="006C5672"/>
    <w:rsid w:val="006C586B"/>
    <w:rsid w:val="006D2221"/>
    <w:rsid w:val="006D36D9"/>
    <w:rsid w:val="006D483D"/>
    <w:rsid w:val="006E0E97"/>
    <w:rsid w:val="006E1E6A"/>
    <w:rsid w:val="006E4001"/>
    <w:rsid w:val="006E50D3"/>
    <w:rsid w:val="006E7499"/>
    <w:rsid w:val="006F0706"/>
    <w:rsid w:val="006F0B09"/>
    <w:rsid w:val="006F1DF1"/>
    <w:rsid w:val="006F3726"/>
    <w:rsid w:val="006F404B"/>
    <w:rsid w:val="006F58A5"/>
    <w:rsid w:val="006F7F63"/>
    <w:rsid w:val="00700188"/>
    <w:rsid w:val="00700F62"/>
    <w:rsid w:val="00702F74"/>
    <w:rsid w:val="007031DD"/>
    <w:rsid w:val="00706114"/>
    <w:rsid w:val="007068DE"/>
    <w:rsid w:val="00711349"/>
    <w:rsid w:val="007119A0"/>
    <w:rsid w:val="0071376F"/>
    <w:rsid w:val="00714351"/>
    <w:rsid w:val="00715324"/>
    <w:rsid w:val="00717056"/>
    <w:rsid w:val="007238E1"/>
    <w:rsid w:val="00723C5D"/>
    <w:rsid w:val="007254F2"/>
    <w:rsid w:val="007255C4"/>
    <w:rsid w:val="007339D9"/>
    <w:rsid w:val="00735AAB"/>
    <w:rsid w:val="00736274"/>
    <w:rsid w:val="00736857"/>
    <w:rsid w:val="007378E3"/>
    <w:rsid w:val="00737A7B"/>
    <w:rsid w:val="0074014A"/>
    <w:rsid w:val="00746F29"/>
    <w:rsid w:val="0075042D"/>
    <w:rsid w:val="00752A2D"/>
    <w:rsid w:val="007541AA"/>
    <w:rsid w:val="00754E21"/>
    <w:rsid w:val="00756875"/>
    <w:rsid w:val="00760A0A"/>
    <w:rsid w:val="00762ADF"/>
    <w:rsid w:val="007643D2"/>
    <w:rsid w:val="00765267"/>
    <w:rsid w:val="0076569C"/>
    <w:rsid w:val="00767B14"/>
    <w:rsid w:val="007721CD"/>
    <w:rsid w:val="007731CC"/>
    <w:rsid w:val="00773E3A"/>
    <w:rsid w:val="00780566"/>
    <w:rsid w:val="00781FBA"/>
    <w:rsid w:val="00782E24"/>
    <w:rsid w:val="007833EE"/>
    <w:rsid w:val="00783B45"/>
    <w:rsid w:val="00790FBF"/>
    <w:rsid w:val="00793443"/>
    <w:rsid w:val="007A1ADD"/>
    <w:rsid w:val="007A32B2"/>
    <w:rsid w:val="007B3120"/>
    <w:rsid w:val="007B32C1"/>
    <w:rsid w:val="007B553F"/>
    <w:rsid w:val="007B63DB"/>
    <w:rsid w:val="007C2C17"/>
    <w:rsid w:val="007C30F8"/>
    <w:rsid w:val="007C3E23"/>
    <w:rsid w:val="007C3FD0"/>
    <w:rsid w:val="007C6FE0"/>
    <w:rsid w:val="007C7015"/>
    <w:rsid w:val="007D275C"/>
    <w:rsid w:val="007D44FB"/>
    <w:rsid w:val="007E04EB"/>
    <w:rsid w:val="007E2007"/>
    <w:rsid w:val="007E23DE"/>
    <w:rsid w:val="007E7C91"/>
    <w:rsid w:val="007F025F"/>
    <w:rsid w:val="007F0FA5"/>
    <w:rsid w:val="007F66BF"/>
    <w:rsid w:val="007F7C13"/>
    <w:rsid w:val="00800CEC"/>
    <w:rsid w:val="008019AF"/>
    <w:rsid w:val="008020CB"/>
    <w:rsid w:val="008029A7"/>
    <w:rsid w:val="008046A0"/>
    <w:rsid w:val="00806473"/>
    <w:rsid w:val="0080755C"/>
    <w:rsid w:val="00810822"/>
    <w:rsid w:val="008127BD"/>
    <w:rsid w:val="00813529"/>
    <w:rsid w:val="00813CE6"/>
    <w:rsid w:val="0081745C"/>
    <w:rsid w:val="00820679"/>
    <w:rsid w:val="0082134D"/>
    <w:rsid w:val="00822D72"/>
    <w:rsid w:val="008239B8"/>
    <w:rsid w:val="00823B4F"/>
    <w:rsid w:val="00824FF0"/>
    <w:rsid w:val="00831F9B"/>
    <w:rsid w:val="0084014C"/>
    <w:rsid w:val="008421A3"/>
    <w:rsid w:val="008439F0"/>
    <w:rsid w:val="0084529F"/>
    <w:rsid w:val="00845690"/>
    <w:rsid w:val="008479C7"/>
    <w:rsid w:val="00851579"/>
    <w:rsid w:val="00852666"/>
    <w:rsid w:val="00852A17"/>
    <w:rsid w:val="008531A2"/>
    <w:rsid w:val="00853A7A"/>
    <w:rsid w:val="00854676"/>
    <w:rsid w:val="00854CC9"/>
    <w:rsid w:val="008618B5"/>
    <w:rsid w:val="008619D1"/>
    <w:rsid w:val="00870FA0"/>
    <w:rsid w:val="00872CDA"/>
    <w:rsid w:val="00883607"/>
    <w:rsid w:val="00885B32"/>
    <w:rsid w:val="0089182E"/>
    <w:rsid w:val="00892B6E"/>
    <w:rsid w:val="00894F9D"/>
    <w:rsid w:val="0089752C"/>
    <w:rsid w:val="008A1BCE"/>
    <w:rsid w:val="008A2319"/>
    <w:rsid w:val="008A3DB5"/>
    <w:rsid w:val="008A5C1A"/>
    <w:rsid w:val="008A62FC"/>
    <w:rsid w:val="008B3B0C"/>
    <w:rsid w:val="008B4F7F"/>
    <w:rsid w:val="008B5E35"/>
    <w:rsid w:val="008B6A7C"/>
    <w:rsid w:val="008B7DBE"/>
    <w:rsid w:val="008C195F"/>
    <w:rsid w:val="008C3918"/>
    <w:rsid w:val="008C4127"/>
    <w:rsid w:val="008D0ED6"/>
    <w:rsid w:val="008D31EA"/>
    <w:rsid w:val="008D34FA"/>
    <w:rsid w:val="008D39C4"/>
    <w:rsid w:val="008D4D0D"/>
    <w:rsid w:val="008D5AD4"/>
    <w:rsid w:val="008D5FC4"/>
    <w:rsid w:val="008E11E1"/>
    <w:rsid w:val="008E2009"/>
    <w:rsid w:val="008E5CD9"/>
    <w:rsid w:val="008F10E1"/>
    <w:rsid w:val="008F12F3"/>
    <w:rsid w:val="008F3C70"/>
    <w:rsid w:val="008F5772"/>
    <w:rsid w:val="008F6D8D"/>
    <w:rsid w:val="00902074"/>
    <w:rsid w:val="009100DC"/>
    <w:rsid w:val="00912211"/>
    <w:rsid w:val="009135E2"/>
    <w:rsid w:val="00913B16"/>
    <w:rsid w:val="00913F8C"/>
    <w:rsid w:val="009356F1"/>
    <w:rsid w:val="009429E1"/>
    <w:rsid w:val="00943A93"/>
    <w:rsid w:val="0094477C"/>
    <w:rsid w:val="009453FA"/>
    <w:rsid w:val="00946407"/>
    <w:rsid w:val="00946DEC"/>
    <w:rsid w:val="00950C67"/>
    <w:rsid w:val="0095202A"/>
    <w:rsid w:val="009524B1"/>
    <w:rsid w:val="00952A2D"/>
    <w:rsid w:val="00957277"/>
    <w:rsid w:val="00961E2D"/>
    <w:rsid w:val="009628B9"/>
    <w:rsid w:val="00962D4E"/>
    <w:rsid w:val="0096589E"/>
    <w:rsid w:val="00967B97"/>
    <w:rsid w:val="0097031A"/>
    <w:rsid w:val="00971737"/>
    <w:rsid w:val="00972B74"/>
    <w:rsid w:val="00975A5B"/>
    <w:rsid w:val="009760F6"/>
    <w:rsid w:val="009800D9"/>
    <w:rsid w:val="00980D0D"/>
    <w:rsid w:val="00981CB2"/>
    <w:rsid w:val="00985B67"/>
    <w:rsid w:val="00985DC2"/>
    <w:rsid w:val="0098739A"/>
    <w:rsid w:val="009874EE"/>
    <w:rsid w:val="00990009"/>
    <w:rsid w:val="0099097C"/>
    <w:rsid w:val="00991DFF"/>
    <w:rsid w:val="009960D5"/>
    <w:rsid w:val="009A231C"/>
    <w:rsid w:val="009A51A0"/>
    <w:rsid w:val="009A549D"/>
    <w:rsid w:val="009A780B"/>
    <w:rsid w:val="009B3F4C"/>
    <w:rsid w:val="009B586C"/>
    <w:rsid w:val="009C15DA"/>
    <w:rsid w:val="009C1F16"/>
    <w:rsid w:val="009C54E6"/>
    <w:rsid w:val="009C683A"/>
    <w:rsid w:val="009C7559"/>
    <w:rsid w:val="009D3659"/>
    <w:rsid w:val="009D3961"/>
    <w:rsid w:val="009D5144"/>
    <w:rsid w:val="009D78A5"/>
    <w:rsid w:val="009E1D76"/>
    <w:rsid w:val="009E3E52"/>
    <w:rsid w:val="009E4EAD"/>
    <w:rsid w:val="009E5AC0"/>
    <w:rsid w:val="009F5A4E"/>
    <w:rsid w:val="009F757C"/>
    <w:rsid w:val="00A0003C"/>
    <w:rsid w:val="00A002E2"/>
    <w:rsid w:val="00A0195F"/>
    <w:rsid w:val="00A01F9E"/>
    <w:rsid w:val="00A03283"/>
    <w:rsid w:val="00A04347"/>
    <w:rsid w:val="00A04A83"/>
    <w:rsid w:val="00A0632F"/>
    <w:rsid w:val="00A06D90"/>
    <w:rsid w:val="00A1269A"/>
    <w:rsid w:val="00A1566C"/>
    <w:rsid w:val="00A16103"/>
    <w:rsid w:val="00A16E82"/>
    <w:rsid w:val="00A175CE"/>
    <w:rsid w:val="00A20578"/>
    <w:rsid w:val="00A225E0"/>
    <w:rsid w:val="00A22BDB"/>
    <w:rsid w:val="00A23D4F"/>
    <w:rsid w:val="00A245A3"/>
    <w:rsid w:val="00A26B13"/>
    <w:rsid w:val="00A31F7C"/>
    <w:rsid w:val="00A32DE0"/>
    <w:rsid w:val="00A33045"/>
    <w:rsid w:val="00A34AF6"/>
    <w:rsid w:val="00A36290"/>
    <w:rsid w:val="00A40270"/>
    <w:rsid w:val="00A4165E"/>
    <w:rsid w:val="00A43C79"/>
    <w:rsid w:val="00A46EBE"/>
    <w:rsid w:val="00A52F3D"/>
    <w:rsid w:val="00A540AE"/>
    <w:rsid w:val="00A547BF"/>
    <w:rsid w:val="00A57370"/>
    <w:rsid w:val="00A6049E"/>
    <w:rsid w:val="00A62A2E"/>
    <w:rsid w:val="00A62A95"/>
    <w:rsid w:val="00A65480"/>
    <w:rsid w:val="00A65647"/>
    <w:rsid w:val="00A70F06"/>
    <w:rsid w:val="00A731BB"/>
    <w:rsid w:val="00A82A4E"/>
    <w:rsid w:val="00A83C2F"/>
    <w:rsid w:val="00A868BF"/>
    <w:rsid w:val="00A86D3C"/>
    <w:rsid w:val="00A90D28"/>
    <w:rsid w:val="00A919CC"/>
    <w:rsid w:val="00A9310A"/>
    <w:rsid w:val="00A93649"/>
    <w:rsid w:val="00A95391"/>
    <w:rsid w:val="00A95637"/>
    <w:rsid w:val="00A9606E"/>
    <w:rsid w:val="00AA1367"/>
    <w:rsid w:val="00AA37BF"/>
    <w:rsid w:val="00AA43FB"/>
    <w:rsid w:val="00AA4BB6"/>
    <w:rsid w:val="00AA740C"/>
    <w:rsid w:val="00AA7590"/>
    <w:rsid w:val="00AA768A"/>
    <w:rsid w:val="00AB2D5F"/>
    <w:rsid w:val="00AB5E11"/>
    <w:rsid w:val="00AC056C"/>
    <w:rsid w:val="00AC5DD3"/>
    <w:rsid w:val="00AC6640"/>
    <w:rsid w:val="00AD3BB0"/>
    <w:rsid w:val="00AD5785"/>
    <w:rsid w:val="00AD6661"/>
    <w:rsid w:val="00AD76C8"/>
    <w:rsid w:val="00AE06AB"/>
    <w:rsid w:val="00AE0BF6"/>
    <w:rsid w:val="00AE1B8F"/>
    <w:rsid w:val="00AE2BB7"/>
    <w:rsid w:val="00AF1D91"/>
    <w:rsid w:val="00AF21DB"/>
    <w:rsid w:val="00AF36C0"/>
    <w:rsid w:val="00AF388E"/>
    <w:rsid w:val="00AF38A0"/>
    <w:rsid w:val="00AF3E45"/>
    <w:rsid w:val="00AF44A1"/>
    <w:rsid w:val="00AF552D"/>
    <w:rsid w:val="00AF588A"/>
    <w:rsid w:val="00AF5CDB"/>
    <w:rsid w:val="00AF7315"/>
    <w:rsid w:val="00B01664"/>
    <w:rsid w:val="00B04ADB"/>
    <w:rsid w:val="00B04E95"/>
    <w:rsid w:val="00B059E4"/>
    <w:rsid w:val="00B1162A"/>
    <w:rsid w:val="00B119DD"/>
    <w:rsid w:val="00B14504"/>
    <w:rsid w:val="00B20B5A"/>
    <w:rsid w:val="00B22F20"/>
    <w:rsid w:val="00B2485C"/>
    <w:rsid w:val="00B251DB"/>
    <w:rsid w:val="00B26C25"/>
    <w:rsid w:val="00B302ED"/>
    <w:rsid w:val="00B30B26"/>
    <w:rsid w:val="00B3266F"/>
    <w:rsid w:val="00B32F76"/>
    <w:rsid w:val="00B35C0C"/>
    <w:rsid w:val="00B36F16"/>
    <w:rsid w:val="00B408B6"/>
    <w:rsid w:val="00B409BB"/>
    <w:rsid w:val="00B40D58"/>
    <w:rsid w:val="00B4205A"/>
    <w:rsid w:val="00B424BA"/>
    <w:rsid w:val="00B4484B"/>
    <w:rsid w:val="00B458D9"/>
    <w:rsid w:val="00B51823"/>
    <w:rsid w:val="00B53245"/>
    <w:rsid w:val="00B5510A"/>
    <w:rsid w:val="00B56249"/>
    <w:rsid w:val="00B6123B"/>
    <w:rsid w:val="00B619D9"/>
    <w:rsid w:val="00B61B3E"/>
    <w:rsid w:val="00B61EB4"/>
    <w:rsid w:val="00B62191"/>
    <w:rsid w:val="00B6331D"/>
    <w:rsid w:val="00B64F6B"/>
    <w:rsid w:val="00B7473B"/>
    <w:rsid w:val="00B7516E"/>
    <w:rsid w:val="00B803C9"/>
    <w:rsid w:val="00B830F3"/>
    <w:rsid w:val="00B86ED3"/>
    <w:rsid w:val="00B87615"/>
    <w:rsid w:val="00B921A9"/>
    <w:rsid w:val="00B93A88"/>
    <w:rsid w:val="00B94146"/>
    <w:rsid w:val="00B95409"/>
    <w:rsid w:val="00B96752"/>
    <w:rsid w:val="00BA0224"/>
    <w:rsid w:val="00BA07A4"/>
    <w:rsid w:val="00BA0A9B"/>
    <w:rsid w:val="00BA1677"/>
    <w:rsid w:val="00BA2E20"/>
    <w:rsid w:val="00BA33D7"/>
    <w:rsid w:val="00BA35D4"/>
    <w:rsid w:val="00BA42E8"/>
    <w:rsid w:val="00BA56F0"/>
    <w:rsid w:val="00BA789D"/>
    <w:rsid w:val="00BB041D"/>
    <w:rsid w:val="00BB0D21"/>
    <w:rsid w:val="00BB134B"/>
    <w:rsid w:val="00BB19FF"/>
    <w:rsid w:val="00BB7EBF"/>
    <w:rsid w:val="00BC1051"/>
    <w:rsid w:val="00BC41FD"/>
    <w:rsid w:val="00BC5251"/>
    <w:rsid w:val="00BC5776"/>
    <w:rsid w:val="00BC653D"/>
    <w:rsid w:val="00BD0F8A"/>
    <w:rsid w:val="00BD217D"/>
    <w:rsid w:val="00BD3C33"/>
    <w:rsid w:val="00BD4376"/>
    <w:rsid w:val="00BD48BF"/>
    <w:rsid w:val="00BE1DCA"/>
    <w:rsid w:val="00BE3964"/>
    <w:rsid w:val="00BE5B44"/>
    <w:rsid w:val="00BE6EEA"/>
    <w:rsid w:val="00BF0C77"/>
    <w:rsid w:val="00BF338A"/>
    <w:rsid w:val="00BF577C"/>
    <w:rsid w:val="00C0148C"/>
    <w:rsid w:val="00C02915"/>
    <w:rsid w:val="00C0509B"/>
    <w:rsid w:val="00C06688"/>
    <w:rsid w:val="00C06800"/>
    <w:rsid w:val="00C06CDE"/>
    <w:rsid w:val="00C070EB"/>
    <w:rsid w:val="00C07CC8"/>
    <w:rsid w:val="00C10ED4"/>
    <w:rsid w:val="00C1135D"/>
    <w:rsid w:val="00C1676E"/>
    <w:rsid w:val="00C208A9"/>
    <w:rsid w:val="00C21560"/>
    <w:rsid w:val="00C224AB"/>
    <w:rsid w:val="00C22764"/>
    <w:rsid w:val="00C26C9C"/>
    <w:rsid w:val="00C30F9A"/>
    <w:rsid w:val="00C33915"/>
    <w:rsid w:val="00C3417A"/>
    <w:rsid w:val="00C3788E"/>
    <w:rsid w:val="00C40B5C"/>
    <w:rsid w:val="00C45285"/>
    <w:rsid w:val="00C52AC5"/>
    <w:rsid w:val="00C547D6"/>
    <w:rsid w:val="00C5623E"/>
    <w:rsid w:val="00C56871"/>
    <w:rsid w:val="00C57FE9"/>
    <w:rsid w:val="00C60C1F"/>
    <w:rsid w:val="00C6107B"/>
    <w:rsid w:val="00C62FB9"/>
    <w:rsid w:val="00C70E07"/>
    <w:rsid w:val="00C71235"/>
    <w:rsid w:val="00C719C9"/>
    <w:rsid w:val="00C71B3A"/>
    <w:rsid w:val="00C7297F"/>
    <w:rsid w:val="00C818DE"/>
    <w:rsid w:val="00C83F72"/>
    <w:rsid w:val="00C843B5"/>
    <w:rsid w:val="00C84412"/>
    <w:rsid w:val="00C90CCF"/>
    <w:rsid w:val="00C95193"/>
    <w:rsid w:val="00C95A92"/>
    <w:rsid w:val="00CA12DB"/>
    <w:rsid w:val="00CA2C3D"/>
    <w:rsid w:val="00CA4CE3"/>
    <w:rsid w:val="00CB246C"/>
    <w:rsid w:val="00CB512C"/>
    <w:rsid w:val="00CB5688"/>
    <w:rsid w:val="00CB584D"/>
    <w:rsid w:val="00CC0F27"/>
    <w:rsid w:val="00CC3709"/>
    <w:rsid w:val="00CC482A"/>
    <w:rsid w:val="00CC5B2E"/>
    <w:rsid w:val="00CD075B"/>
    <w:rsid w:val="00CD0E8F"/>
    <w:rsid w:val="00CD1ABC"/>
    <w:rsid w:val="00CD2779"/>
    <w:rsid w:val="00CD4243"/>
    <w:rsid w:val="00CD5DA2"/>
    <w:rsid w:val="00CD6D83"/>
    <w:rsid w:val="00CE0D25"/>
    <w:rsid w:val="00CE155C"/>
    <w:rsid w:val="00CE246B"/>
    <w:rsid w:val="00CE4B75"/>
    <w:rsid w:val="00CE6F62"/>
    <w:rsid w:val="00CF7237"/>
    <w:rsid w:val="00D02920"/>
    <w:rsid w:val="00D02CAC"/>
    <w:rsid w:val="00D0347C"/>
    <w:rsid w:val="00D162F6"/>
    <w:rsid w:val="00D20E5F"/>
    <w:rsid w:val="00D220CF"/>
    <w:rsid w:val="00D33732"/>
    <w:rsid w:val="00D3481F"/>
    <w:rsid w:val="00D40ED2"/>
    <w:rsid w:val="00D42F6F"/>
    <w:rsid w:val="00D43680"/>
    <w:rsid w:val="00D4477F"/>
    <w:rsid w:val="00D4759C"/>
    <w:rsid w:val="00D50CFA"/>
    <w:rsid w:val="00D51220"/>
    <w:rsid w:val="00D52CBF"/>
    <w:rsid w:val="00D53505"/>
    <w:rsid w:val="00D5588B"/>
    <w:rsid w:val="00D57251"/>
    <w:rsid w:val="00D601BE"/>
    <w:rsid w:val="00D605F7"/>
    <w:rsid w:val="00D60D88"/>
    <w:rsid w:val="00D6262C"/>
    <w:rsid w:val="00D653D9"/>
    <w:rsid w:val="00D659F3"/>
    <w:rsid w:val="00D679E4"/>
    <w:rsid w:val="00D7096C"/>
    <w:rsid w:val="00D7630B"/>
    <w:rsid w:val="00D80801"/>
    <w:rsid w:val="00D81C81"/>
    <w:rsid w:val="00D839FD"/>
    <w:rsid w:val="00D841E9"/>
    <w:rsid w:val="00D874F2"/>
    <w:rsid w:val="00D87E28"/>
    <w:rsid w:val="00D92964"/>
    <w:rsid w:val="00D94464"/>
    <w:rsid w:val="00D958AB"/>
    <w:rsid w:val="00D96FCB"/>
    <w:rsid w:val="00D97E0B"/>
    <w:rsid w:val="00DA0794"/>
    <w:rsid w:val="00DA1685"/>
    <w:rsid w:val="00DA2976"/>
    <w:rsid w:val="00DA7741"/>
    <w:rsid w:val="00DB0D85"/>
    <w:rsid w:val="00DB367B"/>
    <w:rsid w:val="00DB5D09"/>
    <w:rsid w:val="00DB6479"/>
    <w:rsid w:val="00DB7DE1"/>
    <w:rsid w:val="00DC23FC"/>
    <w:rsid w:val="00DC623B"/>
    <w:rsid w:val="00DC7CE0"/>
    <w:rsid w:val="00DD23D2"/>
    <w:rsid w:val="00DD3B12"/>
    <w:rsid w:val="00DD57A8"/>
    <w:rsid w:val="00DD6A2C"/>
    <w:rsid w:val="00DD6F91"/>
    <w:rsid w:val="00DE1884"/>
    <w:rsid w:val="00DE19B2"/>
    <w:rsid w:val="00DE354A"/>
    <w:rsid w:val="00DE3AE6"/>
    <w:rsid w:val="00DE4E6B"/>
    <w:rsid w:val="00DE64B7"/>
    <w:rsid w:val="00DF0EC5"/>
    <w:rsid w:val="00DF36F8"/>
    <w:rsid w:val="00DF5999"/>
    <w:rsid w:val="00E01D7D"/>
    <w:rsid w:val="00E03E73"/>
    <w:rsid w:val="00E03E7D"/>
    <w:rsid w:val="00E04E8F"/>
    <w:rsid w:val="00E059ED"/>
    <w:rsid w:val="00E06FD2"/>
    <w:rsid w:val="00E11CD2"/>
    <w:rsid w:val="00E21B68"/>
    <w:rsid w:val="00E22729"/>
    <w:rsid w:val="00E241A0"/>
    <w:rsid w:val="00E27326"/>
    <w:rsid w:val="00E3027E"/>
    <w:rsid w:val="00E339B3"/>
    <w:rsid w:val="00E3415C"/>
    <w:rsid w:val="00E365EA"/>
    <w:rsid w:val="00E4511E"/>
    <w:rsid w:val="00E4530D"/>
    <w:rsid w:val="00E474EB"/>
    <w:rsid w:val="00E47E7A"/>
    <w:rsid w:val="00E507F2"/>
    <w:rsid w:val="00E6039C"/>
    <w:rsid w:val="00E62455"/>
    <w:rsid w:val="00E647EA"/>
    <w:rsid w:val="00E6604E"/>
    <w:rsid w:val="00E66DF0"/>
    <w:rsid w:val="00E7092D"/>
    <w:rsid w:val="00E73FCC"/>
    <w:rsid w:val="00E74F3B"/>
    <w:rsid w:val="00E80654"/>
    <w:rsid w:val="00E87BB3"/>
    <w:rsid w:val="00E87D11"/>
    <w:rsid w:val="00EA1590"/>
    <w:rsid w:val="00EA3ECD"/>
    <w:rsid w:val="00EA46A0"/>
    <w:rsid w:val="00EB142C"/>
    <w:rsid w:val="00EB3493"/>
    <w:rsid w:val="00EB3B90"/>
    <w:rsid w:val="00EC1F4D"/>
    <w:rsid w:val="00EC4B01"/>
    <w:rsid w:val="00ED0093"/>
    <w:rsid w:val="00ED0E5C"/>
    <w:rsid w:val="00ED5276"/>
    <w:rsid w:val="00EE3757"/>
    <w:rsid w:val="00EE5391"/>
    <w:rsid w:val="00EF1476"/>
    <w:rsid w:val="00EF17B4"/>
    <w:rsid w:val="00EF246D"/>
    <w:rsid w:val="00EF4354"/>
    <w:rsid w:val="00EF4E81"/>
    <w:rsid w:val="00EF5FE2"/>
    <w:rsid w:val="00EF6E02"/>
    <w:rsid w:val="00F00771"/>
    <w:rsid w:val="00F031B7"/>
    <w:rsid w:val="00F04550"/>
    <w:rsid w:val="00F076CD"/>
    <w:rsid w:val="00F10D1B"/>
    <w:rsid w:val="00F12F9F"/>
    <w:rsid w:val="00F155B9"/>
    <w:rsid w:val="00F15C9A"/>
    <w:rsid w:val="00F215CA"/>
    <w:rsid w:val="00F22BB9"/>
    <w:rsid w:val="00F23264"/>
    <w:rsid w:val="00F234C9"/>
    <w:rsid w:val="00F25528"/>
    <w:rsid w:val="00F27D28"/>
    <w:rsid w:val="00F31973"/>
    <w:rsid w:val="00F33509"/>
    <w:rsid w:val="00F342FE"/>
    <w:rsid w:val="00F34402"/>
    <w:rsid w:val="00F40869"/>
    <w:rsid w:val="00F419B8"/>
    <w:rsid w:val="00F41F10"/>
    <w:rsid w:val="00F5276C"/>
    <w:rsid w:val="00F536B9"/>
    <w:rsid w:val="00F614B3"/>
    <w:rsid w:val="00F618CA"/>
    <w:rsid w:val="00F61AA1"/>
    <w:rsid w:val="00F62362"/>
    <w:rsid w:val="00F62D1D"/>
    <w:rsid w:val="00F70341"/>
    <w:rsid w:val="00F7063D"/>
    <w:rsid w:val="00F7179C"/>
    <w:rsid w:val="00F857A3"/>
    <w:rsid w:val="00F8652C"/>
    <w:rsid w:val="00F87020"/>
    <w:rsid w:val="00F90F51"/>
    <w:rsid w:val="00F96FD0"/>
    <w:rsid w:val="00F972A4"/>
    <w:rsid w:val="00F97621"/>
    <w:rsid w:val="00FA0CF8"/>
    <w:rsid w:val="00FA5B70"/>
    <w:rsid w:val="00FA63D6"/>
    <w:rsid w:val="00FA68DA"/>
    <w:rsid w:val="00FA6D93"/>
    <w:rsid w:val="00FB1E6B"/>
    <w:rsid w:val="00FB4C42"/>
    <w:rsid w:val="00FB653F"/>
    <w:rsid w:val="00FC3C41"/>
    <w:rsid w:val="00FC5BCD"/>
    <w:rsid w:val="00FC6E28"/>
    <w:rsid w:val="00FD216C"/>
    <w:rsid w:val="00FD42C8"/>
    <w:rsid w:val="00FD4973"/>
    <w:rsid w:val="00FD57E3"/>
    <w:rsid w:val="00FD71E3"/>
    <w:rsid w:val="00FE11A9"/>
    <w:rsid w:val="00FE5466"/>
    <w:rsid w:val="00FE5701"/>
    <w:rsid w:val="00FE7DB2"/>
    <w:rsid w:val="00FE7F44"/>
    <w:rsid w:val="00FF0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25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semiHidden/>
    <w:unhideWhenUsed/>
    <w:qFormat/>
    <w:rsid w:val="00810822"/>
    <w:pPr>
      <w:keepNext/>
      <w:keepLines/>
      <w:spacing w:before="40" w:after="0"/>
      <w:ind w:left="1296" w:hanging="1296"/>
      <w:outlineLvl w:val="6"/>
    </w:pPr>
    <w:rPr>
      <w:rFonts w:asciiTheme="majorHAnsi" w:eastAsiaTheme="majorEastAsia" w:hAnsiTheme="majorHAnsi" w:cstheme="majorBidi"/>
      <w:i/>
      <w:iCs/>
      <w:color w:val="484A4C" w:themeColor="accent1" w:themeShade="7F"/>
    </w:rPr>
  </w:style>
  <w:style w:type="paragraph" w:styleId="Heading8">
    <w:name w:val="heading 8"/>
    <w:basedOn w:val="Normal"/>
    <w:next w:val="Normal"/>
    <w:link w:val="Heading8Char"/>
    <w:uiPriority w:val="9"/>
    <w:semiHidden/>
    <w:unhideWhenUsed/>
    <w:qFormat/>
    <w:rsid w:val="00810822"/>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0822"/>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AF7315"/>
    <w:pPr>
      <w:tabs>
        <w:tab w:val="left" w:pos="440"/>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Heading7Char">
    <w:name w:val="Heading 7 Char"/>
    <w:basedOn w:val="DefaultParagraphFont"/>
    <w:link w:val="Heading7"/>
    <w:uiPriority w:val="9"/>
    <w:semiHidden/>
    <w:rsid w:val="00810822"/>
    <w:rPr>
      <w:rFonts w:asciiTheme="majorHAnsi" w:eastAsiaTheme="majorEastAsia" w:hAnsiTheme="majorHAnsi" w:cstheme="majorBidi"/>
      <w:i/>
      <w:iCs/>
      <w:color w:val="484A4C" w:themeColor="accent1" w:themeShade="7F"/>
    </w:rPr>
  </w:style>
  <w:style w:type="character" w:customStyle="1" w:styleId="Heading8Char">
    <w:name w:val="Heading 8 Char"/>
    <w:basedOn w:val="DefaultParagraphFont"/>
    <w:link w:val="Heading8"/>
    <w:uiPriority w:val="9"/>
    <w:semiHidden/>
    <w:rsid w:val="008108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0822"/>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10822"/>
    <w:rPr>
      <w:sz w:val="16"/>
      <w:szCs w:val="16"/>
    </w:rPr>
  </w:style>
  <w:style w:type="paragraph" w:styleId="CommentText">
    <w:name w:val="annotation text"/>
    <w:basedOn w:val="Normal"/>
    <w:link w:val="CommentTextChar"/>
    <w:uiPriority w:val="99"/>
    <w:semiHidden/>
    <w:unhideWhenUsed/>
    <w:rsid w:val="00810822"/>
    <w:pPr>
      <w:spacing w:line="240" w:lineRule="auto"/>
    </w:pPr>
    <w:rPr>
      <w:sz w:val="20"/>
      <w:szCs w:val="20"/>
    </w:rPr>
  </w:style>
  <w:style w:type="character" w:customStyle="1" w:styleId="CommentTextChar">
    <w:name w:val="Comment Text Char"/>
    <w:basedOn w:val="DefaultParagraphFont"/>
    <w:link w:val="CommentText"/>
    <w:uiPriority w:val="99"/>
    <w:semiHidden/>
    <w:rsid w:val="00810822"/>
    <w:rPr>
      <w:sz w:val="20"/>
      <w:szCs w:val="20"/>
    </w:rPr>
  </w:style>
  <w:style w:type="paragraph" w:styleId="CommentSubject">
    <w:name w:val="annotation subject"/>
    <w:basedOn w:val="CommentText"/>
    <w:next w:val="CommentText"/>
    <w:link w:val="CommentSubjectChar"/>
    <w:uiPriority w:val="99"/>
    <w:semiHidden/>
    <w:unhideWhenUsed/>
    <w:rsid w:val="00810822"/>
    <w:rPr>
      <w:b/>
      <w:bCs/>
    </w:rPr>
  </w:style>
  <w:style w:type="character" w:customStyle="1" w:styleId="CommentSubjectChar">
    <w:name w:val="Comment Subject Char"/>
    <w:basedOn w:val="CommentTextChar"/>
    <w:link w:val="CommentSubject"/>
    <w:uiPriority w:val="99"/>
    <w:semiHidden/>
    <w:rsid w:val="00810822"/>
    <w:rPr>
      <w:b/>
      <w:bCs/>
      <w:sz w:val="20"/>
      <w:szCs w:val="20"/>
    </w:rPr>
  </w:style>
  <w:style w:type="paragraph" w:styleId="ListBullet">
    <w:name w:val="List Bullet"/>
    <w:basedOn w:val="ListParagraph"/>
    <w:uiPriority w:val="99"/>
    <w:unhideWhenUsed/>
    <w:rsid w:val="00810822"/>
    <w:pPr>
      <w:numPr>
        <w:numId w:val="6"/>
      </w:numPr>
      <w:spacing w:before="240" w:after="240" w:line="300" w:lineRule="auto"/>
    </w:pPr>
    <w:rPr>
      <w:rFonts w:ascii="Arial" w:hAnsi="Arial"/>
    </w:rPr>
  </w:style>
  <w:style w:type="paragraph" w:customStyle="1" w:styleId="BodyCopy">
    <w:name w:val="Body Copy"/>
    <w:basedOn w:val="Normal"/>
    <w:link w:val="BodyCopyChar"/>
    <w:qFormat/>
    <w:rsid w:val="00810822"/>
    <w:pPr>
      <w:spacing w:before="120" w:after="120" w:line="240" w:lineRule="auto"/>
    </w:pPr>
    <w:rPr>
      <w:rFonts w:ascii="Arial" w:eastAsia="Cambria" w:hAnsi="Arial" w:cs="Times New Roman"/>
      <w:szCs w:val="24"/>
    </w:rPr>
  </w:style>
  <w:style w:type="paragraph" w:customStyle="1" w:styleId="Bulletlist">
    <w:name w:val="Bullet list"/>
    <w:basedOn w:val="BodyCopy"/>
    <w:qFormat/>
    <w:rsid w:val="00810822"/>
    <w:pPr>
      <w:numPr>
        <w:numId w:val="13"/>
      </w:numPr>
    </w:pPr>
  </w:style>
  <w:style w:type="character" w:customStyle="1" w:styleId="BodyCopyChar">
    <w:name w:val="Body Copy Char"/>
    <w:link w:val="BodyCopy"/>
    <w:rsid w:val="00810822"/>
    <w:rPr>
      <w:rFonts w:ascii="Arial" w:eastAsia="Cambria" w:hAnsi="Arial" w:cs="Times New Roman"/>
      <w:szCs w:val="24"/>
    </w:rPr>
  </w:style>
  <w:style w:type="paragraph" w:styleId="ListBullet2">
    <w:name w:val="List Bullet 2"/>
    <w:basedOn w:val="Normal"/>
    <w:uiPriority w:val="99"/>
    <w:unhideWhenUsed/>
    <w:rsid w:val="00F536B9"/>
    <w:pPr>
      <w:numPr>
        <w:numId w:val="15"/>
      </w:numPr>
      <w:contextualSpacing/>
    </w:pPr>
  </w:style>
  <w:style w:type="paragraph" w:styleId="NormalWeb">
    <w:name w:val="Normal (Web)"/>
    <w:basedOn w:val="Normal"/>
    <w:uiPriority w:val="99"/>
    <w:semiHidden/>
    <w:unhideWhenUsed/>
    <w:rsid w:val="00A83C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636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9BF"/>
    <w:rPr>
      <w:sz w:val="20"/>
      <w:szCs w:val="20"/>
    </w:rPr>
  </w:style>
  <w:style w:type="character" w:styleId="FootnoteReference">
    <w:name w:val="footnote reference"/>
    <w:basedOn w:val="DefaultParagraphFont"/>
    <w:uiPriority w:val="99"/>
    <w:semiHidden/>
    <w:unhideWhenUsed/>
    <w:rsid w:val="006369BF"/>
    <w:rPr>
      <w:vertAlign w:val="superscript"/>
    </w:rPr>
  </w:style>
  <w:style w:type="paragraph" w:customStyle="1" w:styleId="Default">
    <w:name w:val="Default"/>
    <w:rsid w:val="00292ABA"/>
    <w:pPr>
      <w:autoSpaceDE w:val="0"/>
      <w:autoSpaceDN w:val="0"/>
      <w:adjustRightInd w:val="0"/>
      <w:spacing w:after="0" w:line="240" w:lineRule="auto"/>
    </w:pPr>
    <w:rPr>
      <w:rFonts w:ascii="Montserrat Ultra Light" w:hAnsi="Montserrat Ultra Light" w:cs="Montserrat Ultra Light"/>
      <w:color w:val="000000"/>
      <w:sz w:val="24"/>
      <w:szCs w:val="24"/>
    </w:rPr>
  </w:style>
  <w:style w:type="character" w:customStyle="1" w:styleId="A9">
    <w:name w:val="A9"/>
    <w:uiPriority w:val="99"/>
    <w:rsid w:val="00292ABA"/>
    <w:rPr>
      <w:rFonts w:cs="Montserrat Ultra Light"/>
      <w:color w:val="000000"/>
      <w:sz w:val="18"/>
      <w:szCs w:val="18"/>
    </w:rPr>
  </w:style>
  <w:style w:type="table" w:styleId="PlainTable5">
    <w:name w:val="Plain Table 5"/>
    <w:basedOn w:val="TableNormal"/>
    <w:uiPriority w:val="45"/>
    <w:rsid w:val="006767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7378E3"/>
    <w:pPr>
      <w:spacing w:after="0" w:line="240" w:lineRule="auto"/>
    </w:pPr>
  </w:style>
  <w:style w:type="character" w:customStyle="1" w:styleId="hgkelc">
    <w:name w:val="hgkelc"/>
    <w:basedOn w:val="DefaultParagraphFont"/>
    <w:rsid w:val="0076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7667">
      <w:bodyDiv w:val="1"/>
      <w:marLeft w:val="0"/>
      <w:marRight w:val="0"/>
      <w:marTop w:val="0"/>
      <w:marBottom w:val="0"/>
      <w:divBdr>
        <w:top w:val="none" w:sz="0" w:space="0" w:color="auto"/>
        <w:left w:val="none" w:sz="0" w:space="0" w:color="auto"/>
        <w:bottom w:val="none" w:sz="0" w:space="0" w:color="auto"/>
        <w:right w:val="none" w:sz="0" w:space="0" w:color="auto"/>
      </w:divBdr>
    </w:div>
    <w:div w:id="154803034">
      <w:bodyDiv w:val="1"/>
      <w:marLeft w:val="0"/>
      <w:marRight w:val="0"/>
      <w:marTop w:val="0"/>
      <w:marBottom w:val="0"/>
      <w:divBdr>
        <w:top w:val="none" w:sz="0" w:space="0" w:color="auto"/>
        <w:left w:val="none" w:sz="0" w:space="0" w:color="auto"/>
        <w:bottom w:val="none" w:sz="0" w:space="0" w:color="auto"/>
        <w:right w:val="none" w:sz="0" w:space="0" w:color="auto"/>
      </w:divBdr>
    </w:div>
    <w:div w:id="781338188">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74538795">
      <w:bodyDiv w:val="1"/>
      <w:marLeft w:val="0"/>
      <w:marRight w:val="0"/>
      <w:marTop w:val="0"/>
      <w:marBottom w:val="0"/>
      <w:divBdr>
        <w:top w:val="none" w:sz="0" w:space="0" w:color="auto"/>
        <w:left w:val="none" w:sz="0" w:space="0" w:color="auto"/>
        <w:bottom w:val="none" w:sz="0" w:space="0" w:color="auto"/>
        <w:right w:val="none" w:sz="0" w:space="0" w:color="auto"/>
      </w:divBdr>
    </w:div>
    <w:div w:id="1409842035">
      <w:bodyDiv w:val="1"/>
      <w:marLeft w:val="0"/>
      <w:marRight w:val="0"/>
      <w:marTop w:val="0"/>
      <w:marBottom w:val="0"/>
      <w:divBdr>
        <w:top w:val="none" w:sz="0" w:space="0" w:color="auto"/>
        <w:left w:val="none" w:sz="0" w:space="0" w:color="auto"/>
        <w:bottom w:val="none" w:sz="0" w:space="0" w:color="auto"/>
        <w:right w:val="none" w:sz="0" w:space="0" w:color="auto"/>
      </w:divBdr>
    </w:div>
    <w:div w:id="1687708951">
      <w:bodyDiv w:val="1"/>
      <w:marLeft w:val="0"/>
      <w:marRight w:val="0"/>
      <w:marTop w:val="0"/>
      <w:marBottom w:val="0"/>
      <w:divBdr>
        <w:top w:val="none" w:sz="0" w:space="0" w:color="auto"/>
        <w:left w:val="none" w:sz="0" w:space="0" w:color="auto"/>
        <w:bottom w:val="none" w:sz="0" w:space="0" w:color="auto"/>
        <w:right w:val="none" w:sz="0" w:space="0" w:color="auto"/>
      </w:divBdr>
    </w:div>
    <w:div w:id="1839929597">
      <w:bodyDiv w:val="1"/>
      <w:marLeft w:val="0"/>
      <w:marRight w:val="0"/>
      <w:marTop w:val="0"/>
      <w:marBottom w:val="0"/>
      <w:divBdr>
        <w:top w:val="none" w:sz="0" w:space="0" w:color="auto"/>
        <w:left w:val="none" w:sz="0" w:space="0" w:color="auto"/>
        <w:bottom w:val="none" w:sz="0" w:space="0" w:color="auto"/>
        <w:right w:val="none" w:sz="0" w:space="0" w:color="auto"/>
      </w:divBdr>
    </w:div>
    <w:div w:id="2059280638">
      <w:bodyDiv w:val="1"/>
      <w:marLeft w:val="0"/>
      <w:marRight w:val="0"/>
      <w:marTop w:val="0"/>
      <w:marBottom w:val="0"/>
      <w:divBdr>
        <w:top w:val="none" w:sz="0" w:space="0" w:color="auto"/>
        <w:left w:val="none" w:sz="0" w:space="0" w:color="auto"/>
        <w:bottom w:val="none" w:sz="0" w:space="0" w:color="auto"/>
        <w:right w:val="none" w:sz="0" w:space="0" w:color="auto"/>
      </w:divBdr>
      <w:divsChild>
        <w:div w:id="1057780867">
          <w:marLeft w:val="0"/>
          <w:marRight w:val="0"/>
          <w:marTop w:val="0"/>
          <w:marBottom w:val="0"/>
          <w:divBdr>
            <w:top w:val="none" w:sz="0" w:space="0" w:color="auto"/>
            <w:left w:val="none" w:sz="0" w:space="0" w:color="auto"/>
            <w:bottom w:val="none" w:sz="0" w:space="0" w:color="auto"/>
            <w:right w:val="none" w:sz="0" w:space="0" w:color="auto"/>
          </w:divBdr>
          <w:divsChild>
            <w:div w:id="342634397">
              <w:marLeft w:val="0"/>
              <w:marRight w:val="0"/>
              <w:marTop w:val="0"/>
              <w:marBottom w:val="0"/>
              <w:divBdr>
                <w:top w:val="none" w:sz="0" w:space="0" w:color="auto"/>
                <w:left w:val="none" w:sz="0" w:space="0" w:color="auto"/>
                <w:bottom w:val="none" w:sz="0" w:space="0" w:color="auto"/>
                <w:right w:val="none" w:sz="0" w:space="0" w:color="auto"/>
              </w:divBdr>
              <w:divsChild>
                <w:div w:id="1445811013">
                  <w:marLeft w:val="0"/>
                  <w:marRight w:val="0"/>
                  <w:marTop w:val="0"/>
                  <w:marBottom w:val="0"/>
                  <w:divBdr>
                    <w:top w:val="none" w:sz="0" w:space="0" w:color="auto"/>
                    <w:left w:val="none" w:sz="0" w:space="0" w:color="auto"/>
                    <w:bottom w:val="none" w:sz="0" w:space="0" w:color="auto"/>
                    <w:right w:val="none" w:sz="0" w:space="0" w:color="auto"/>
                  </w:divBdr>
                  <w:divsChild>
                    <w:div w:id="735515385">
                      <w:marLeft w:val="0"/>
                      <w:marRight w:val="0"/>
                      <w:marTop w:val="0"/>
                      <w:marBottom w:val="0"/>
                      <w:divBdr>
                        <w:top w:val="none" w:sz="0" w:space="0" w:color="auto"/>
                        <w:left w:val="none" w:sz="0" w:space="0" w:color="auto"/>
                        <w:bottom w:val="none" w:sz="0" w:space="0" w:color="auto"/>
                        <w:right w:val="none" w:sz="0" w:space="0" w:color="auto"/>
                      </w:divBdr>
                      <w:divsChild>
                        <w:div w:id="1808086498">
                          <w:marLeft w:val="-225"/>
                          <w:marRight w:val="-225"/>
                          <w:marTop w:val="0"/>
                          <w:marBottom w:val="0"/>
                          <w:divBdr>
                            <w:top w:val="none" w:sz="0" w:space="0" w:color="auto"/>
                            <w:left w:val="none" w:sz="0" w:space="0" w:color="auto"/>
                            <w:bottom w:val="none" w:sz="0" w:space="0" w:color="auto"/>
                            <w:right w:val="none" w:sz="0" w:space="0" w:color="auto"/>
                          </w:divBdr>
                          <w:divsChild>
                            <w:div w:id="2036073755">
                              <w:marLeft w:val="0"/>
                              <w:marRight w:val="0"/>
                              <w:marTop w:val="0"/>
                              <w:marBottom w:val="0"/>
                              <w:divBdr>
                                <w:top w:val="none" w:sz="0" w:space="0" w:color="auto"/>
                                <w:left w:val="none" w:sz="0" w:space="0" w:color="auto"/>
                                <w:bottom w:val="none" w:sz="0" w:space="0" w:color="auto"/>
                                <w:right w:val="none" w:sz="0" w:space="0" w:color="auto"/>
                              </w:divBdr>
                              <w:divsChild>
                                <w:div w:id="1673291042">
                                  <w:marLeft w:val="0"/>
                                  <w:marRight w:val="0"/>
                                  <w:marTop w:val="0"/>
                                  <w:marBottom w:val="0"/>
                                  <w:divBdr>
                                    <w:top w:val="none" w:sz="0" w:space="0" w:color="auto"/>
                                    <w:left w:val="none" w:sz="0" w:space="0" w:color="auto"/>
                                    <w:bottom w:val="none" w:sz="0" w:space="0" w:color="auto"/>
                                    <w:right w:val="none" w:sz="0" w:space="0" w:color="auto"/>
                                  </w:divBdr>
                                  <w:divsChild>
                                    <w:div w:id="729691332">
                                      <w:marLeft w:val="0"/>
                                      <w:marRight w:val="0"/>
                                      <w:marTop w:val="0"/>
                                      <w:marBottom w:val="0"/>
                                      <w:divBdr>
                                        <w:top w:val="none" w:sz="0" w:space="0" w:color="auto"/>
                                        <w:left w:val="none" w:sz="0" w:space="0" w:color="auto"/>
                                        <w:bottom w:val="none" w:sz="0" w:space="0" w:color="auto"/>
                                        <w:right w:val="none" w:sz="0" w:space="0" w:color="auto"/>
                                      </w:divBdr>
                                      <w:divsChild>
                                        <w:div w:id="1344362426">
                                          <w:marLeft w:val="-225"/>
                                          <w:marRight w:val="-225"/>
                                          <w:marTop w:val="0"/>
                                          <w:marBottom w:val="0"/>
                                          <w:divBdr>
                                            <w:top w:val="none" w:sz="0" w:space="0" w:color="auto"/>
                                            <w:left w:val="none" w:sz="0" w:space="0" w:color="auto"/>
                                            <w:bottom w:val="none" w:sz="0" w:space="0" w:color="auto"/>
                                            <w:right w:val="none" w:sz="0" w:space="0" w:color="auto"/>
                                          </w:divBdr>
                                          <w:divsChild>
                                            <w:div w:id="1188105392">
                                              <w:marLeft w:val="0"/>
                                              <w:marRight w:val="0"/>
                                              <w:marTop w:val="0"/>
                                              <w:marBottom w:val="0"/>
                                              <w:divBdr>
                                                <w:top w:val="none" w:sz="0" w:space="0" w:color="auto"/>
                                                <w:left w:val="none" w:sz="0" w:space="0" w:color="auto"/>
                                                <w:bottom w:val="none" w:sz="0" w:space="0" w:color="auto"/>
                                                <w:right w:val="none" w:sz="0" w:space="0" w:color="auto"/>
                                              </w:divBdr>
                                              <w:divsChild>
                                                <w:div w:id="1918441282">
                                                  <w:marLeft w:val="0"/>
                                                  <w:marRight w:val="0"/>
                                                  <w:marTop w:val="0"/>
                                                  <w:marBottom w:val="0"/>
                                                  <w:divBdr>
                                                    <w:top w:val="none" w:sz="0" w:space="0" w:color="auto"/>
                                                    <w:left w:val="none" w:sz="0" w:space="0" w:color="auto"/>
                                                    <w:bottom w:val="none" w:sz="0" w:space="0" w:color="auto"/>
                                                    <w:right w:val="none" w:sz="0" w:space="0" w:color="auto"/>
                                                  </w:divBdr>
                                                  <w:divsChild>
                                                    <w:div w:id="1721517327">
                                                      <w:marLeft w:val="0"/>
                                                      <w:marRight w:val="0"/>
                                                      <w:marTop w:val="0"/>
                                                      <w:marBottom w:val="0"/>
                                                      <w:divBdr>
                                                        <w:top w:val="none" w:sz="0" w:space="0" w:color="auto"/>
                                                        <w:left w:val="none" w:sz="0" w:space="0" w:color="auto"/>
                                                        <w:bottom w:val="none" w:sz="0" w:space="0" w:color="auto"/>
                                                        <w:right w:val="none" w:sz="0" w:space="0" w:color="auto"/>
                                                      </w:divBdr>
                                                      <w:divsChild>
                                                        <w:div w:id="1018775766">
                                                          <w:marLeft w:val="0"/>
                                                          <w:marRight w:val="0"/>
                                                          <w:marTop w:val="0"/>
                                                          <w:marBottom w:val="0"/>
                                                          <w:divBdr>
                                                            <w:top w:val="none" w:sz="0" w:space="0" w:color="auto"/>
                                                            <w:left w:val="none" w:sz="0" w:space="0" w:color="auto"/>
                                                            <w:bottom w:val="none" w:sz="0" w:space="0" w:color="auto"/>
                                                            <w:right w:val="none" w:sz="0" w:space="0" w:color="auto"/>
                                                          </w:divBdr>
                                                          <w:divsChild>
                                                            <w:div w:id="5255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018F279E6422FB90E717AC855E64C"/>
        <w:category>
          <w:name w:val="General"/>
          <w:gallery w:val="placeholder"/>
        </w:category>
        <w:types>
          <w:type w:val="bbPlcHdr"/>
        </w:types>
        <w:behaviors>
          <w:behavior w:val="content"/>
        </w:behaviors>
        <w:guid w:val="{9A77CEAE-B380-4F9F-8DD5-822FCF65A305}"/>
      </w:docPartPr>
      <w:docPartBody>
        <w:p w:rsidR="00C202F6" w:rsidRDefault="00C202F6">
          <w:pPr>
            <w:pStyle w:val="223018F279E6422FB90E717AC855E64C"/>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Ultra Light">
    <w:altName w:val="Montserrat Ultra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F6"/>
    <w:rsid w:val="00005BB2"/>
    <w:rsid w:val="000A770F"/>
    <w:rsid w:val="001735EA"/>
    <w:rsid w:val="001F2B3E"/>
    <w:rsid w:val="002839C5"/>
    <w:rsid w:val="002C5206"/>
    <w:rsid w:val="00395439"/>
    <w:rsid w:val="003E1CF6"/>
    <w:rsid w:val="00446D41"/>
    <w:rsid w:val="004A7982"/>
    <w:rsid w:val="005B1CC5"/>
    <w:rsid w:val="005D3FBF"/>
    <w:rsid w:val="00611C29"/>
    <w:rsid w:val="00674754"/>
    <w:rsid w:val="006F5076"/>
    <w:rsid w:val="007D56B5"/>
    <w:rsid w:val="00822069"/>
    <w:rsid w:val="00960194"/>
    <w:rsid w:val="009776AA"/>
    <w:rsid w:val="009C4B99"/>
    <w:rsid w:val="00A0341F"/>
    <w:rsid w:val="00B26687"/>
    <w:rsid w:val="00B37567"/>
    <w:rsid w:val="00BC56E4"/>
    <w:rsid w:val="00C202F6"/>
    <w:rsid w:val="00C77A0C"/>
    <w:rsid w:val="00C817FF"/>
    <w:rsid w:val="00E74D1C"/>
    <w:rsid w:val="00EA429F"/>
    <w:rsid w:val="00EC41B4"/>
    <w:rsid w:val="00EF3725"/>
    <w:rsid w:val="00FC168B"/>
    <w:rsid w:val="00FD5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018F279E6422FB90E717AC855E64C">
    <w:name w:val="223018F279E6422FB90E717AC855E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Offshore Wind Energy</TermName>
          <TermId xmlns="http://schemas.microsoft.com/office/infopath/2007/PartnerControls">df8d88a0-61be-4037-b4e4-34ebb4c402be</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Regulatory Impact Statement</TermName>
          <TermId xmlns="http://schemas.microsoft.com/office/infopath/2007/PartnerControls">b67cf5e3-3946-4a1a-b234-9cb1fda6ff32</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Assessment</TermName>
          <TermId xmlns="http://schemas.microsoft.com/office/infopath/2007/PartnerControls">36b1d84e-775d-482f-94a1-6c6591cf73fe</TermId>
        </TermInfo>
      </Terms>
    </g7bcb40ba23249a78edca7d43a67c1c9>
    <TaxCatchAll xmlns="a36bd50b-1532-4c22-b385-5c082c960938">
      <Value>803</Value>
      <Value>108</Value>
      <Value>530</Value>
      <Value>1082</Value>
      <Value>1</Value>
    </TaxCatchAll>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d9e2c5c76a5c9411893adea2cb4ba7a5">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669400f9330ed1cd820e59a318b36a87"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2359D-0F48-4923-94DB-900B71EE5341}">
  <ds:schemaRefs>
    <ds:schemaRef ds:uri="http://schemas.microsoft.com/office/2006/metadata/properties"/>
    <ds:schemaRef ds:uri="http://schemas.microsoft.com/office/infopath/2007/PartnerControls"/>
    <ds:schemaRef ds:uri="a36bd50b-1532-4c22-b385-5c082c960938"/>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4A1807D-6607-4488-B8B8-C039CB439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2C6AC-60E6-4BFA-B75D-8781E30A3AE4}">
  <ds:schemaRefs>
    <ds:schemaRef ds:uri="http://schemas.microsoft.com/sharepoint/v3/contenttype/forms"/>
  </ds:schemaRefs>
</ds:datastoreItem>
</file>

<file path=customXml/itemProps4.xml><?xml version="1.0" encoding="utf-8"?>
<ds:datastoreItem xmlns:ds="http://schemas.openxmlformats.org/officeDocument/2006/customXml" ds:itemID="{640EFAD6-5841-461F-ABA7-5B97C70D1F3D}">
  <ds:schemaRefs>
    <ds:schemaRef ds:uri="http://schemas.microsoft.com/sharepoint/events"/>
  </ds:schemaRefs>
</ds:datastoreItem>
</file>

<file path=customXml/itemProps5.xml><?xml version="1.0" encoding="utf-8"?>
<ds:datastoreItem xmlns:ds="http://schemas.openxmlformats.org/officeDocument/2006/customXml" ds:itemID="{A0FCFC46-DA30-40B2-AEDE-577BECE7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13560</Words>
  <Characters>77297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RIS – Offshore Electricity Infrastructure</vt:lpstr>
    </vt:vector>
  </TitlesOfParts>
  <Manager/>
  <Company/>
  <LinksUpToDate>false</LinksUpToDate>
  <CharactersWithSpaces>90676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 Offshore Electricity Infrastructure</dc:title>
  <dc:subject/>
  <dc:creator/>
  <cp:keywords/>
  <dc:description/>
  <cp:lastModifiedBy/>
  <cp:revision>1</cp:revision>
  <dcterms:created xsi:type="dcterms:W3CDTF">2021-04-21T07:12:00Z</dcterms:created>
  <dcterms:modified xsi:type="dcterms:W3CDTF">2021-04-21T07:18:00Z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1082;#2021|712d5b50-1b62-44de-9d3e-74234783b265</vt:lpwstr>
  </property>
  <property fmtid="{D5CDD505-2E9C-101B-9397-08002B2CF9AE}" pid="4" name="DocHub_DocumentType">
    <vt:lpwstr>803;#Regulatory Impact Statement|b67cf5e3-3946-4a1a-b234-9cb1fda6ff32</vt:lpwstr>
  </property>
  <property fmtid="{D5CDD505-2E9C-101B-9397-08002B2CF9AE}" pid="5" name="DocHub_SecurityClassification">
    <vt:lpwstr>1;#OFFICIAL|6106d03b-a1a0-4e30-9d91-d5e9fb4314f9</vt:lpwstr>
  </property>
  <property fmtid="{D5CDD505-2E9C-101B-9397-08002B2CF9AE}" pid="6" name="DocHub_Keywords">
    <vt:lpwstr>108;#Offshore Wind Energy|df8d88a0-61be-4037-b4e4-34ebb4c402be</vt:lpwstr>
  </property>
  <property fmtid="{D5CDD505-2E9C-101B-9397-08002B2CF9AE}" pid="7" name="DocHub_WorkActivity">
    <vt:lpwstr>530;#Assessment|36b1d84e-775d-482f-94a1-6c6591cf73fe</vt:lpwstr>
  </property>
</Properties>
</file>