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591017"/>
        <w:docPartObj>
          <w:docPartGallery w:val="Cover Pages"/>
          <w:docPartUnique/>
        </w:docPartObj>
      </w:sdtPr>
      <w:sdtEndPr>
        <w:rPr>
          <w:noProof/>
        </w:rPr>
      </w:sdtEndPr>
      <w:sdtContent>
        <w:p w14:paraId="640F6F2E" w14:textId="6FD32BAE" w:rsidR="0023294E" w:rsidRPr="00183564" w:rsidRDefault="0023294E" w:rsidP="004616FF">
          <w:pPr>
            <w:pStyle w:val="BodyText"/>
          </w:pPr>
          <w:r w:rsidRPr="00183564">
            <w:rPr>
              <w:noProof/>
              <w:lang w:eastAsia="en-AU"/>
            </w:rPr>
            <mc:AlternateContent>
              <mc:Choice Requires="wps">
                <w:drawing>
                  <wp:anchor distT="0" distB="0" distL="114300" distR="114300" simplePos="0" relativeHeight="251658242" behindDoc="0" locked="1" layoutInCell="1" allowOverlap="1" wp14:anchorId="4ED09907" wp14:editId="66855FBE">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0D1BB" id="Rectangle 70" o:spid="_x0000_s1026" style="position:absolute;margin-left:-42.7pt;margin-top:0;width:8.5pt;height:843.3pt;z-index:25165824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Pr="00183564">
            <w:rPr>
              <w:noProof/>
              <w:lang w:eastAsia="en-AU"/>
            </w:rPr>
            <mc:AlternateContent>
              <mc:Choice Requires="wps">
                <w:drawing>
                  <wp:anchor distT="45720" distB="45720" distL="114300" distR="114300" simplePos="0" relativeHeight="251658240" behindDoc="1" locked="1" layoutInCell="1" allowOverlap="1" wp14:anchorId="0851388E" wp14:editId="2EF34DD1">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77058F70" w14:textId="77777777" w:rsidR="005C421B" w:rsidRPr="009B4379" w:rsidRDefault="005C421B"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1388E" id="_x0000_t202" coordsize="21600,21600" o:spt="202" path="m,l,21600r21600,l21600,xe">
                    <v:stroke joinstyle="miter"/>
                    <v:path gradientshapeok="t" o:connecttype="rect"/>
                  </v:shapetype>
                  <v:shape id="Text Box 2"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77058F70" w14:textId="77777777" w:rsidR="005C421B" w:rsidRPr="009B4379" w:rsidRDefault="005C421B" w:rsidP="009B4379">
                          <w:pPr>
                            <w:pStyle w:val="ProtectiveMarking"/>
                          </w:pPr>
                        </w:p>
                      </w:txbxContent>
                    </v:textbox>
                    <w10:wrap anchorx="page" anchory="page"/>
                    <w10:anchorlock/>
                  </v:shape>
                </w:pict>
              </mc:Fallback>
            </mc:AlternateContent>
          </w:r>
          <w:r w:rsidRPr="00183564">
            <w:rPr>
              <w:noProof/>
              <w:lang w:eastAsia="en-AU"/>
            </w:rPr>
            <mc:AlternateContent>
              <mc:Choice Requires="wps">
                <w:drawing>
                  <wp:anchor distT="45720" distB="45720" distL="114300" distR="114300" simplePos="0" relativeHeight="251658243" behindDoc="1" locked="1" layoutInCell="1" allowOverlap="1" wp14:anchorId="46FD2789" wp14:editId="78E2A016">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1DD50045" w14:textId="77777777" w:rsidR="005C421B" w:rsidRPr="00543FDE" w:rsidRDefault="005C421B"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D2789" id="_x0000_s1027" type="#_x0000_t202" style="position:absolute;margin-left:0;margin-top:785.1pt;width:595.35pt;height:56.65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1DD50045" w14:textId="77777777" w:rsidR="005C421B" w:rsidRPr="00543FDE" w:rsidRDefault="005C421B" w:rsidP="004616FF">
                          <w:pPr>
                            <w:pStyle w:val="ProtectiveMarking"/>
                          </w:pPr>
                        </w:p>
                      </w:txbxContent>
                    </v:textbox>
                    <w10:wrap anchorx="page" anchory="page"/>
                    <w10:anchorlock/>
                  </v:shape>
                </w:pict>
              </mc:Fallback>
            </mc:AlternateContent>
          </w:r>
          <w:r w:rsidR="00A65CC8">
            <w:rPr>
              <w:noProof/>
              <w:lang w:eastAsia="en-AU"/>
            </w:rPr>
            <w:drawing>
              <wp:inline distT="0" distB="0" distL="0" distR="0" wp14:anchorId="7FCA2B9C" wp14:editId="0F7753B6">
                <wp:extent cx="2121535" cy="633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1535" cy="633730"/>
                        </a:xfrm>
                        <a:prstGeom prst="rect">
                          <a:avLst/>
                        </a:prstGeom>
                        <a:noFill/>
                      </pic:spPr>
                    </pic:pic>
                  </a:graphicData>
                </a:graphic>
              </wp:inline>
            </w:drawing>
          </w:r>
        </w:p>
        <w:p w14:paraId="3F292748" w14:textId="126F074E" w:rsidR="0023294E" w:rsidRPr="00183564" w:rsidRDefault="00504162" w:rsidP="0022312D">
          <w:pPr>
            <w:framePr w:w="11595" w:h="6521" w:hRule="exact" w:wrap="around" w:vAnchor="page" w:hAnchor="page" w:x="271" w:y="8431" w:anchorLock="1"/>
            <w:jc w:val="center"/>
          </w:pPr>
          <w:r w:rsidRPr="00183564">
            <w:rPr>
              <w:noProof/>
              <w:lang w:eastAsia="en-AU"/>
            </w:rPr>
            <w:drawing>
              <wp:inline distT="0" distB="0" distL="0" distR="0" wp14:anchorId="5B1DD924" wp14:editId="52D4EAB7">
                <wp:extent cx="4139565" cy="4139565"/>
                <wp:effectExtent l="0" t="0" r="0" b="0"/>
                <wp:docPr id="3" name="Picture 1" descr="A close-up of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up of a flower&#10;&#10;Description automatically generated with medium confidence"/>
                        <pic:cNvPicPr>
                          <a:picLocks noChangeAspect="1" noChangeArrowheads="1"/>
                        </pic:cNvPicPr>
                      </pic:nvPicPr>
                      <pic:blipFill>
                        <a:blip r:embed="rId13"/>
                        <a:stretch>
                          <a:fillRect/>
                        </a:stretch>
                      </pic:blipFill>
                      <pic:spPr bwMode="auto">
                        <a:xfrm>
                          <a:off x="0" y="0"/>
                          <a:ext cx="4139565" cy="4139565"/>
                        </a:xfrm>
                        <a:prstGeom prst="rect">
                          <a:avLst/>
                        </a:prstGeom>
                        <a:noFill/>
                        <a:ln>
                          <a:noFill/>
                        </a:ln>
                        <a:extLst>
                          <a:ext uri="{53640926-AAD7-44D8-BBD7-CCE9431645EC}">
                            <a14:shadowObscured xmlns:a14="http://schemas.microsoft.com/office/drawing/2010/main"/>
                          </a:ext>
                        </a:extLst>
                      </pic:spPr>
                    </pic:pic>
                  </a:graphicData>
                </a:graphic>
              </wp:inline>
            </w:drawing>
          </w:r>
        </w:p>
        <w:p w14:paraId="28D4BA64" w14:textId="3C3E7D0A" w:rsidR="0023294E" w:rsidRPr="00183564" w:rsidRDefault="0023294E" w:rsidP="00AF49E5">
          <w:pPr>
            <w:pStyle w:val="BodyText"/>
            <w:rPr>
              <w:caps/>
            </w:rPr>
            <w:sectPr w:rsidR="0023294E" w:rsidRPr="00183564"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183564">
            <w:rPr>
              <w:noProof/>
            </w:rPr>
            <w:t xml:space="preserve"> </w:t>
          </w:r>
          <w:r w:rsidRPr="00183564">
            <w:rPr>
              <w:noProof/>
              <w:lang w:eastAsia="en-AU"/>
            </w:rPr>
            <mc:AlternateContent>
              <mc:Choice Requires="wps">
                <w:drawing>
                  <wp:anchor distT="0" distB="0" distL="182880" distR="182880" simplePos="0" relativeHeight="251658241" behindDoc="0" locked="1" layoutInCell="1" allowOverlap="1" wp14:anchorId="3E8F0F1C" wp14:editId="4D14F092">
                    <wp:simplePos x="0" y="0"/>
                    <wp:positionH relativeFrom="margin">
                      <wp:posOffset>-8255</wp:posOffset>
                    </wp:positionH>
                    <wp:positionV relativeFrom="page">
                      <wp:posOffset>1828800</wp:posOffset>
                    </wp:positionV>
                    <wp:extent cx="6494145" cy="2822575"/>
                    <wp:effectExtent l="0" t="0" r="1905" b="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282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79055542"/>
                              <w:bookmarkStart w:id="1" w:name="_Toc79138770"/>
                              <w:p w14:paraId="0D475081" w14:textId="12E900ED" w:rsidR="005C421B" w:rsidRPr="00423E92" w:rsidRDefault="00733E8D" w:rsidP="003C6961">
                                <w:pPr>
                                  <w:pStyle w:val="CoverTitle"/>
                                </w:pPr>
                                <w:sdt>
                                  <w:sdtPr>
                                    <w:rPr>
                                      <w:rStyle w:val="BodyTextChar"/>
                                      <w:rFonts w:asciiTheme="minorHAnsi" w:hAnsiTheme="minorHAnsi" w:cstheme="minorHAnsi"/>
                                      <w:b w:val="0"/>
                                      <w:bCs/>
                                      <w:sz w:val="72"/>
                                    </w:rPr>
                                    <w:alias w:val="Document Heading"/>
                                    <w:tag w:val="DH"/>
                                    <w:id w:val="-1577504962"/>
                                    <w:dataBinding w:xpath="/root[1]/DH[1]" w:storeItemID="{F533AE62-A212-4B26-92DA-A3B336E8AE06}"/>
                                    <w:text w:multiLine="1"/>
                                  </w:sdtPr>
                                  <w:sdtEndPr>
                                    <w:rPr>
                                      <w:rStyle w:val="BodyTextChar"/>
                                    </w:rPr>
                                  </w:sdtEndPr>
                                  <w:sdtContent>
                                    <w:r w:rsidR="005C421B" w:rsidRPr="003323E3">
                                      <w:rPr>
                                        <w:rStyle w:val="BodyTextChar"/>
                                        <w:rFonts w:asciiTheme="minorHAnsi" w:hAnsiTheme="minorHAnsi" w:cstheme="minorHAnsi"/>
                                        <w:b w:val="0"/>
                                        <w:bCs/>
                                        <w:sz w:val="72"/>
                                      </w:rPr>
                                      <w:t>Pratique and human health: amendments to the Biosecurity Act 2015</w:t>
                                    </w:r>
                                  </w:sdtContent>
                                </w:sdt>
                                <w:bookmarkEnd w:id="0"/>
                                <w:bookmarkEnd w:id="1"/>
                              </w:p>
                              <w:p w14:paraId="03E82502" w14:textId="77777777" w:rsidR="005C421B" w:rsidRPr="00223C2E" w:rsidRDefault="005C421B" w:rsidP="0011200A">
                                <w:pPr>
                                  <w:pStyle w:val="CoverByline"/>
                                  <w:rPr>
                                    <w:rFonts w:asciiTheme="minorHAnsi" w:hAnsiTheme="minorHAnsi" w:cstheme="minorHAnsi"/>
                                    <w:b w:val="0"/>
                                    <w:bCs/>
                                    <w:color w:val="auto"/>
                                    <w:sz w:val="56"/>
                                    <w:szCs w:val="56"/>
                                  </w:rPr>
                                </w:pPr>
                                <w:r w:rsidRPr="00223C2E">
                                  <w:rPr>
                                    <w:rFonts w:asciiTheme="minorHAnsi" w:hAnsiTheme="minorHAnsi" w:cstheme="minorHAnsi"/>
                                    <w:b w:val="0"/>
                                    <w:bCs/>
                                    <w:color w:val="auto"/>
                                    <w:sz w:val="56"/>
                                    <w:szCs w:val="56"/>
                                  </w:rPr>
                                  <w:t>Regulation Impact Statement</w:t>
                                </w:r>
                              </w:p>
                              <w:p w14:paraId="7BE05D6B" w14:textId="4101C053" w:rsidR="005C421B" w:rsidRDefault="005C421B" w:rsidP="0011200A">
                                <w:pPr>
                                  <w:pStyle w:val="CoverByline"/>
                                  <w:rPr>
                                    <w:rFonts w:ascii="Cambria" w:hAnsi="Cambria"/>
                                    <w:color w:val="auto"/>
                                    <w:sz w:val="28"/>
                                  </w:rPr>
                                </w:pPr>
                                <w:r w:rsidRPr="00944FAA">
                                  <w:rPr>
                                    <w:rFonts w:ascii="Cambria" w:hAnsi="Cambria"/>
                                    <w:color w:val="auto"/>
                                    <w:sz w:val="28"/>
                                  </w:rPr>
                                  <w:t>Department of Agriculture, Water and the Environment</w:t>
                                </w:r>
                              </w:p>
                              <w:p w14:paraId="59EB9A2E" w14:textId="6FB9D19E" w:rsidR="005C421B" w:rsidRPr="00DF1D01" w:rsidRDefault="005C421B" w:rsidP="0011200A">
                                <w:pPr>
                                  <w:pStyle w:val="CoverByline"/>
                                  <w:rPr>
                                    <w:rFonts w:ascii="Cambria" w:hAnsi="Cambria"/>
                                    <w:b w:val="0"/>
                                    <w:bCs/>
                                    <w:color w:val="auto"/>
                                    <w:sz w:val="22"/>
                                    <w:szCs w:val="22"/>
                                  </w:rPr>
                                </w:pPr>
                                <w:r w:rsidRPr="00DF1D01">
                                  <w:rPr>
                                    <w:rFonts w:ascii="Cambria" w:hAnsi="Cambria"/>
                                    <w:b w:val="0"/>
                                    <w:bCs/>
                                    <w:color w:val="auto"/>
                                    <w:sz w:val="22"/>
                                    <w:szCs w:val="22"/>
                                  </w:rPr>
                                  <w:t xml:space="preserve">Biosecurity Operations Division, OBPR ID </w:t>
                                </w:r>
                                <w:r>
                                  <w:rPr>
                                    <w:rFonts w:ascii="Cambria" w:hAnsi="Cambria"/>
                                    <w:b w:val="0"/>
                                    <w:bCs/>
                                    <w:color w:val="auto"/>
                                    <w:sz w:val="22"/>
                                    <w:szCs w:val="22"/>
                                  </w:rPr>
                                  <w:t>44166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8F0F1C" id="Text Box 73" o:spid="_x0000_s1028" type="#_x0000_t202" style="position:absolute;margin-left:-.65pt;margin-top:2in;width:511.35pt;height:222.2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" filled="f" stroked="f" strokeweight=".5pt">
                    <v:textbox inset="0,0,0,0">
                      <w:txbxContent>
                        <w:bookmarkStart w:id="2" w:name="_Toc79055542"/>
                        <w:bookmarkStart w:id="3" w:name="_Toc79138770"/>
                        <w:p w14:paraId="0D475081" w14:textId="12E900ED" w:rsidR="005C421B" w:rsidRPr="00423E92" w:rsidRDefault="009E4923" w:rsidP="003C6961">
                          <w:pPr>
                            <w:pStyle w:val="CoverTitle"/>
                          </w:pPr>
                          <w:sdt>
                            <w:sdtPr>
                              <w:rPr>
                                <w:rStyle w:val="BodyTextChar"/>
                                <w:rFonts w:asciiTheme="minorHAnsi" w:hAnsiTheme="minorHAnsi" w:cstheme="minorHAnsi"/>
                                <w:b w:val="0"/>
                                <w:bCs/>
                                <w:sz w:val="72"/>
                              </w:rPr>
                              <w:alias w:val="Document Heading"/>
                              <w:tag w:val="DH"/>
                              <w:id w:val="-1577504962"/>
                              <w:dataBinding w:xpath="/root[1]/DH[1]" w:storeItemID="{F533AE62-A212-4B26-92DA-A3B336E8AE06}"/>
                              <w:text w:multiLine="1"/>
                            </w:sdtPr>
                            <w:sdtEndPr>
                              <w:rPr>
                                <w:rStyle w:val="BodyTextChar"/>
                              </w:rPr>
                            </w:sdtEndPr>
                            <w:sdtContent>
                              <w:r w:rsidR="005C421B" w:rsidRPr="003323E3">
                                <w:rPr>
                                  <w:rStyle w:val="BodyTextChar"/>
                                  <w:rFonts w:asciiTheme="minorHAnsi" w:hAnsiTheme="minorHAnsi" w:cstheme="minorHAnsi"/>
                                  <w:b w:val="0"/>
                                  <w:bCs/>
                                  <w:sz w:val="72"/>
                                </w:rPr>
                                <w:t>Pratique and human health: amendments to the Biosecurity Act 2015</w:t>
                              </w:r>
                            </w:sdtContent>
                          </w:sdt>
                          <w:bookmarkEnd w:id="2"/>
                          <w:bookmarkEnd w:id="3"/>
                        </w:p>
                        <w:p w14:paraId="03E82502" w14:textId="77777777" w:rsidR="005C421B" w:rsidRPr="00223C2E" w:rsidRDefault="005C421B" w:rsidP="0011200A">
                          <w:pPr>
                            <w:pStyle w:val="CoverByline"/>
                            <w:rPr>
                              <w:rFonts w:asciiTheme="minorHAnsi" w:hAnsiTheme="minorHAnsi" w:cstheme="minorHAnsi"/>
                              <w:b w:val="0"/>
                              <w:bCs/>
                              <w:color w:val="auto"/>
                              <w:sz w:val="56"/>
                              <w:szCs w:val="56"/>
                            </w:rPr>
                          </w:pPr>
                          <w:r w:rsidRPr="00223C2E">
                            <w:rPr>
                              <w:rFonts w:asciiTheme="minorHAnsi" w:hAnsiTheme="minorHAnsi" w:cstheme="minorHAnsi"/>
                              <w:b w:val="0"/>
                              <w:bCs/>
                              <w:color w:val="auto"/>
                              <w:sz w:val="56"/>
                              <w:szCs w:val="56"/>
                            </w:rPr>
                            <w:t>Regulation Impact Statement</w:t>
                          </w:r>
                        </w:p>
                        <w:p w14:paraId="7BE05D6B" w14:textId="4101C053" w:rsidR="005C421B" w:rsidRDefault="005C421B" w:rsidP="0011200A">
                          <w:pPr>
                            <w:pStyle w:val="CoverByline"/>
                            <w:rPr>
                              <w:rFonts w:ascii="Cambria" w:hAnsi="Cambria"/>
                              <w:color w:val="auto"/>
                              <w:sz w:val="28"/>
                            </w:rPr>
                          </w:pPr>
                          <w:r w:rsidRPr="00944FAA">
                            <w:rPr>
                              <w:rFonts w:ascii="Cambria" w:hAnsi="Cambria"/>
                              <w:color w:val="auto"/>
                              <w:sz w:val="28"/>
                            </w:rPr>
                            <w:t>Department of Agriculture, Water and the Environment</w:t>
                          </w:r>
                        </w:p>
                        <w:p w14:paraId="59EB9A2E" w14:textId="6FB9D19E" w:rsidR="005C421B" w:rsidRPr="00DF1D01" w:rsidRDefault="005C421B" w:rsidP="0011200A">
                          <w:pPr>
                            <w:pStyle w:val="CoverByline"/>
                            <w:rPr>
                              <w:rFonts w:ascii="Cambria" w:hAnsi="Cambria"/>
                              <w:b w:val="0"/>
                              <w:bCs/>
                              <w:color w:val="auto"/>
                              <w:sz w:val="22"/>
                              <w:szCs w:val="22"/>
                            </w:rPr>
                          </w:pPr>
                          <w:r w:rsidRPr="00DF1D01">
                            <w:rPr>
                              <w:rFonts w:ascii="Cambria" w:hAnsi="Cambria"/>
                              <w:b w:val="0"/>
                              <w:bCs/>
                              <w:color w:val="auto"/>
                              <w:sz w:val="22"/>
                              <w:szCs w:val="22"/>
                            </w:rPr>
                            <w:t xml:space="preserve">Biosecurity Operations Division, OBPR ID </w:t>
                          </w:r>
                          <w:r>
                            <w:rPr>
                              <w:rFonts w:ascii="Cambria" w:hAnsi="Cambria"/>
                              <w:b w:val="0"/>
                              <w:bCs/>
                              <w:color w:val="auto"/>
                              <w:sz w:val="22"/>
                              <w:szCs w:val="22"/>
                            </w:rPr>
                            <w:t>44166</w:t>
                          </w:r>
                        </w:p>
                      </w:txbxContent>
                    </v:textbox>
                    <w10:wrap type="square" anchorx="margin" anchory="page"/>
                    <w10:anchorlock/>
                  </v:shape>
                </w:pict>
              </mc:Fallback>
            </mc:AlternateContent>
          </w:r>
        </w:p>
      </w:sdtContent>
    </w:sdt>
    <w:p w14:paraId="1E15CE2F" w14:textId="77777777" w:rsidR="00792FA0" w:rsidRDefault="00792FA0" w:rsidP="00792FA0">
      <w:pPr>
        <w:pStyle w:val="Normalsmall"/>
      </w:pPr>
      <w:r>
        <w:lastRenderedPageBreak/>
        <w:t>© Commonwealth of Australia 2021</w:t>
      </w:r>
    </w:p>
    <w:p w14:paraId="4593B080" w14:textId="77777777" w:rsidR="00792FA0" w:rsidRDefault="00792FA0" w:rsidP="00792FA0">
      <w:pPr>
        <w:pStyle w:val="Normalsmall"/>
        <w:rPr>
          <w:rStyle w:val="Strong"/>
        </w:rPr>
      </w:pPr>
      <w:r>
        <w:rPr>
          <w:rStyle w:val="Strong"/>
        </w:rPr>
        <w:t>Ownership of intellectual property rights</w:t>
      </w:r>
    </w:p>
    <w:p w14:paraId="4DE6E6A8" w14:textId="77777777" w:rsidR="00792FA0" w:rsidRDefault="00792FA0" w:rsidP="00792FA0">
      <w:pPr>
        <w:pStyle w:val="Normalsmall"/>
      </w:pPr>
      <w:r>
        <w:t>Unless otherwise noted, copyright (and any other intellectual property rights) in this publication is owned by the Commonwealth of Australia (referred to as the Commonwealth).</w:t>
      </w:r>
    </w:p>
    <w:p w14:paraId="2E2B91CD" w14:textId="77777777" w:rsidR="00792FA0" w:rsidRDefault="00792FA0" w:rsidP="00792FA0">
      <w:pPr>
        <w:pStyle w:val="Normalsmall"/>
        <w:rPr>
          <w:rStyle w:val="Strong"/>
        </w:rPr>
      </w:pPr>
      <w:r>
        <w:rPr>
          <w:rStyle w:val="Strong"/>
        </w:rPr>
        <w:t>Creative Commons licence</w:t>
      </w:r>
    </w:p>
    <w:p w14:paraId="588525FC" w14:textId="345A746B" w:rsidR="00792FA0" w:rsidRDefault="00792FA0" w:rsidP="00792FA0">
      <w:pPr>
        <w:pStyle w:val="Normalsmall"/>
      </w:pPr>
      <w:r>
        <w:t xml:space="preserve">All material in this publication is licensed under a </w:t>
      </w:r>
      <w:hyperlink r:id="rId18"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070F1D73" w14:textId="0D310DAF" w:rsidR="00792FA0" w:rsidRDefault="00792FA0" w:rsidP="00792FA0">
      <w:pPr>
        <w:pStyle w:val="Normalsmall"/>
      </w:pPr>
      <w:r>
        <w:t xml:space="preserve">Inquiries about the licence and any use of this document should be emailed to </w:t>
      </w:r>
      <w:hyperlink r:id="rId19" w:history="1">
        <w:r w:rsidRPr="00CD29E9">
          <w:rPr>
            <w:rStyle w:val="Hyperlink"/>
          </w:rPr>
          <w:t>copyright@awe.gov.au</w:t>
        </w:r>
      </w:hyperlink>
      <w:r>
        <w:t>.</w:t>
      </w:r>
    </w:p>
    <w:p w14:paraId="69E983A4" w14:textId="77777777" w:rsidR="00792FA0" w:rsidRDefault="00792FA0" w:rsidP="00792FA0">
      <w:pPr>
        <w:pStyle w:val="Normalsmall"/>
      </w:pPr>
      <w:r>
        <w:rPr>
          <w:noProof/>
          <w:lang w:eastAsia="en-AU"/>
        </w:rPr>
        <w:drawing>
          <wp:inline distT="0" distB="0" distL="0" distR="0" wp14:anchorId="52A88115" wp14:editId="256CF426">
            <wp:extent cx="724535" cy="255270"/>
            <wp:effectExtent l="0" t="0" r="0" b="0"/>
            <wp:docPr id="9"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ack and white logo&#10;&#10;Description automatically generated with low confidence"/>
                    <pic:cNvPicPr>
                      <a:picLocks noChangeAspect="1" noChangeArrowheads="1"/>
                    </pic:cNvPicPr>
                  </pic:nvPicPr>
                  <pic:blipFill>
                    <a:blip r:embed="rId20"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E6C13A1" w14:textId="77777777" w:rsidR="00792FA0" w:rsidRDefault="00792FA0" w:rsidP="00792FA0">
      <w:pPr>
        <w:pStyle w:val="Normalsmall"/>
        <w:rPr>
          <w:rStyle w:val="Strong"/>
        </w:rPr>
      </w:pPr>
      <w:r>
        <w:rPr>
          <w:rStyle w:val="Strong"/>
        </w:rPr>
        <w:t>Cataloguing data</w:t>
      </w:r>
    </w:p>
    <w:p w14:paraId="5339D44A" w14:textId="556E3BDB" w:rsidR="00792FA0" w:rsidRDefault="00792FA0" w:rsidP="00792FA0">
      <w:pPr>
        <w:pStyle w:val="Normalsmall"/>
      </w:pPr>
      <w:r>
        <w:t xml:space="preserve">This publication (and any material sourced from it) should be attributed as: </w:t>
      </w:r>
      <w:r w:rsidRPr="00630E1A">
        <w:t xml:space="preserve">DAWE 2021, </w:t>
      </w:r>
      <w:r w:rsidR="007E1BB3" w:rsidRPr="007E1BB3">
        <w:rPr>
          <w:i/>
        </w:rPr>
        <w:t>Pratique and human health amendments to the Biosecurity Act 2015</w:t>
      </w:r>
      <w:r w:rsidR="00464B8B">
        <w:rPr>
          <w:i/>
        </w:rPr>
        <w:t xml:space="preserve"> Regulatory Impact Statement</w:t>
      </w:r>
      <w:r>
        <w:t>, Department of Agriculture, Water and the Environment, Canberra, CC BY 4.0.</w:t>
      </w:r>
    </w:p>
    <w:p w14:paraId="085D4372" w14:textId="77777777" w:rsidR="00733E8D" w:rsidRPr="00733E8D" w:rsidRDefault="00733E8D" w:rsidP="00792FA0">
      <w:pPr>
        <w:pStyle w:val="Normalsmall"/>
        <w:rPr>
          <w:color w:val="000000"/>
          <w:shd w:val="clear" w:color="auto" w:fill="FFFFFF"/>
        </w:rPr>
      </w:pPr>
      <w:r w:rsidRPr="00733E8D">
        <w:rPr>
          <w:color w:val="000000"/>
          <w:shd w:val="clear" w:color="auto" w:fill="FFFFFF"/>
        </w:rPr>
        <w:t>ISBN: 978-1-76003-460-3</w:t>
      </w:r>
    </w:p>
    <w:p w14:paraId="377182DA" w14:textId="6C154DF9" w:rsidR="00792FA0" w:rsidRDefault="00792FA0" w:rsidP="00792FA0">
      <w:pPr>
        <w:pStyle w:val="Normalsmall"/>
      </w:pPr>
      <w:r>
        <w:t xml:space="preserve">This publication is </w:t>
      </w:r>
      <w:r w:rsidRPr="00E20810">
        <w:t xml:space="preserve">available at </w:t>
      </w:r>
      <w:hyperlink r:id="rId21" w:history="1">
        <w:r w:rsidRPr="00733E8D">
          <w:rPr>
            <w:rStyle w:val="Hyperlink"/>
          </w:rPr>
          <w:t>awe.gov.au/publications</w:t>
        </w:r>
      </w:hyperlink>
      <w:r w:rsidRPr="00733E8D">
        <w:t>.</w:t>
      </w:r>
    </w:p>
    <w:p w14:paraId="18B5BF09" w14:textId="77777777" w:rsidR="00792FA0" w:rsidRDefault="00792FA0" w:rsidP="00792FA0">
      <w:pPr>
        <w:pStyle w:val="Normalsmall"/>
        <w:spacing w:after="0"/>
      </w:pPr>
      <w:r>
        <w:t xml:space="preserve">Department of Agriculture, </w:t>
      </w:r>
      <w:proofErr w:type="gramStart"/>
      <w:r>
        <w:t>Water</w:t>
      </w:r>
      <w:proofErr w:type="gramEnd"/>
      <w:r>
        <w:t xml:space="preserve"> and the Environment</w:t>
      </w:r>
    </w:p>
    <w:p w14:paraId="0F6E8DF2" w14:textId="77777777" w:rsidR="00792FA0" w:rsidRDefault="00792FA0" w:rsidP="00792FA0">
      <w:pPr>
        <w:pStyle w:val="Normalsmall"/>
        <w:spacing w:after="0"/>
      </w:pPr>
      <w:r>
        <w:t>GPO Box 858 Canberra ACT 2601</w:t>
      </w:r>
    </w:p>
    <w:p w14:paraId="1F482FF1" w14:textId="77777777" w:rsidR="00792FA0" w:rsidRDefault="00792FA0" w:rsidP="00792FA0">
      <w:pPr>
        <w:pStyle w:val="Normalsmall"/>
        <w:spacing w:after="0"/>
      </w:pPr>
      <w:r>
        <w:t xml:space="preserve">Telephone </w:t>
      </w:r>
      <w:r w:rsidRPr="00773056">
        <w:t>1800 900 090</w:t>
      </w:r>
    </w:p>
    <w:p w14:paraId="2F63FEC7" w14:textId="02A5A79C" w:rsidR="00792FA0" w:rsidRDefault="00792FA0" w:rsidP="00792FA0">
      <w:pPr>
        <w:pStyle w:val="Normalsmall"/>
      </w:pPr>
      <w:r w:rsidRPr="00E20810">
        <w:t xml:space="preserve">Web </w:t>
      </w:r>
      <w:hyperlink r:id="rId22" w:history="1">
        <w:r w:rsidRPr="00E20810">
          <w:rPr>
            <w:rStyle w:val="Hyperlink"/>
          </w:rPr>
          <w:t>awe.gov.au</w:t>
        </w:r>
      </w:hyperlink>
    </w:p>
    <w:p w14:paraId="2A31E40C" w14:textId="77777777" w:rsidR="00792FA0" w:rsidRDefault="00792FA0" w:rsidP="00792FA0">
      <w:pPr>
        <w:pStyle w:val="Normalsmall"/>
      </w:pPr>
      <w:r>
        <w:rPr>
          <w:rStyle w:val="Strong"/>
        </w:rPr>
        <w:t>Disclaimer</w:t>
      </w:r>
    </w:p>
    <w:p w14:paraId="57066C56" w14:textId="77777777" w:rsidR="00792FA0" w:rsidRDefault="00792FA0" w:rsidP="00792FA0">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C4CA024" w14:textId="14A131A4" w:rsidR="00792FA0" w:rsidRDefault="00792FA0" w:rsidP="00792FA0">
      <w:pPr>
        <w:pStyle w:val="Normalsmall"/>
      </w:pPr>
    </w:p>
    <w:p w14:paraId="06416E91" w14:textId="77777777" w:rsidR="0011200A" w:rsidRPr="00183564" w:rsidRDefault="0011200A">
      <w:pPr>
        <w:rPr>
          <w:rFonts w:asciiTheme="majorHAnsi" w:hAnsiTheme="majorHAnsi"/>
          <w:b/>
          <w:color w:val="014463" w:themeColor="text2"/>
          <w:sz w:val="60"/>
          <w:szCs w:val="60"/>
        </w:rPr>
      </w:pPr>
      <w:r w:rsidRPr="00183564">
        <w:br w:type="page"/>
      </w:r>
    </w:p>
    <w:sdt>
      <w:sdtPr>
        <w:id w:val="-908224528"/>
        <w:docPartObj>
          <w:docPartGallery w:val="Table of Contents"/>
          <w:docPartUnique/>
        </w:docPartObj>
      </w:sdtPr>
      <w:sdtEndPr>
        <w:rPr>
          <w:b/>
          <w:bCs/>
          <w:noProof/>
        </w:rPr>
      </w:sdtEndPr>
      <w:sdtContent>
        <w:p w14:paraId="05E6D3E7" w14:textId="77777777" w:rsidR="009A76F4" w:rsidRDefault="0075234D" w:rsidP="003A6081">
          <w:pPr>
            <w:pStyle w:val="TOC2"/>
            <w:rPr>
              <w:noProof/>
            </w:rPr>
          </w:pPr>
          <w:r w:rsidRPr="007B69AE">
            <w:rPr>
              <w:rFonts w:ascii="Calibri" w:eastAsiaTheme="majorEastAsia" w:hAnsi="Calibri" w:cstheme="majorBidi"/>
              <w:color w:val="1B232C" w:themeColor="accent1" w:themeShade="BF"/>
              <w:sz w:val="32"/>
              <w:szCs w:val="32"/>
            </w:rPr>
            <w:t>Contents</w:t>
          </w:r>
          <w:r w:rsidR="0058268E">
            <w:rPr>
              <w:rFonts w:ascii="Calibri" w:eastAsiaTheme="majorEastAsia" w:hAnsi="Calibri" w:cstheme="majorBidi"/>
              <w:color w:val="1B232C" w:themeColor="accent1" w:themeShade="BF"/>
              <w:sz w:val="32"/>
              <w:szCs w:val="32"/>
            </w:rPr>
            <w:br/>
          </w:r>
          <w:r w:rsidRPr="00183564">
            <w:fldChar w:fldCharType="begin"/>
          </w:r>
          <w:r w:rsidRPr="00183564">
            <w:instrText xml:space="preserve"> TOC \o "1-3" \h \z \u </w:instrText>
          </w:r>
          <w:r w:rsidRPr="00183564">
            <w:fldChar w:fldCharType="separate"/>
          </w:r>
        </w:p>
        <w:p w14:paraId="035BEF42" w14:textId="4AF8FA6F" w:rsidR="009A76F4" w:rsidRDefault="00733E8D">
          <w:pPr>
            <w:pStyle w:val="TOC2"/>
            <w:rPr>
              <w:rFonts w:eastAsiaTheme="minorEastAsia"/>
              <w:noProof/>
              <w:color w:val="auto"/>
              <w:sz w:val="22"/>
              <w:szCs w:val="22"/>
              <w:lang w:eastAsia="en-AU"/>
            </w:rPr>
          </w:pPr>
          <w:hyperlink w:anchor="_Toc80965290" w:history="1">
            <w:r w:rsidR="009A76F4" w:rsidRPr="00EC6D35">
              <w:rPr>
                <w:rStyle w:val="Hyperlink"/>
                <w:noProof/>
              </w:rPr>
              <w:t>Executive Summary</w:t>
            </w:r>
            <w:r w:rsidR="009A76F4">
              <w:rPr>
                <w:noProof/>
                <w:webHidden/>
              </w:rPr>
              <w:tab/>
            </w:r>
            <w:r w:rsidR="009A76F4">
              <w:rPr>
                <w:noProof/>
                <w:webHidden/>
              </w:rPr>
              <w:fldChar w:fldCharType="begin"/>
            </w:r>
            <w:r w:rsidR="009A76F4">
              <w:rPr>
                <w:noProof/>
                <w:webHidden/>
              </w:rPr>
              <w:instrText xml:space="preserve"> PAGEREF _Toc80965290 \h </w:instrText>
            </w:r>
            <w:r w:rsidR="009A76F4">
              <w:rPr>
                <w:noProof/>
                <w:webHidden/>
              </w:rPr>
            </w:r>
            <w:r w:rsidR="009A76F4">
              <w:rPr>
                <w:noProof/>
                <w:webHidden/>
              </w:rPr>
              <w:fldChar w:fldCharType="separate"/>
            </w:r>
            <w:r w:rsidR="009A76F4">
              <w:rPr>
                <w:noProof/>
                <w:webHidden/>
              </w:rPr>
              <w:t>3</w:t>
            </w:r>
            <w:r w:rsidR="009A76F4">
              <w:rPr>
                <w:noProof/>
                <w:webHidden/>
              </w:rPr>
              <w:fldChar w:fldCharType="end"/>
            </w:r>
          </w:hyperlink>
        </w:p>
        <w:p w14:paraId="78F65C23" w14:textId="162DC8E9" w:rsidR="009A76F4" w:rsidRDefault="00733E8D">
          <w:pPr>
            <w:pStyle w:val="TOC3"/>
            <w:tabs>
              <w:tab w:val="right" w:leader="dot" w:pos="10194"/>
            </w:tabs>
            <w:rPr>
              <w:rFonts w:eastAsiaTheme="minorEastAsia"/>
              <w:noProof/>
              <w:color w:val="auto"/>
              <w:sz w:val="22"/>
              <w:szCs w:val="22"/>
              <w:lang w:eastAsia="en-AU"/>
            </w:rPr>
          </w:pPr>
          <w:hyperlink w:anchor="_Toc80965291" w:history="1">
            <w:r w:rsidR="009A76F4" w:rsidRPr="00EC6D35">
              <w:rPr>
                <w:rStyle w:val="Hyperlink"/>
                <w:noProof/>
              </w:rPr>
              <w:t>The problem</w:t>
            </w:r>
            <w:r w:rsidR="009A76F4">
              <w:rPr>
                <w:noProof/>
                <w:webHidden/>
              </w:rPr>
              <w:tab/>
            </w:r>
            <w:r w:rsidR="009A76F4">
              <w:rPr>
                <w:noProof/>
                <w:webHidden/>
              </w:rPr>
              <w:fldChar w:fldCharType="begin"/>
            </w:r>
            <w:r w:rsidR="009A76F4">
              <w:rPr>
                <w:noProof/>
                <w:webHidden/>
              </w:rPr>
              <w:instrText xml:space="preserve"> PAGEREF _Toc80965291 \h </w:instrText>
            </w:r>
            <w:r w:rsidR="009A76F4">
              <w:rPr>
                <w:noProof/>
                <w:webHidden/>
              </w:rPr>
            </w:r>
            <w:r w:rsidR="009A76F4">
              <w:rPr>
                <w:noProof/>
                <w:webHidden/>
              </w:rPr>
              <w:fldChar w:fldCharType="separate"/>
            </w:r>
            <w:r w:rsidR="009A76F4">
              <w:rPr>
                <w:noProof/>
                <w:webHidden/>
              </w:rPr>
              <w:t>3</w:t>
            </w:r>
            <w:r w:rsidR="009A76F4">
              <w:rPr>
                <w:noProof/>
                <w:webHidden/>
              </w:rPr>
              <w:fldChar w:fldCharType="end"/>
            </w:r>
          </w:hyperlink>
        </w:p>
        <w:p w14:paraId="1E39AE84" w14:textId="2A04BABC" w:rsidR="009A76F4" w:rsidRDefault="00733E8D">
          <w:pPr>
            <w:pStyle w:val="TOC3"/>
            <w:tabs>
              <w:tab w:val="right" w:leader="dot" w:pos="10194"/>
            </w:tabs>
            <w:rPr>
              <w:rFonts w:eastAsiaTheme="minorEastAsia"/>
              <w:noProof/>
              <w:color w:val="auto"/>
              <w:sz w:val="22"/>
              <w:szCs w:val="22"/>
              <w:lang w:eastAsia="en-AU"/>
            </w:rPr>
          </w:pPr>
          <w:hyperlink w:anchor="_Toc80965292" w:history="1">
            <w:r w:rsidR="009A76F4" w:rsidRPr="00EC6D35">
              <w:rPr>
                <w:rStyle w:val="Hyperlink"/>
                <w:noProof/>
              </w:rPr>
              <w:t>Need for action</w:t>
            </w:r>
            <w:r w:rsidR="009A76F4">
              <w:rPr>
                <w:noProof/>
                <w:webHidden/>
              </w:rPr>
              <w:tab/>
            </w:r>
            <w:r w:rsidR="009A76F4">
              <w:rPr>
                <w:noProof/>
                <w:webHidden/>
              </w:rPr>
              <w:fldChar w:fldCharType="begin"/>
            </w:r>
            <w:r w:rsidR="009A76F4">
              <w:rPr>
                <w:noProof/>
                <w:webHidden/>
              </w:rPr>
              <w:instrText xml:space="preserve"> PAGEREF _Toc80965292 \h </w:instrText>
            </w:r>
            <w:r w:rsidR="009A76F4">
              <w:rPr>
                <w:noProof/>
                <w:webHidden/>
              </w:rPr>
            </w:r>
            <w:r w:rsidR="009A76F4">
              <w:rPr>
                <w:noProof/>
                <w:webHidden/>
              </w:rPr>
              <w:fldChar w:fldCharType="separate"/>
            </w:r>
            <w:r w:rsidR="009A76F4">
              <w:rPr>
                <w:noProof/>
                <w:webHidden/>
              </w:rPr>
              <w:t>3</w:t>
            </w:r>
            <w:r w:rsidR="009A76F4">
              <w:rPr>
                <w:noProof/>
                <w:webHidden/>
              </w:rPr>
              <w:fldChar w:fldCharType="end"/>
            </w:r>
          </w:hyperlink>
        </w:p>
        <w:p w14:paraId="25E8C4EA" w14:textId="2B0F56B9" w:rsidR="009A76F4" w:rsidRDefault="00733E8D">
          <w:pPr>
            <w:pStyle w:val="TOC3"/>
            <w:tabs>
              <w:tab w:val="right" w:leader="dot" w:pos="10194"/>
            </w:tabs>
            <w:rPr>
              <w:rFonts w:eastAsiaTheme="minorEastAsia"/>
              <w:noProof/>
              <w:color w:val="auto"/>
              <w:sz w:val="22"/>
              <w:szCs w:val="22"/>
              <w:lang w:eastAsia="en-AU"/>
            </w:rPr>
          </w:pPr>
          <w:hyperlink w:anchor="_Toc80965293" w:history="1">
            <w:r w:rsidR="009A76F4" w:rsidRPr="00EC6D35">
              <w:rPr>
                <w:rStyle w:val="Hyperlink"/>
                <w:noProof/>
              </w:rPr>
              <w:t>Options</w:t>
            </w:r>
            <w:r w:rsidR="009A76F4">
              <w:rPr>
                <w:noProof/>
                <w:webHidden/>
              </w:rPr>
              <w:tab/>
            </w:r>
            <w:r w:rsidR="009A76F4">
              <w:rPr>
                <w:noProof/>
                <w:webHidden/>
              </w:rPr>
              <w:fldChar w:fldCharType="begin"/>
            </w:r>
            <w:r w:rsidR="009A76F4">
              <w:rPr>
                <w:noProof/>
                <w:webHidden/>
              </w:rPr>
              <w:instrText xml:space="preserve"> PAGEREF _Toc80965293 \h </w:instrText>
            </w:r>
            <w:r w:rsidR="009A76F4">
              <w:rPr>
                <w:noProof/>
                <w:webHidden/>
              </w:rPr>
            </w:r>
            <w:r w:rsidR="009A76F4">
              <w:rPr>
                <w:noProof/>
                <w:webHidden/>
              </w:rPr>
              <w:fldChar w:fldCharType="separate"/>
            </w:r>
            <w:r w:rsidR="009A76F4">
              <w:rPr>
                <w:noProof/>
                <w:webHidden/>
              </w:rPr>
              <w:t>4</w:t>
            </w:r>
            <w:r w:rsidR="009A76F4">
              <w:rPr>
                <w:noProof/>
                <w:webHidden/>
              </w:rPr>
              <w:fldChar w:fldCharType="end"/>
            </w:r>
          </w:hyperlink>
        </w:p>
        <w:p w14:paraId="6DD6F901" w14:textId="6D69F8A2" w:rsidR="009A76F4" w:rsidRDefault="00733E8D">
          <w:pPr>
            <w:pStyle w:val="TOC3"/>
            <w:tabs>
              <w:tab w:val="right" w:leader="dot" w:pos="10194"/>
            </w:tabs>
            <w:rPr>
              <w:rFonts w:eastAsiaTheme="minorEastAsia"/>
              <w:noProof/>
              <w:color w:val="auto"/>
              <w:sz w:val="22"/>
              <w:szCs w:val="22"/>
              <w:lang w:eastAsia="en-AU"/>
            </w:rPr>
          </w:pPr>
          <w:hyperlink w:anchor="_Toc80965294" w:history="1">
            <w:r w:rsidR="009A76F4" w:rsidRPr="00EC6D35">
              <w:rPr>
                <w:rStyle w:val="Hyperlink"/>
                <w:noProof/>
              </w:rPr>
              <w:t>Amending the Biosecurity Act – the preferred option</w:t>
            </w:r>
            <w:r w:rsidR="009A76F4">
              <w:rPr>
                <w:noProof/>
                <w:webHidden/>
              </w:rPr>
              <w:tab/>
            </w:r>
            <w:r w:rsidR="009A76F4">
              <w:rPr>
                <w:noProof/>
                <w:webHidden/>
              </w:rPr>
              <w:fldChar w:fldCharType="begin"/>
            </w:r>
            <w:r w:rsidR="009A76F4">
              <w:rPr>
                <w:noProof/>
                <w:webHidden/>
              </w:rPr>
              <w:instrText xml:space="preserve"> PAGEREF _Toc80965294 \h </w:instrText>
            </w:r>
            <w:r w:rsidR="009A76F4">
              <w:rPr>
                <w:noProof/>
                <w:webHidden/>
              </w:rPr>
            </w:r>
            <w:r w:rsidR="009A76F4">
              <w:rPr>
                <w:noProof/>
                <w:webHidden/>
              </w:rPr>
              <w:fldChar w:fldCharType="separate"/>
            </w:r>
            <w:r w:rsidR="009A76F4">
              <w:rPr>
                <w:noProof/>
                <w:webHidden/>
              </w:rPr>
              <w:t>4</w:t>
            </w:r>
            <w:r w:rsidR="009A76F4">
              <w:rPr>
                <w:noProof/>
                <w:webHidden/>
              </w:rPr>
              <w:fldChar w:fldCharType="end"/>
            </w:r>
          </w:hyperlink>
        </w:p>
        <w:p w14:paraId="6B1B9DD0" w14:textId="56F5A252" w:rsidR="009A76F4" w:rsidRDefault="00733E8D">
          <w:pPr>
            <w:pStyle w:val="TOC2"/>
            <w:rPr>
              <w:rFonts w:eastAsiaTheme="minorEastAsia"/>
              <w:noProof/>
              <w:color w:val="auto"/>
              <w:sz w:val="22"/>
              <w:szCs w:val="22"/>
              <w:lang w:eastAsia="en-AU"/>
            </w:rPr>
          </w:pPr>
          <w:hyperlink w:anchor="_Toc80965295" w:history="1">
            <w:r w:rsidR="009A76F4" w:rsidRPr="00EC6D35">
              <w:rPr>
                <w:rStyle w:val="Hyperlink"/>
                <w:noProof/>
              </w:rPr>
              <w:t>Current setting</w:t>
            </w:r>
            <w:r w:rsidR="009A76F4">
              <w:rPr>
                <w:noProof/>
                <w:webHidden/>
              </w:rPr>
              <w:tab/>
            </w:r>
            <w:r w:rsidR="009A76F4">
              <w:rPr>
                <w:noProof/>
                <w:webHidden/>
              </w:rPr>
              <w:fldChar w:fldCharType="begin"/>
            </w:r>
            <w:r w:rsidR="009A76F4">
              <w:rPr>
                <w:noProof/>
                <w:webHidden/>
              </w:rPr>
              <w:instrText xml:space="preserve"> PAGEREF _Toc80965295 \h </w:instrText>
            </w:r>
            <w:r w:rsidR="009A76F4">
              <w:rPr>
                <w:noProof/>
                <w:webHidden/>
              </w:rPr>
            </w:r>
            <w:r w:rsidR="009A76F4">
              <w:rPr>
                <w:noProof/>
                <w:webHidden/>
              </w:rPr>
              <w:fldChar w:fldCharType="separate"/>
            </w:r>
            <w:r w:rsidR="009A76F4">
              <w:rPr>
                <w:noProof/>
                <w:webHidden/>
              </w:rPr>
              <w:t>5</w:t>
            </w:r>
            <w:r w:rsidR="009A76F4">
              <w:rPr>
                <w:noProof/>
                <w:webHidden/>
              </w:rPr>
              <w:fldChar w:fldCharType="end"/>
            </w:r>
          </w:hyperlink>
        </w:p>
        <w:p w14:paraId="1D82178C" w14:textId="4D540A76" w:rsidR="009A76F4" w:rsidRDefault="00733E8D">
          <w:pPr>
            <w:pStyle w:val="TOC3"/>
            <w:tabs>
              <w:tab w:val="right" w:leader="dot" w:pos="10194"/>
            </w:tabs>
            <w:rPr>
              <w:rFonts w:eastAsiaTheme="minorEastAsia"/>
              <w:noProof/>
              <w:color w:val="auto"/>
              <w:sz w:val="22"/>
              <w:szCs w:val="22"/>
              <w:lang w:eastAsia="en-AU"/>
            </w:rPr>
          </w:pPr>
          <w:hyperlink w:anchor="_Toc80965296" w:history="1">
            <w:r w:rsidR="009A76F4" w:rsidRPr="00EC6D35">
              <w:rPr>
                <w:rStyle w:val="Hyperlink"/>
                <w:noProof/>
              </w:rPr>
              <w:t>Overview</w:t>
            </w:r>
            <w:r w:rsidR="009A76F4">
              <w:rPr>
                <w:noProof/>
                <w:webHidden/>
              </w:rPr>
              <w:tab/>
            </w:r>
            <w:r w:rsidR="009A76F4">
              <w:rPr>
                <w:noProof/>
                <w:webHidden/>
              </w:rPr>
              <w:fldChar w:fldCharType="begin"/>
            </w:r>
            <w:r w:rsidR="009A76F4">
              <w:rPr>
                <w:noProof/>
                <w:webHidden/>
              </w:rPr>
              <w:instrText xml:space="preserve"> PAGEREF _Toc80965296 \h </w:instrText>
            </w:r>
            <w:r w:rsidR="009A76F4">
              <w:rPr>
                <w:noProof/>
                <w:webHidden/>
              </w:rPr>
            </w:r>
            <w:r w:rsidR="009A76F4">
              <w:rPr>
                <w:noProof/>
                <w:webHidden/>
              </w:rPr>
              <w:fldChar w:fldCharType="separate"/>
            </w:r>
            <w:r w:rsidR="009A76F4">
              <w:rPr>
                <w:noProof/>
                <w:webHidden/>
              </w:rPr>
              <w:t>5</w:t>
            </w:r>
            <w:r w:rsidR="009A76F4">
              <w:rPr>
                <w:noProof/>
                <w:webHidden/>
              </w:rPr>
              <w:fldChar w:fldCharType="end"/>
            </w:r>
          </w:hyperlink>
        </w:p>
        <w:p w14:paraId="22CE0764" w14:textId="68055178" w:rsidR="009A76F4" w:rsidRDefault="00733E8D">
          <w:pPr>
            <w:pStyle w:val="TOC3"/>
            <w:tabs>
              <w:tab w:val="right" w:leader="dot" w:pos="10194"/>
            </w:tabs>
            <w:rPr>
              <w:rFonts w:eastAsiaTheme="minorEastAsia"/>
              <w:noProof/>
              <w:color w:val="auto"/>
              <w:sz w:val="22"/>
              <w:szCs w:val="22"/>
              <w:lang w:eastAsia="en-AU"/>
            </w:rPr>
          </w:pPr>
          <w:hyperlink w:anchor="_Toc80965297" w:history="1">
            <w:r w:rsidR="009A76F4" w:rsidRPr="00EC6D35">
              <w:rPr>
                <w:rStyle w:val="Hyperlink"/>
                <w:noProof/>
              </w:rPr>
              <w:t>International Health Regulations</w:t>
            </w:r>
            <w:r w:rsidR="009A76F4">
              <w:rPr>
                <w:noProof/>
                <w:webHidden/>
              </w:rPr>
              <w:tab/>
            </w:r>
            <w:r w:rsidR="009A76F4">
              <w:rPr>
                <w:noProof/>
                <w:webHidden/>
              </w:rPr>
              <w:fldChar w:fldCharType="begin"/>
            </w:r>
            <w:r w:rsidR="009A76F4">
              <w:rPr>
                <w:noProof/>
                <w:webHidden/>
              </w:rPr>
              <w:instrText xml:space="preserve"> PAGEREF _Toc80965297 \h </w:instrText>
            </w:r>
            <w:r w:rsidR="009A76F4">
              <w:rPr>
                <w:noProof/>
                <w:webHidden/>
              </w:rPr>
            </w:r>
            <w:r w:rsidR="009A76F4">
              <w:rPr>
                <w:noProof/>
                <w:webHidden/>
              </w:rPr>
              <w:fldChar w:fldCharType="separate"/>
            </w:r>
            <w:r w:rsidR="009A76F4">
              <w:rPr>
                <w:noProof/>
                <w:webHidden/>
              </w:rPr>
              <w:t>5</w:t>
            </w:r>
            <w:r w:rsidR="009A76F4">
              <w:rPr>
                <w:noProof/>
                <w:webHidden/>
              </w:rPr>
              <w:fldChar w:fldCharType="end"/>
            </w:r>
          </w:hyperlink>
        </w:p>
        <w:p w14:paraId="54FE3D47" w14:textId="6D7FB2B1" w:rsidR="009A76F4" w:rsidRDefault="00733E8D">
          <w:pPr>
            <w:pStyle w:val="TOC3"/>
            <w:tabs>
              <w:tab w:val="right" w:leader="dot" w:pos="10194"/>
            </w:tabs>
            <w:rPr>
              <w:rFonts w:eastAsiaTheme="minorEastAsia"/>
              <w:noProof/>
              <w:color w:val="auto"/>
              <w:sz w:val="22"/>
              <w:szCs w:val="22"/>
              <w:lang w:eastAsia="en-AU"/>
            </w:rPr>
          </w:pPr>
          <w:hyperlink w:anchor="_Toc80965298" w:history="1">
            <w:r w:rsidR="009A76F4" w:rsidRPr="00EC6D35">
              <w:rPr>
                <w:rStyle w:val="Hyperlink"/>
                <w:noProof/>
              </w:rPr>
              <w:t>Biosecurity Act 2015</w:t>
            </w:r>
            <w:r w:rsidR="009A76F4">
              <w:rPr>
                <w:noProof/>
                <w:webHidden/>
              </w:rPr>
              <w:tab/>
            </w:r>
            <w:r w:rsidR="009A76F4">
              <w:rPr>
                <w:noProof/>
                <w:webHidden/>
              </w:rPr>
              <w:fldChar w:fldCharType="begin"/>
            </w:r>
            <w:r w:rsidR="009A76F4">
              <w:rPr>
                <w:noProof/>
                <w:webHidden/>
              </w:rPr>
              <w:instrText xml:space="preserve"> PAGEREF _Toc80965298 \h </w:instrText>
            </w:r>
            <w:r w:rsidR="009A76F4">
              <w:rPr>
                <w:noProof/>
                <w:webHidden/>
              </w:rPr>
            </w:r>
            <w:r w:rsidR="009A76F4">
              <w:rPr>
                <w:noProof/>
                <w:webHidden/>
              </w:rPr>
              <w:fldChar w:fldCharType="separate"/>
            </w:r>
            <w:r w:rsidR="009A76F4">
              <w:rPr>
                <w:noProof/>
                <w:webHidden/>
              </w:rPr>
              <w:t>5</w:t>
            </w:r>
            <w:r w:rsidR="009A76F4">
              <w:rPr>
                <w:noProof/>
                <w:webHidden/>
              </w:rPr>
              <w:fldChar w:fldCharType="end"/>
            </w:r>
          </w:hyperlink>
        </w:p>
        <w:p w14:paraId="38819E3E" w14:textId="16E05EBA" w:rsidR="009A76F4" w:rsidRDefault="00733E8D">
          <w:pPr>
            <w:pStyle w:val="TOC2"/>
            <w:rPr>
              <w:rFonts w:eastAsiaTheme="minorEastAsia"/>
              <w:noProof/>
              <w:color w:val="auto"/>
              <w:sz w:val="22"/>
              <w:szCs w:val="22"/>
              <w:lang w:eastAsia="en-AU"/>
            </w:rPr>
          </w:pPr>
          <w:hyperlink w:anchor="_Toc80965299" w:history="1">
            <w:r w:rsidR="009A76F4" w:rsidRPr="00EC6D35">
              <w:rPr>
                <w:rStyle w:val="Hyperlink"/>
                <w:noProof/>
              </w:rPr>
              <w:t>1. What is the problem you are trying to solve?</w:t>
            </w:r>
            <w:r w:rsidR="009A76F4">
              <w:rPr>
                <w:noProof/>
                <w:webHidden/>
              </w:rPr>
              <w:tab/>
            </w:r>
            <w:r w:rsidR="009A76F4">
              <w:rPr>
                <w:noProof/>
                <w:webHidden/>
              </w:rPr>
              <w:fldChar w:fldCharType="begin"/>
            </w:r>
            <w:r w:rsidR="009A76F4">
              <w:rPr>
                <w:noProof/>
                <w:webHidden/>
              </w:rPr>
              <w:instrText xml:space="preserve"> PAGEREF _Toc80965299 \h </w:instrText>
            </w:r>
            <w:r w:rsidR="009A76F4">
              <w:rPr>
                <w:noProof/>
                <w:webHidden/>
              </w:rPr>
            </w:r>
            <w:r w:rsidR="009A76F4">
              <w:rPr>
                <w:noProof/>
                <w:webHidden/>
              </w:rPr>
              <w:fldChar w:fldCharType="separate"/>
            </w:r>
            <w:r w:rsidR="009A76F4">
              <w:rPr>
                <w:noProof/>
                <w:webHidden/>
              </w:rPr>
              <w:t>7</w:t>
            </w:r>
            <w:r w:rsidR="009A76F4">
              <w:rPr>
                <w:noProof/>
                <w:webHidden/>
              </w:rPr>
              <w:fldChar w:fldCharType="end"/>
            </w:r>
          </w:hyperlink>
        </w:p>
        <w:p w14:paraId="5FA07502" w14:textId="759D258A" w:rsidR="009A76F4" w:rsidRDefault="00733E8D">
          <w:pPr>
            <w:pStyle w:val="TOC3"/>
            <w:tabs>
              <w:tab w:val="right" w:leader="dot" w:pos="10194"/>
            </w:tabs>
            <w:rPr>
              <w:rFonts w:eastAsiaTheme="minorEastAsia"/>
              <w:noProof/>
              <w:color w:val="auto"/>
              <w:sz w:val="22"/>
              <w:szCs w:val="22"/>
              <w:lang w:eastAsia="en-AU"/>
            </w:rPr>
          </w:pPr>
          <w:hyperlink w:anchor="_Toc80965300" w:history="1">
            <w:r w:rsidR="009A76F4" w:rsidRPr="00EC6D35">
              <w:rPr>
                <w:rStyle w:val="Hyperlink"/>
                <w:noProof/>
              </w:rPr>
              <w:t>Overview</w:t>
            </w:r>
            <w:r w:rsidR="009A76F4">
              <w:rPr>
                <w:noProof/>
                <w:webHidden/>
              </w:rPr>
              <w:tab/>
            </w:r>
            <w:r w:rsidR="009A76F4">
              <w:rPr>
                <w:noProof/>
                <w:webHidden/>
              </w:rPr>
              <w:fldChar w:fldCharType="begin"/>
            </w:r>
            <w:r w:rsidR="009A76F4">
              <w:rPr>
                <w:noProof/>
                <w:webHidden/>
              </w:rPr>
              <w:instrText xml:space="preserve"> PAGEREF _Toc80965300 \h </w:instrText>
            </w:r>
            <w:r w:rsidR="009A76F4">
              <w:rPr>
                <w:noProof/>
                <w:webHidden/>
              </w:rPr>
            </w:r>
            <w:r w:rsidR="009A76F4">
              <w:rPr>
                <w:noProof/>
                <w:webHidden/>
              </w:rPr>
              <w:fldChar w:fldCharType="separate"/>
            </w:r>
            <w:r w:rsidR="009A76F4">
              <w:rPr>
                <w:noProof/>
                <w:webHidden/>
              </w:rPr>
              <w:t>7</w:t>
            </w:r>
            <w:r w:rsidR="009A76F4">
              <w:rPr>
                <w:noProof/>
                <w:webHidden/>
              </w:rPr>
              <w:fldChar w:fldCharType="end"/>
            </w:r>
          </w:hyperlink>
        </w:p>
        <w:p w14:paraId="29B5A851" w14:textId="30807E6D" w:rsidR="009A76F4" w:rsidRDefault="00733E8D">
          <w:pPr>
            <w:pStyle w:val="TOC3"/>
            <w:tabs>
              <w:tab w:val="right" w:leader="dot" w:pos="10194"/>
            </w:tabs>
            <w:rPr>
              <w:rFonts w:eastAsiaTheme="minorEastAsia"/>
              <w:noProof/>
              <w:color w:val="auto"/>
              <w:sz w:val="22"/>
              <w:szCs w:val="22"/>
              <w:lang w:eastAsia="en-AU"/>
            </w:rPr>
          </w:pPr>
          <w:hyperlink w:anchor="_Toc80965301" w:history="1">
            <w:r w:rsidR="009A76F4" w:rsidRPr="00EC6D35">
              <w:rPr>
                <w:rStyle w:val="Hyperlink"/>
                <w:noProof/>
              </w:rPr>
              <w:t>Key issues</w:t>
            </w:r>
            <w:r w:rsidR="009A76F4">
              <w:rPr>
                <w:noProof/>
                <w:webHidden/>
              </w:rPr>
              <w:tab/>
            </w:r>
            <w:r w:rsidR="009A76F4">
              <w:rPr>
                <w:noProof/>
                <w:webHidden/>
              </w:rPr>
              <w:fldChar w:fldCharType="begin"/>
            </w:r>
            <w:r w:rsidR="009A76F4">
              <w:rPr>
                <w:noProof/>
                <w:webHidden/>
              </w:rPr>
              <w:instrText xml:space="preserve"> PAGEREF _Toc80965301 \h </w:instrText>
            </w:r>
            <w:r w:rsidR="009A76F4">
              <w:rPr>
                <w:noProof/>
                <w:webHidden/>
              </w:rPr>
            </w:r>
            <w:r w:rsidR="009A76F4">
              <w:rPr>
                <w:noProof/>
                <w:webHidden/>
              </w:rPr>
              <w:fldChar w:fldCharType="separate"/>
            </w:r>
            <w:r w:rsidR="009A76F4">
              <w:rPr>
                <w:noProof/>
                <w:webHidden/>
              </w:rPr>
              <w:t>8</w:t>
            </w:r>
            <w:r w:rsidR="009A76F4">
              <w:rPr>
                <w:noProof/>
                <w:webHidden/>
              </w:rPr>
              <w:fldChar w:fldCharType="end"/>
            </w:r>
          </w:hyperlink>
        </w:p>
        <w:p w14:paraId="3906F60E" w14:textId="74A82D0F" w:rsidR="009A76F4" w:rsidRDefault="00733E8D">
          <w:pPr>
            <w:pStyle w:val="TOC3"/>
            <w:tabs>
              <w:tab w:val="right" w:leader="dot" w:pos="10194"/>
            </w:tabs>
            <w:rPr>
              <w:rFonts w:eastAsiaTheme="minorEastAsia"/>
              <w:noProof/>
              <w:color w:val="auto"/>
              <w:sz w:val="22"/>
              <w:szCs w:val="22"/>
              <w:lang w:eastAsia="en-AU"/>
            </w:rPr>
          </w:pPr>
          <w:hyperlink w:anchor="_Toc80965302" w:history="1">
            <w:r w:rsidR="009A76F4" w:rsidRPr="00EC6D35">
              <w:rPr>
                <w:rStyle w:val="Hyperlink"/>
                <w:noProof/>
              </w:rPr>
              <w:t>Affected businesses, community organisations or individuals</w:t>
            </w:r>
            <w:r w:rsidR="009A76F4">
              <w:rPr>
                <w:noProof/>
                <w:webHidden/>
              </w:rPr>
              <w:tab/>
            </w:r>
            <w:r w:rsidR="009A76F4">
              <w:rPr>
                <w:noProof/>
                <w:webHidden/>
              </w:rPr>
              <w:fldChar w:fldCharType="begin"/>
            </w:r>
            <w:r w:rsidR="009A76F4">
              <w:rPr>
                <w:noProof/>
                <w:webHidden/>
              </w:rPr>
              <w:instrText xml:space="preserve"> PAGEREF _Toc80965302 \h </w:instrText>
            </w:r>
            <w:r w:rsidR="009A76F4">
              <w:rPr>
                <w:noProof/>
                <w:webHidden/>
              </w:rPr>
            </w:r>
            <w:r w:rsidR="009A76F4">
              <w:rPr>
                <w:noProof/>
                <w:webHidden/>
              </w:rPr>
              <w:fldChar w:fldCharType="separate"/>
            </w:r>
            <w:r w:rsidR="009A76F4">
              <w:rPr>
                <w:noProof/>
                <w:webHidden/>
              </w:rPr>
              <w:t>10</w:t>
            </w:r>
            <w:r w:rsidR="009A76F4">
              <w:rPr>
                <w:noProof/>
                <w:webHidden/>
              </w:rPr>
              <w:fldChar w:fldCharType="end"/>
            </w:r>
          </w:hyperlink>
        </w:p>
        <w:p w14:paraId="5B1A4DA0" w14:textId="784A37EC" w:rsidR="009A76F4" w:rsidRDefault="00733E8D">
          <w:pPr>
            <w:pStyle w:val="TOC2"/>
            <w:rPr>
              <w:rFonts w:eastAsiaTheme="minorEastAsia"/>
              <w:noProof/>
              <w:color w:val="auto"/>
              <w:sz w:val="22"/>
              <w:szCs w:val="22"/>
              <w:lang w:eastAsia="en-AU"/>
            </w:rPr>
          </w:pPr>
          <w:hyperlink w:anchor="_Toc80965303" w:history="1">
            <w:r w:rsidR="009A76F4" w:rsidRPr="00EC6D35">
              <w:rPr>
                <w:rStyle w:val="Hyperlink"/>
                <w:noProof/>
              </w:rPr>
              <w:t>2. Why is Government action needed?</w:t>
            </w:r>
            <w:r w:rsidR="009A76F4">
              <w:rPr>
                <w:noProof/>
                <w:webHidden/>
              </w:rPr>
              <w:tab/>
            </w:r>
            <w:r w:rsidR="009A76F4">
              <w:rPr>
                <w:noProof/>
                <w:webHidden/>
              </w:rPr>
              <w:fldChar w:fldCharType="begin"/>
            </w:r>
            <w:r w:rsidR="009A76F4">
              <w:rPr>
                <w:noProof/>
                <w:webHidden/>
              </w:rPr>
              <w:instrText xml:space="preserve"> PAGEREF _Toc80965303 \h </w:instrText>
            </w:r>
            <w:r w:rsidR="009A76F4">
              <w:rPr>
                <w:noProof/>
                <w:webHidden/>
              </w:rPr>
            </w:r>
            <w:r w:rsidR="009A76F4">
              <w:rPr>
                <w:noProof/>
                <w:webHidden/>
              </w:rPr>
              <w:fldChar w:fldCharType="separate"/>
            </w:r>
            <w:r w:rsidR="009A76F4">
              <w:rPr>
                <w:noProof/>
                <w:webHidden/>
              </w:rPr>
              <w:t>11</w:t>
            </w:r>
            <w:r w:rsidR="009A76F4">
              <w:rPr>
                <w:noProof/>
                <w:webHidden/>
              </w:rPr>
              <w:fldChar w:fldCharType="end"/>
            </w:r>
          </w:hyperlink>
        </w:p>
        <w:p w14:paraId="1B20EB76" w14:textId="680115FB" w:rsidR="009A76F4" w:rsidRDefault="00733E8D">
          <w:pPr>
            <w:pStyle w:val="TOC3"/>
            <w:tabs>
              <w:tab w:val="right" w:leader="dot" w:pos="10194"/>
            </w:tabs>
            <w:rPr>
              <w:rFonts w:eastAsiaTheme="minorEastAsia"/>
              <w:noProof/>
              <w:color w:val="auto"/>
              <w:sz w:val="22"/>
              <w:szCs w:val="22"/>
              <w:lang w:eastAsia="en-AU"/>
            </w:rPr>
          </w:pPr>
          <w:hyperlink w:anchor="_Toc80965304" w:history="1">
            <w:r w:rsidR="009A76F4" w:rsidRPr="00EC6D35">
              <w:rPr>
                <w:rStyle w:val="Hyperlink"/>
                <w:noProof/>
              </w:rPr>
              <w:t>Objectives</w:t>
            </w:r>
            <w:r w:rsidR="009A76F4">
              <w:rPr>
                <w:noProof/>
                <w:webHidden/>
              </w:rPr>
              <w:tab/>
            </w:r>
            <w:r w:rsidR="009A76F4">
              <w:rPr>
                <w:noProof/>
                <w:webHidden/>
              </w:rPr>
              <w:fldChar w:fldCharType="begin"/>
            </w:r>
            <w:r w:rsidR="009A76F4">
              <w:rPr>
                <w:noProof/>
                <w:webHidden/>
              </w:rPr>
              <w:instrText xml:space="preserve"> PAGEREF _Toc80965304 \h </w:instrText>
            </w:r>
            <w:r w:rsidR="009A76F4">
              <w:rPr>
                <w:noProof/>
                <w:webHidden/>
              </w:rPr>
            </w:r>
            <w:r w:rsidR="009A76F4">
              <w:rPr>
                <w:noProof/>
                <w:webHidden/>
              </w:rPr>
              <w:fldChar w:fldCharType="separate"/>
            </w:r>
            <w:r w:rsidR="009A76F4">
              <w:rPr>
                <w:noProof/>
                <w:webHidden/>
              </w:rPr>
              <w:t>11</w:t>
            </w:r>
            <w:r w:rsidR="009A76F4">
              <w:rPr>
                <w:noProof/>
                <w:webHidden/>
              </w:rPr>
              <w:fldChar w:fldCharType="end"/>
            </w:r>
          </w:hyperlink>
        </w:p>
        <w:p w14:paraId="58F5DCC4" w14:textId="4E44B391" w:rsidR="009A76F4" w:rsidRDefault="00733E8D">
          <w:pPr>
            <w:pStyle w:val="TOC3"/>
            <w:tabs>
              <w:tab w:val="right" w:leader="dot" w:pos="10194"/>
            </w:tabs>
            <w:rPr>
              <w:rFonts w:eastAsiaTheme="minorEastAsia"/>
              <w:noProof/>
              <w:color w:val="auto"/>
              <w:sz w:val="22"/>
              <w:szCs w:val="22"/>
              <w:lang w:eastAsia="en-AU"/>
            </w:rPr>
          </w:pPr>
          <w:hyperlink w:anchor="_Toc80965305" w:history="1">
            <w:r w:rsidR="009A76F4" w:rsidRPr="00EC6D35">
              <w:rPr>
                <w:rStyle w:val="Hyperlink"/>
                <w:noProof/>
              </w:rPr>
              <w:t>Human Health Risks</w:t>
            </w:r>
            <w:r w:rsidR="009A76F4">
              <w:rPr>
                <w:noProof/>
                <w:webHidden/>
              </w:rPr>
              <w:tab/>
            </w:r>
            <w:r w:rsidR="009A76F4">
              <w:rPr>
                <w:noProof/>
                <w:webHidden/>
              </w:rPr>
              <w:fldChar w:fldCharType="begin"/>
            </w:r>
            <w:r w:rsidR="009A76F4">
              <w:rPr>
                <w:noProof/>
                <w:webHidden/>
              </w:rPr>
              <w:instrText xml:space="preserve"> PAGEREF _Toc80965305 \h </w:instrText>
            </w:r>
            <w:r w:rsidR="009A76F4">
              <w:rPr>
                <w:noProof/>
                <w:webHidden/>
              </w:rPr>
            </w:r>
            <w:r w:rsidR="009A76F4">
              <w:rPr>
                <w:noProof/>
                <w:webHidden/>
              </w:rPr>
              <w:fldChar w:fldCharType="separate"/>
            </w:r>
            <w:r w:rsidR="009A76F4">
              <w:rPr>
                <w:noProof/>
                <w:webHidden/>
              </w:rPr>
              <w:t>11</w:t>
            </w:r>
            <w:r w:rsidR="009A76F4">
              <w:rPr>
                <w:noProof/>
                <w:webHidden/>
              </w:rPr>
              <w:fldChar w:fldCharType="end"/>
            </w:r>
          </w:hyperlink>
        </w:p>
        <w:p w14:paraId="6B232F4E" w14:textId="012E756A" w:rsidR="009A76F4" w:rsidRDefault="00733E8D">
          <w:pPr>
            <w:pStyle w:val="TOC3"/>
            <w:tabs>
              <w:tab w:val="right" w:leader="dot" w:pos="10194"/>
            </w:tabs>
            <w:rPr>
              <w:rFonts w:eastAsiaTheme="minorEastAsia"/>
              <w:noProof/>
              <w:color w:val="auto"/>
              <w:sz w:val="22"/>
              <w:szCs w:val="22"/>
              <w:lang w:eastAsia="en-AU"/>
            </w:rPr>
          </w:pPr>
          <w:hyperlink w:anchor="_Toc80965306" w:history="1">
            <w:r w:rsidR="009A76F4" w:rsidRPr="00EC6D35">
              <w:rPr>
                <w:rStyle w:val="Hyperlink"/>
                <w:noProof/>
              </w:rPr>
              <w:t>Supporting Economic Recovery</w:t>
            </w:r>
            <w:r w:rsidR="009A76F4">
              <w:rPr>
                <w:noProof/>
                <w:webHidden/>
              </w:rPr>
              <w:tab/>
            </w:r>
            <w:r w:rsidR="009A76F4">
              <w:rPr>
                <w:noProof/>
                <w:webHidden/>
              </w:rPr>
              <w:fldChar w:fldCharType="begin"/>
            </w:r>
            <w:r w:rsidR="009A76F4">
              <w:rPr>
                <w:noProof/>
                <w:webHidden/>
              </w:rPr>
              <w:instrText xml:space="preserve"> PAGEREF _Toc80965306 \h </w:instrText>
            </w:r>
            <w:r w:rsidR="009A76F4">
              <w:rPr>
                <w:noProof/>
                <w:webHidden/>
              </w:rPr>
            </w:r>
            <w:r w:rsidR="009A76F4">
              <w:rPr>
                <w:noProof/>
                <w:webHidden/>
              </w:rPr>
              <w:fldChar w:fldCharType="separate"/>
            </w:r>
            <w:r w:rsidR="009A76F4">
              <w:rPr>
                <w:noProof/>
                <w:webHidden/>
              </w:rPr>
              <w:t>11</w:t>
            </w:r>
            <w:r w:rsidR="009A76F4">
              <w:rPr>
                <w:noProof/>
                <w:webHidden/>
              </w:rPr>
              <w:fldChar w:fldCharType="end"/>
            </w:r>
          </w:hyperlink>
        </w:p>
        <w:p w14:paraId="3FDAB6F3" w14:textId="3EBC7621" w:rsidR="009A76F4" w:rsidRDefault="00733E8D">
          <w:pPr>
            <w:pStyle w:val="TOC2"/>
            <w:rPr>
              <w:rFonts w:eastAsiaTheme="minorEastAsia"/>
              <w:noProof/>
              <w:color w:val="auto"/>
              <w:sz w:val="22"/>
              <w:szCs w:val="22"/>
              <w:lang w:eastAsia="en-AU"/>
            </w:rPr>
          </w:pPr>
          <w:hyperlink w:anchor="_Toc80965307" w:history="1">
            <w:r w:rsidR="009A76F4" w:rsidRPr="00EC6D35">
              <w:rPr>
                <w:rStyle w:val="Hyperlink"/>
                <w:noProof/>
              </w:rPr>
              <w:t>3. What policy options are you considering?</w:t>
            </w:r>
            <w:r w:rsidR="009A76F4">
              <w:rPr>
                <w:noProof/>
                <w:webHidden/>
              </w:rPr>
              <w:tab/>
            </w:r>
            <w:r w:rsidR="009A76F4">
              <w:rPr>
                <w:noProof/>
                <w:webHidden/>
              </w:rPr>
              <w:fldChar w:fldCharType="begin"/>
            </w:r>
            <w:r w:rsidR="009A76F4">
              <w:rPr>
                <w:noProof/>
                <w:webHidden/>
              </w:rPr>
              <w:instrText xml:space="preserve"> PAGEREF _Toc80965307 \h </w:instrText>
            </w:r>
            <w:r w:rsidR="009A76F4">
              <w:rPr>
                <w:noProof/>
                <w:webHidden/>
              </w:rPr>
            </w:r>
            <w:r w:rsidR="009A76F4">
              <w:rPr>
                <w:noProof/>
                <w:webHidden/>
              </w:rPr>
              <w:fldChar w:fldCharType="separate"/>
            </w:r>
            <w:r w:rsidR="009A76F4">
              <w:rPr>
                <w:noProof/>
                <w:webHidden/>
              </w:rPr>
              <w:t>12</w:t>
            </w:r>
            <w:r w:rsidR="009A76F4">
              <w:rPr>
                <w:noProof/>
                <w:webHidden/>
              </w:rPr>
              <w:fldChar w:fldCharType="end"/>
            </w:r>
          </w:hyperlink>
        </w:p>
        <w:p w14:paraId="44A96C9B" w14:textId="0BD2DDBA" w:rsidR="009A76F4" w:rsidRDefault="00733E8D">
          <w:pPr>
            <w:pStyle w:val="TOC3"/>
            <w:tabs>
              <w:tab w:val="right" w:leader="dot" w:pos="10194"/>
            </w:tabs>
            <w:rPr>
              <w:rFonts w:eastAsiaTheme="minorEastAsia"/>
              <w:noProof/>
              <w:color w:val="auto"/>
              <w:sz w:val="22"/>
              <w:szCs w:val="22"/>
              <w:lang w:eastAsia="en-AU"/>
            </w:rPr>
          </w:pPr>
          <w:hyperlink w:anchor="_Toc80965308" w:history="1">
            <w:r w:rsidR="009A76F4" w:rsidRPr="00EC6D35">
              <w:rPr>
                <w:rStyle w:val="Hyperlink"/>
                <w:noProof/>
              </w:rPr>
              <w:t>3.1 Option 1 – Status Quo</w:t>
            </w:r>
            <w:r w:rsidR="009A76F4">
              <w:rPr>
                <w:noProof/>
                <w:webHidden/>
              </w:rPr>
              <w:tab/>
            </w:r>
            <w:r w:rsidR="009A76F4">
              <w:rPr>
                <w:noProof/>
                <w:webHidden/>
              </w:rPr>
              <w:fldChar w:fldCharType="begin"/>
            </w:r>
            <w:r w:rsidR="009A76F4">
              <w:rPr>
                <w:noProof/>
                <w:webHidden/>
              </w:rPr>
              <w:instrText xml:space="preserve"> PAGEREF _Toc80965308 \h </w:instrText>
            </w:r>
            <w:r w:rsidR="009A76F4">
              <w:rPr>
                <w:noProof/>
                <w:webHidden/>
              </w:rPr>
            </w:r>
            <w:r w:rsidR="009A76F4">
              <w:rPr>
                <w:noProof/>
                <w:webHidden/>
              </w:rPr>
              <w:fldChar w:fldCharType="separate"/>
            </w:r>
            <w:r w:rsidR="009A76F4">
              <w:rPr>
                <w:noProof/>
                <w:webHidden/>
              </w:rPr>
              <w:t>12</w:t>
            </w:r>
            <w:r w:rsidR="009A76F4">
              <w:rPr>
                <w:noProof/>
                <w:webHidden/>
              </w:rPr>
              <w:fldChar w:fldCharType="end"/>
            </w:r>
          </w:hyperlink>
        </w:p>
        <w:p w14:paraId="32B85877" w14:textId="47868C2A" w:rsidR="009A76F4" w:rsidRDefault="00733E8D">
          <w:pPr>
            <w:pStyle w:val="TOC3"/>
            <w:tabs>
              <w:tab w:val="right" w:leader="dot" w:pos="10194"/>
            </w:tabs>
            <w:rPr>
              <w:rFonts w:eastAsiaTheme="minorEastAsia"/>
              <w:noProof/>
              <w:color w:val="auto"/>
              <w:sz w:val="22"/>
              <w:szCs w:val="22"/>
              <w:lang w:eastAsia="en-AU"/>
            </w:rPr>
          </w:pPr>
          <w:hyperlink w:anchor="_Toc80965309" w:history="1">
            <w:r w:rsidR="009A76F4" w:rsidRPr="00EC6D35">
              <w:rPr>
                <w:rStyle w:val="Hyperlink"/>
                <w:noProof/>
              </w:rPr>
              <w:t>3.2 Option 2 – Emergency powers and legislative instruments</w:t>
            </w:r>
            <w:r w:rsidR="009A76F4">
              <w:rPr>
                <w:noProof/>
                <w:webHidden/>
              </w:rPr>
              <w:tab/>
            </w:r>
            <w:r w:rsidR="009A76F4">
              <w:rPr>
                <w:noProof/>
                <w:webHidden/>
              </w:rPr>
              <w:fldChar w:fldCharType="begin"/>
            </w:r>
            <w:r w:rsidR="009A76F4">
              <w:rPr>
                <w:noProof/>
                <w:webHidden/>
              </w:rPr>
              <w:instrText xml:space="preserve"> PAGEREF _Toc80965309 \h </w:instrText>
            </w:r>
            <w:r w:rsidR="009A76F4">
              <w:rPr>
                <w:noProof/>
                <w:webHidden/>
              </w:rPr>
            </w:r>
            <w:r w:rsidR="009A76F4">
              <w:rPr>
                <w:noProof/>
                <w:webHidden/>
              </w:rPr>
              <w:fldChar w:fldCharType="separate"/>
            </w:r>
            <w:r w:rsidR="009A76F4">
              <w:rPr>
                <w:noProof/>
                <w:webHidden/>
              </w:rPr>
              <w:t>13</w:t>
            </w:r>
            <w:r w:rsidR="009A76F4">
              <w:rPr>
                <w:noProof/>
                <w:webHidden/>
              </w:rPr>
              <w:fldChar w:fldCharType="end"/>
            </w:r>
          </w:hyperlink>
        </w:p>
        <w:p w14:paraId="6526A51F" w14:textId="5ACA94DD" w:rsidR="009A76F4" w:rsidRDefault="00733E8D">
          <w:pPr>
            <w:pStyle w:val="TOC3"/>
            <w:tabs>
              <w:tab w:val="right" w:leader="dot" w:pos="10194"/>
            </w:tabs>
            <w:rPr>
              <w:rFonts w:eastAsiaTheme="minorEastAsia"/>
              <w:noProof/>
              <w:color w:val="auto"/>
              <w:sz w:val="22"/>
              <w:szCs w:val="22"/>
              <w:lang w:eastAsia="en-AU"/>
            </w:rPr>
          </w:pPr>
          <w:hyperlink w:anchor="_Toc80965310" w:history="1">
            <w:r w:rsidR="009A76F4" w:rsidRPr="00EC6D35">
              <w:rPr>
                <w:rStyle w:val="Hyperlink"/>
                <w:noProof/>
              </w:rPr>
              <w:t>3.3 Option 3 – Amendments to the Biosecurity Act</w:t>
            </w:r>
            <w:r w:rsidR="009A76F4">
              <w:rPr>
                <w:noProof/>
                <w:webHidden/>
              </w:rPr>
              <w:tab/>
            </w:r>
            <w:r w:rsidR="009A76F4">
              <w:rPr>
                <w:noProof/>
                <w:webHidden/>
              </w:rPr>
              <w:fldChar w:fldCharType="begin"/>
            </w:r>
            <w:r w:rsidR="009A76F4">
              <w:rPr>
                <w:noProof/>
                <w:webHidden/>
              </w:rPr>
              <w:instrText xml:space="preserve"> PAGEREF _Toc80965310 \h </w:instrText>
            </w:r>
            <w:r w:rsidR="009A76F4">
              <w:rPr>
                <w:noProof/>
                <w:webHidden/>
              </w:rPr>
            </w:r>
            <w:r w:rsidR="009A76F4">
              <w:rPr>
                <w:noProof/>
                <w:webHidden/>
              </w:rPr>
              <w:fldChar w:fldCharType="separate"/>
            </w:r>
            <w:r w:rsidR="009A76F4">
              <w:rPr>
                <w:noProof/>
                <w:webHidden/>
              </w:rPr>
              <w:t>13</w:t>
            </w:r>
            <w:r w:rsidR="009A76F4">
              <w:rPr>
                <w:noProof/>
                <w:webHidden/>
              </w:rPr>
              <w:fldChar w:fldCharType="end"/>
            </w:r>
          </w:hyperlink>
        </w:p>
        <w:p w14:paraId="16997294" w14:textId="4BDBC0D5" w:rsidR="009A76F4" w:rsidRDefault="00733E8D">
          <w:pPr>
            <w:pStyle w:val="TOC2"/>
            <w:rPr>
              <w:rFonts w:eastAsiaTheme="minorEastAsia"/>
              <w:noProof/>
              <w:color w:val="auto"/>
              <w:sz w:val="22"/>
              <w:szCs w:val="22"/>
              <w:lang w:eastAsia="en-AU"/>
            </w:rPr>
          </w:pPr>
          <w:hyperlink w:anchor="_Toc80965311" w:history="1">
            <w:r w:rsidR="009A76F4" w:rsidRPr="00EC6D35">
              <w:rPr>
                <w:rStyle w:val="Hyperlink"/>
                <w:noProof/>
              </w:rPr>
              <w:t>4. What is the likely net benefit of each option?</w:t>
            </w:r>
            <w:r w:rsidR="009A76F4">
              <w:rPr>
                <w:noProof/>
                <w:webHidden/>
              </w:rPr>
              <w:tab/>
            </w:r>
            <w:r w:rsidR="009A76F4">
              <w:rPr>
                <w:noProof/>
                <w:webHidden/>
              </w:rPr>
              <w:fldChar w:fldCharType="begin"/>
            </w:r>
            <w:r w:rsidR="009A76F4">
              <w:rPr>
                <w:noProof/>
                <w:webHidden/>
              </w:rPr>
              <w:instrText xml:space="preserve"> PAGEREF _Toc80965311 \h </w:instrText>
            </w:r>
            <w:r w:rsidR="009A76F4">
              <w:rPr>
                <w:noProof/>
                <w:webHidden/>
              </w:rPr>
            </w:r>
            <w:r w:rsidR="009A76F4">
              <w:rPr>
                <w:noProof/>
                <w:webHidden/>
              </w:rPr>
              <w:fldChar w:fldCharType="separate"/>
            </w:r>
            <w:r w:rsidR="009A76F4">
              <w:rPr>
                <w:noProof/>
                <w:webHidden/>
              </w:rPr>
              <w:t>15</w:t>
            </w:r>
            <w:r w:rsidR="009A76F4">
              <w:rPr>
                <w:noProof/>
                <w:webHidden/>
              </w:rPr>
              <w:fldChar w:fldCharType="end"/>
            </w:r>
          </w:hyperlink>
        </w:p>
        <w:p w14:paraId="17CD42DA" w14:textId="31265D56" w:rsidR="009A76F4" w:rsidRDefault="00733E8D">
          <w:pPr>
            <w:pStyle w:val="TOC3"/>
            <w:tabs>
              <w:tab w:val="right" w:leader="dot" w:pos="10194"/>
            </w:tabs>
            <w:rPr>
              <w:rFonts w:eastAsiaTheme="minorEastAsia"/>
              <w:noProof/>
              <w:color w:val="auto"/>
              <w:sz w:val="22"/>
              <w:szCs w:val="22"/>
              <w:lang w:eastAsia="en-AU"/>
            </w:rPr>
          </w:pPr>
          <w:hyperlink w:anchor="_Toc80965312" w:history="1">
            <w:r w:rsidR="009A76F4" w:rsidRPr="00EC6D35">
              <w:rPr>
                <w:rStyle w:val="Hyperlink"/>
                <w:noProof/>
              </w:rPr>
              <w:t>4.1 Option 1 – Status Quo</w:t>
            </w:r>
            <w:r w:rsidR="009A76F4">
              <w:rPr>
                <w:noProof/>
                <w:webHidden/>
              </w:rPr>
              <w:tab/>
            </w:r>
            <w:r w:rsidR="009A76F4">
              <w:rPr>
                <w:noProof/>
                <w:webHidden/>
              </w:rPr>
              <w:fldChar w:fldCharType="begin"/>
            </w:r>
            <w:r w:rsidR="009A76F4">
              <w:rPr>
                <w:noProof/>
                <w:webHidden/>
              </w:rPr>
              <w:instrText xml:space="preserve"> PAGEREF _Toc80965312 \h </w:instrText>
            </w:r>
            <w:r w:rsidR="009A76F4">
              <w:rPr>
                <w:noProof/>
                <w:webHidden/>
              </w:rPr>
            </w:r>
            <w:r w:rsidR="009A76F4">
              <w:rPr>
                <w:noProof/>
                <w:webHidden/>
              </w:rPr>
              <w:fldChar w:fldCharType="separate"/>
            </w:r>
            <w:r w:rsidR="009A76F4">
              <w:rPr>
                <w:noProof/>
                <w:webHidden/>
              </w:rPr>
              <w:t>15</w:t>
            </w:r>
            <w:r w:rsidR="009A76F4">
              <w:rPr>
                <w:noProof/>
                <w:webHidden/>
              </w:rPr>
              <w:fldChar w:fldCharType="end"/>
            </w:r>
          </w:hyperlink>
        </w:p>
        <w:p w14:paraId="388A69AE" w14:textId="2699AA05" w:rsidR="009A76F4" w:rsidRDefault="00733E8D">
          <w:pPr>
            <w:pStyle w:val="TOC3"/>
            <w:tabs>
              <w:tab w:val="right" w:leader="dot" w:pos="10194"/>
            </w:tabs>
            <w:rPr>
              <w:rFonts w:eastAsiaTheme="minorEastAsia"/>
              <w:noProof/>
              <w:color w:val="auto"/>
              <w:sz w:val="22"/>
              <w:szCs w:val="22"/>
              <w:lang w:eastAsia="en-AU"/>
            </w:rPr>
          </w:pPr>
          <w:hyperlink w:anchor="_Toc80965313" w:history="1">
            <w:r w:rsidR="009A76F4" w:rsidRPr="00EC6D35">
              <w:rPr>
                <w:rStyle w:val="Hyperlink"/>
                <w:noProof/>
              </w:rPr>
              <w:t>4.2 Option 2 – Emergency powers and legislative instruments</w:t>
            </w:r>
            <w:r w:rsidR="009A76F4">
              <w:rPr>
                <w:noProof/>
                <w:webHidden/>
              </w:rPr>
              <w:tab/>
            </w:r>
            <w:r w:rsidR="009A76F4">
              <w:rPr>
                <w:noProof/>
                <w:webHidden/>
              </w:rPr>
              <w:fldChar w:fldCharType="begin"/>
            </w:r>
            <w:r w:rsidR="009A76F4">
              <w:rPr>
                <w:noProof/>
                <w:webHidden/>
              </w:rPr>
              <w:instrText xml:space="preserve"> PAGEREF _Toc80965313 \h </w:instrText>
            </w:r>
            <w:r w:rsidR="009A76F4">
              <w:rPr>
                <w:noProof/>
                <w:webHidden/>
              </w:rPr>
            </w:r>
            <w:r w:rsidR="009A76F4">
              <w:rPr>
                <w:noProof/>
                <w:webHidden/>
              </w:rPr>
              <w:fldChar w:fldCharType="separate"/>
            </w:r>
            <w:r w:rsidR="009A76F4">
              <w:rPr>
                <w:noProof/>
                <w:webHidden/>
              </w:rPr>
              <w:t>18</w:t>
            </w:r>
            <w:r w:rsidR="009A76F4">
              <w:rPr>
                <w:noProof/>
                <w:webHidden/>
              </w:rPr>
              <w:fldChar w:fldCharType="end"/>
            </w:r>
          </w:hyperlink>
        </w:p>
        <w:p w14:paraId="310512CD" w14:textId="6710F9AD" w:rsidR="009A76F4" w:rsidRDefault="00733E8D">
          <w:pPr>
            <w:pStyle w:val="TOC3"/>
            <w:tabs>
              <w:tab w:val="right" w:leader="dot" w:pos="10194"/>
            </w:tabs>
            <w:rPr>
              <w:rFonts w:eastAsiaTheme="minorEastAsia"/>
              <w:noProof/>
              <w:color w:val="auto"/>
              <w:sz w:val="22"/>
              <w:szCs w:val="22"/>
              <w:lang w:eastAsia="en-AU"/>
            </w:rPr>
          </w:pPr>
          <w:hyperlink w:anchor="_Toc80965314" w:history="1">
            <w:r w:rsidR="009A76F4" w:rsidRPr="00EC6D35">
              <w:rPr>
                <w:rStyle w:val="Hyperlink"/>
                <w:noProof/>
              </w:rPr>
              <w:t>4.3 Option 3 – Amendments to the Biosecurity Act</w:t>
            </w:r>
            <w:r w:rsidR="009A76F4">
              <w:rPr>
                <w:noProof/>
                <w:webHidden/>
              </w:rPr>
              <w:tab/>
            </w:r>
            <w:r w:rsidR="009A76F4">
              <w:rPr>
                <w:noProof/>
                <w:webHidden/>
              </w:rPr>
              <w:fldChar w:fldCharType="begin"/>
            </w:r>
            <w:r w:rsidR="009A76F4">
              <w:rPr>
                <w:noProof/>
                <w:webHidden/>
              </w:rPr>
              <w:instrText xml:space="preserve"> PAGEREF _Toc80965314 \h </w:instrText>
            </w:r>
            <w:r w:rsidR="009A76F4">
              <w:rPr>
                <w:noProof/>
                <w:webHidden/>
              </w:rPr>
            </w:r>
            <w:r w:rsidR="009A76F4">
              <w:rPr>
                <w:noProof/>
                <w:webHidden/>
              </w:rPr>
              <w:fldChar w:fldCharType="separate"/>
            </w:r>
            <w:r w:rsidR="009A76F4">
              <w:rPr>
                <w:noProof/>
                <w:webHidden/>
              </w:rPr>
              <w:t>20</w:t>
            </w:r>
            <w:r w:rsidR="009A76F4">
              <w:rPr>
                <w:noProof/>
                <w:webHidden/>
              </w:rPr>
              <w:fldChar w:fldCharType="end"/>
            </w:r>
          </w:hyperlink>
        </w:p>
        <w:p w14:paraId="2AAF0D1A" w14:textId="4E5878F0" w:rsidR="009A76F4" w:rsidRDefault="00733E8D">
          <w:pPr>
            <w:pStyle w:val="TOC2"/>
            <w:rPr>
              <w:rFonts w:eastAsiaTheme="minorEastAsia"/>
              <w:noProof/>
              <w:color w:val="auto"/>
              <w:sz w:val="22"/>
              <w:szCs w:val="22"/>
              <w:lang w:eastAsia="en-AU"/>
            </w:rPr>
          </w:pPr>
          <w:hyperlink w:anchor="_Toc80965315" w:history="1">
            <w:r w:rsidR="009A76F4" w:rsidRPr="00EC6D35">
              <w:rPr>
                <w:rStyle w:val="Hyperlink"/>
                <w:noProof/>
              </w:rPr>
              <w:t>5. Who did you consult and how did you incorporate their feedback?</w:t>
            </w:r>
            <w:r w:rsidR="009A76F4">
              <w:rPr>
                <w:noProof/>
                <w:webHidden/>
              </w:rPr>
              <w:tab/>
            </w:r>
            <w:r w:rsidR="009A76F4">
              <w:rPr>
                <w:noProof/>
                <w:webHidden/>
              </w:rPr>
              <w:fldChar w:fldCharType="begin"/>
            </w:r>
            <w:r w:rsidR="009A76F4">
              <w:rPr>
                <w:noProof/>
                <w:webHidden/>
              </w:rPr>
              <w:instrText xml:space="preserve"> PAGEREF _Toc80965315 \h </w:instrText>
            </w:r>
            <w:r w:rsidR="009A76F4">
              <w:rPr>
                <w:noProof/>
                <w:webHidden/>
              </w:rPr>
            </w:r>
            <w:r w:rsidR="009A76F4">
              <w:rPr>
                <w:noProof/>
                <w:webHidden/>
              </w:rPr>
              <w:fldChar w:fldCharType="separate"/>
            </w:r>
            <w:r w:rsidR="009A76F4">
              <w:rPr>
                <w:noProof/>
                <w:webHidden/>
              </w:rPr>
              <w:t>23</w:t>
            </w:r>
            <w:r w:rsidR="009A76F4">
              <w:rPr>
                <w:noProof/>
                <w:webHidden/>
              </w:rPr>
              <w:fldChar w:fldCharType="end"/>
            </w:r>
          </w:hyperlink>
        </w:p>
        <w:p w14:paraId="189674FD" w14:textId="57CFE68A" w:rsidR="009A76F4" w:rsidRDefault="00733E8D">
          <w:pPr>
            <w:pStyle w:val="TOC2"/>
            <w:rPr>
              <w:rFonts w:eastAsiaTheme="minorEastAsia"/>
              <w:noProof/>
              <w:color w:val="auto"/>
              <w:sz w:val="22"/>
              <w:szCs w:val="22"/>
              <w:lang w:eastAsia="en-AU"/>
            </w:rPr>
          </w:pPr>
          <w:hyperlink w:anchor="_Toc80965316" w:history="1">
            <w:r w:rsidR="009A76F4" w:rsidRPr="00EC6D35">
              <w:rPr>
                <w:rStyle w:val="Hyperlink"/>
                <w:noProof/>
              </w:rPr>
              <w:t>6. Preferred Option</w:t>
            </w:r>
            <w:r w:rsidR="009A76F4">
              <w:rPr>
                <w:noProof/>
                <w:webHidden/>
              </w:rPr>
              <w:tab/>
            </w:r>
            <w:r w:rsidR="009A76F4">
              <w:rPr>
                <w:noProof/>
                <w:webHidden/>
              </w:rPr>
              <w:fldChar w:fldCharType="begin"/>
            </w:r>
            <w:r w:rsidR="009A76F4">
              <w:rPr>
                <w:noProof/>
                <w:webHidden/>
              </w:rPr>
              <w:instrText xml:space="preserve"> PAGEREF _Toc80965316 \h </w:instrText>
            </w:r>
            <w:r w:rsidR="009A76F4">
              <w:rPr>
                <w:noProof/>
                <w:webHidden/>
              </w:rPr>
            </w:r>
            <w:r w:rsidR="009A76F4">
              <w:rPr>
                <w:noProof/>
                <w:webHidden/>
              </w:rPr>
              <w:fldChar w:fldCharType="separate"/>
            </w:r>
            <w:r w:rsidR="009A76F4">
              <w:rPr>
                <w:noProof/>
                <w:webHidden/>
              </w:rPr>
              <w:t>24</w:t>
            </w:r>
            <w:r w:rsidR="009A76F4">
              <w:rPr>
                <w:noProof/>
                <w:webHidden/>
              </w:rPr>
              <w:fldChar w:fldCharType="end"/>
            </w:r>
          </w:hyperlink>
        </w:p>
        <w:p w14:paraId="5F12DFE1" w14:textId="5AFAF0D7" w:rsidR="009A76F4" w:rsidRDefault="00733E8D">
          <w:pPr>
            <w:pStyle w:val="TOC3"/>
            <w:tabs>
              <w:tab w:val="right" w:leader="dot" w:pos="10194"/>
            </w:tabs>
            <w:rPr>
              <w:rFonts w:eastAsiaTheme="minorEastAsia"/>
              <w:noProof/>
              <w:color w:val="auto"/>
              <w:sz w:val="22"/>
              <w:szCs w:val="22"/>
              <w:lang w:eastAsia="en-AU"/>
            </w:rPr>
          </w:pPr>
          <w:hyperlink w:anchor="_Toc80965317" w:history="1">
            <w:r w:rsidR="009A76F4" w:rsidRPr="00EC6D35">
              <w:rPr>
                <w:rStyle w:val="Hyperlink"/>
                <w:noProof/>
              </w:rPr>
              <w:t>Option 3: Amendments to the Biosecurity Act</w:t>
            </w:r>
            <w:r w:rsidR="009A76F4">
              <w:rPr>
                <w:noProof/>
                <w:webHidden/>
              </w:rPr>
              <w:tab/>
            </w:r>
            <w:r w:rsidR="009A76F4">
              <w:rPr>
                <w:noProof/>
                <w:webHidden/>
              </w:rPr>
              <w:fldChar w:fldCharType="begin"/>
            </w:r>
            <w:r w:rsidR="009A76F4">
              <w:rPr>
                <w:noProof/>
                <w:webHidden/>
              </w:rPr>
              <w:instrText xml:space="preserve"> PAGEREF _Toc80965317 \h </w:instrText>
            </w:r>
            <w:r w:rsidR="009A76F4">
              <w:rPr>
                <w:noProof/>
                <w:webHidden/>
              </w:rPr>
            </w:r>
            <w:r w:rsidR="009A76F4">
              <w:rPr>
                <w:noProof/>
                <w:webHidden/>
              </w:rPr>
              <w:fldChar w:fldCharType="separate"/>
            </w:r>
            <w:r w:rsidR="009A76F4">
              <w:rPr>
                <w:noProof/>
                <w:webHidden/>
              </w:rPr>
              <w:t>24</w:t>
            </w:r>
            <w:r w:rsidR="009A76F4">
              <w:rPr>
                <w:noProof/>
                <w:webHidden/>
              </w:rPr>
              <w:fldChar w:fldCharType="end"/>
            </w:r>
          </w:hyperlink>
        </w:p>
        <w:p w14:paraId="7223B000" w14:textId="13704F71" w:rsidR="009A76F4" w:rsidRDefault="00733E8D">
          <w:pPr>
            <w:pStyle w:val="TOC2"/>
            <w:rPr>
              <w:rFonts w:eastAsiaTheme="minorEastAsia"/>
              <w:noProof/>
              <w:color w:val="auto"/>
              <w:sz w:val="22"/>
              <w:szCs w:val="22"/>
              <w:lang w:eastAsia="en-AU"/>
            </w:rPr>
          </w:pPr>
          <w:hyperlink w:anchor="_Toc80965318" w:history="1">
            <w:r w:rsidR="009A76F4" w:rsidRPr="00EC6D35">
              <w:rPr>
                <w:rStyle w:val="Hyperlink"/>
                <w:noProof/>
              </w:rPr>
              <w:t>7. How will you implement and evaluate your chosen option?</w:t>
            </w:r>
            <w:r w:rsidR="009A76F4">
              <w:rPr>
                <w:noProof/>
                <w:webHidden/>
              </w:rPr>
              <w:tab/>
            </w:r>
            <w:r w:rsidR="009A76F4">
              <w:rPr>
                <w:noProof/>
                <w:webHidden/>
              </w:rPr>
              <w:fldChar w:fldCharType="begin"/>
            </w:r>
            <w:r w:rsidR="009A76F4">
              <w:rPr>
                <w:noProof/>
                <w:webHidden/>
              </w:rPr>
              <w:instrText xml:space="preserve"> PAGEREF _Toc80965318 \h </w:instrText>
            </w:r>
            <w:r w:rsidR="009A76F4">
              <w:rPr>
                <w:noProof/>
                <w:webHidden/>
              </w:rPr>
            </w:r>
            <w:r w:rsidR="009A76F4">
              <w:rPr>
                <w:noProof/>
                <w:webHidden/>
              </w:rPr>
              <w:fldChar w:fldCharType="separate"/>
            </w:r>
            <w:r w:rsidR="009A76F4">
              <w:rPr>
                <w:noProof/>
                <w:webHidden/>
              </w:rPr>
              <w:t>25</w:t>
            </w:r>
            <w:r w:rsidR="009A76F4">
              <w:rPr>
                <w:noProof/>
                <w:webHidden/>
              </w:rPr>
              <w:fldChar w:fldCharType="end"/>
            </w:r>
          </w:hyperlink>
        </w:p>
        <w:p w14:paraId="5E23D41A" w14:textId="7F6BB9B7" w:rsidR="009A76F4" w:rsidRDefault="00733E8D">
          <w:pPr>
            <w:pStyle w:val="TOC2"/>
            <w:rPr>
              <w:rFonts w:eastAsiaTheme="minorEastAsia"/>
              <w:noProof/>
              <w:color w:val="auto"/>
              <w:sz w:val="22"/>
              <w:szCs w:val="22"/>
              <w:lang w:eastAsia="en-AU"/>
            </w:rPr>
          </w:pPr>
          <w:hyperlink w:anchor="_Toc80965319" w:history="1">
            <w:r w:rsidR="009A76F4" w:rsidRPr="00EC6D35">
              <w:rPr>
                <w:rStyle w:val="Hyperlink"/>
                <w:noProof/>
              </w:rPr>
              <w:t>Reference</w:t>
            </w:r>
            <w:r w:rsidR="009A76F4">
              <w:rPr>
                <w:noProof/>
                <w:webHidden/>
              </w:rPr>
              <w:tab/>
            </w:r>
            <w:r w:rsidR="009A76F4">
              <w:rPr>
                <w:noProof/>
                <w:webHidden/>
              </w:rPr>
              <w:fldChar w:fldCharType="begin"/>
            </w:r>
            <w:r w:rsidR="009A76F4">
              <w:rPr>
                <w:noProof/>
                <w:webHidden/>
              </w:rPr>
              <w:instrText xml:space="preserve"> PAGEREF _Toc80965319 \h </w:instrText>
            </w:r>
            <w:r w:rsidR="009A76F4">
              <w:rPr>
                <w:noProof/>
                <w:webHidden/>
              </w:rPr>
            </w:r>
            <w:r w:rsidR="009A76F4">
              <w:rPr>
                <w:noProof/>
                <w:webHidden/>
              </w:rPr>
              <w:fldChar w:fldCharType="separate"/>
            </w:r>
            <w:r w:rsidR="009A76F4">
              <w:rPr>
                <w:noProof/>
                <w:webHidden/>
              </w:rPr>
              <w:t>26</w:t>
            </w:r>
            <w:r w:rsidR="009A76F4">
              <w:rPr>
                <w:noProof/>
                <w:webHidden/>
              </w:rPr>
              <w:fldChar w:fldCharType="end"/>
            </w:r>
          </w:hyperlink>
        </w:p>
        <w:p w14:paraId="1F8CDD10" w14:textId="1DED1392" w:rsidR="009A76F4" w:rsidRDefault="00733E8D">
          <w:pPr>
            <w:pStyle w:val="TOC2"/>
            <w:tabs>
              <w:tab w:val="left" w:pos="1540"/>
            </w:tabs>
            <w:rPr>
              <w:rFonts w:eastAsiaTheme="minorEastAsia"/>
              <w:noProof/>
              <w:color w:val="auto"/>
              <w:sz w:val="22"/>
              <w:szCs w:val="22"/>
              <w:lang w:eastAsia="en-AU"/>
            </w:rPr>
          </w:pPr>
          <w:hyperlink w:anchor="_Toc80965320" w:history="1">
            <w:r w:rsidR="009A76F4" w:rsidRPr="00EC6D35">
              <w:rPr>
                <w:rStyle w:val="Hyperlink"/>
                <w:noProof/>
              </w:rPr>
              <w:t>Appendix A</w:t>
            </w:r>
            <w:r w:rsidR="009A76F4">
              <w:rPr>
                <w:rFonts w:eastAsiaTheme="minorEastAsia"/>
                <w:noProof/>
                <w:color w:val="auto"/>
                <w:sz w:val="22"/>
                <w:szCs w:val="22"/>
                <w:lang w:eastAsia="en-AU"/>
              </w:rPr>
              <w:tab/>
            </w:r>
            <w:r w:rsidR="009A76F4" w:rsidRPr="00EC6D35">
              <w:rPr>
                <w:rStyle w:val="Hyperlink"/>
                <w:noProof/>
              </w:rPr>
              <w:t>Relevant recommendations from the NSW Special Commission of Inquiry</w:t>
            </w:r>
            <w:r w:rsidR="009A76F4">
              <w:rPr>
                <w:noProof/>
                <w:webHidden/>
              </w:rPr>
              <w:tab/>
            </w:r>
            <w:r w:rsidR="009A76F4">
              <w:rPr>
                <w:noProof/>
                <w:webHidden/>
              </w:rPr>
              <w:fldChar w:fldCharType="begin"/>
            </w:r>
            <w:r w:rsidR="009A76F4">
              <w:rPr>
                <w:noProof/>
                <w:webHidden/>
              </w:rPr>
              <w:instrText xml:space="preserve"> PAGEREF _Toc80965320 \h </w:instrText>
            </w:r>
            <w:r w:rsidR="009A76F4">
              <w:rPr>
                <w:noProof/>
                <w:webHidden/>
              </w:rPr>
            </w:r>
            <w:r w:rsidR="009A76F4">
              <w:rPr>
                <w:noProof/>
                <w:webHidden/>
              </w:rPr>
              <w:fldChar w:fldCharType="separate"/>
            </w:r>
            <w:r w:rsidR="009A76F4">
              <w:rPr>
                <w:noProof/>
                <w:webHidden/>
              </w:rPr>
              <w:t>27</w:t>
            </w:r>
            <w:r w:rsidR="009A76F4">
              <w:rPr>
                <w:noProof/>
                <w:webHidden/>
              </w:rPr>
              <w:fldChar w:fldCharType="end"/>
            </w:r>
          </w:hyperlink>
        </w:p>
        <w:p w14:paraId="7A096CB3" w14:textId="04AD7EC9" w:rsidR="009A76F4" w:rsidRDefault="00733E8D">
          <w:pPr>
            <w:pStyle w:val="TOC2"/>
            <w:tabs>
              <w:tab w:val="left" w:pos="1540"/>
            </w:tabs>
            <w:rPr>
              <w:rFonts w:eastAsiaTheme="minorEastAsia"/>
              <w:noProof/>
              <w:color w:val="auto"/>
              <w:sz w:val="22"/>
              <w:szCs w:val="22"/>
              <w:lang w:eastAsia="en-AU"/>
            </w:rPr>
          </w:pPr>
          <w:hyperlink w:anchor="_Toc80965321" w:history="1">
            <w:r w:rsidR="009A76F4" w:rsidRPr="00EC6D35">
              <w:rPr>
                <w:rStyle w:val="Hyperlink"/>
                <w:noProof/>
              </w:rPr>
              <w:t>Appendix B</w:t>
            </w:r>
            <w:r w:rsidR="009A76F4">
              <w:rPr>
                <w:rFonts w:eastAsiaTheme="minorEastAsia"/>
                <w:noProof/>
                <w:color w:val="auto"/>
                <w:sz w:val="22"/>
                <w:szCs w:val="22"/>
                <w:lang w:eastAsia="en-AU"/>
              </w:rPr>
              <w:tab/>
            </w:r>
            <w:r w:rsidR="009A76F4" w:rsidRPr="00EC6D35">
              <w:rPr>
                <w:rStyle w:val="Hyperlink"/>
                <w:noProof/>
              </w:rPr>
              <w:t>Relevant recommendations from the Inspector-General of Biosecurity’s review</w:t>
            </w:r>
            <w:r w:rsidR="009A76F4">
              <w:rPr>
                <w:noProof/>
                <w:webHidden/>
              </w:rPr>
              <w:tab/>
            </w:r>
            <w:r w:rsidR="009A76F4">
              <w:rPr>
                <w:noProof/>
                <w:webHidden/>
              </w:rPr>
              <w:fldChar w:fldCharType="begin"/>
            </w:r>
            <w:r w:rsidR="009A76F4">
              <w:rPr>
                <w:noProof/>
                <w:webHidden/>
              </w:rPr>
              <w:instrText xml:space="preserve"> PAGEREF _Toc80965321 \h </w:instrText>
            </w:r>
            <w:r w:rsidR="009A76F4">
              <w:rPr>
                <w:noProof/>
                <w:webHidden/>
              </w:rPr>
            </w:r>
            <w:r w:rsidR="009A76F4">
              <w:rPr>
                <w:noProof/>
                <w:webHidden/>
              </w:rPr>
              <w:fldChar w:fldCharType="separate"/>
            </w:r>
            <w:r w:rsidR="009A76F4">
              <w:rPr>
                <w:noProof/>
                <w:webHidden/>
              </w:rPr>
              <w:t>28</w:t>
            </w:r>
            <w:r w:rsidR="009A76F4">
              <w:rPr>
                <w:noProof/>
                <w:webHidden/>
              </w:rPr>
              <w:fldChar w:fldCharType="end"/>
            </w:r>
          </w:hyperlink>
        </w:p>
        <w:p w14:paraId="569C1094" w14:textId="3CFA4C58" w:rsidR="009A76F4" w:rsidRDefault="00733E8D">
          <w:pPr>
            <w:pStyle w:val="TOC2"/>
            <w:tabs>
              <w:tab w:val="left" w:pos="1540"/>
            </w:tabs>
            <w:rPr>
              <w:rFonts w:eastAsiaTheme="minorEastAsia"/>
              <w:noProof/>
              <w:color w:val="auto"/>
              <w:sz w:val="22"/>
              <w:szCs w:val="22"/>
              <w:lang w:eastAsia="en-AU"/>
            </w:rPr>
          </w:pPr>
          <w:hyperlink w:anchor="_Toc80965322" w:history="1">
            <w:r w:rsidR="009A76F4" w:rsidRPr="00EC6D35">
              <w:rPr>
                <w:rStyle w:val="Hyperlink"/>
                <w:noProof/>
              </w:rPr>
              <w:t>Appendix C</w:t>
            </w:r>
            <w:r w:rsidR="009A76F4">
              <w:rPr>
                <w:rFonts w:eastAsiaTheme="minorEastAsia"/>
                <w:noProof/>
                <w:color w:val="auto"/>
                <w:sz w:val="22"/>
                <w:szCs w:val="22"/>
                <w:lang w:eastAsia="en-AU"/>
              </w:rPr>
              <w:tab/>
            </w:r>
            <w:r w:rsidR="009A76F4" w:rsidRPr="00EC6D35">
              <w:rPr>
                <w:rStyle w:val="Hyperlink"/>
                <w:noProof/>
                <w:lang w:eastAsia="en-AU"/>
              </w:rPr>
              <w:t>Regulatory Burden Estimate – Data and Assumptions</w:t>
            </w:r>
            <w:r w:rsidR="009A76F4">
              <w:rPr>
                <w:noProof/>
                <w:webHidden/>
              </w:rPr>
              <w:tab/>
            </w:r>
            <w:r w:rsidR="009A76F4">
              <w:rPr>
                <w:noProof/>
                <w:webHidden/>
              </w:rPr>
              <w:fldChar w:fldCharType="begin"/>
            </w:r>
            <w:r w:rsidR="009A76F4">
              <w:rPr>
                <w:noProof/>
                <w:webHidden/>
              </w:rPr>
              <w:instrText xml:space="preserve"> PAGEREF _Toc80965322 \h </w:instrText>
            </w:r>
            <w:r w:rsidR="009A76F4">
              <w:rPr>
                <w:noProof/>
                <w:webHidden/>
              </w:rPr>
            </w:r>
            <w:r w:rsidR="009A76F4">
              <w:rPr>
                <w:noProof/>
                <w:webHidden/>
              </w:rPr>
              <w:fldChar w:fldCharType="separate"/>
            </w:r>
            <w:r w:rsidR="009A76F4">
              <w:rPr>
                <w:noProof/>
                <w:webHidden/>
              </w:rPr>
              <w:t>29</w:t>
            </w:r>
            <w:r w:rsidR="009A76F4">
              <w:rPr>
                <w:noProof/>
                <w:webHidden/>
              </w:rPr>
              <w:fldChar w:fldCharType="end"/>
            </w:r>
          </w:hyperlink>
        </w:p>
        <w:p w14:paraId="3C34D9DA" w14:textId="111A66A0" w:rsidR="009A76F4" w:rsidRDefault="00733E8D">
          <w:pPr>
            <w:pStyle w:val="TOC2"/>
            <w:tabs>
              <w:tab w:val="left" w:pos="1540"/>
            </w:tabs>
            <w:rPr>
              <w:rFonts w:eastAsiaTheme="minorEastAsia"/>
              <w:noProof/>
              <w:color w:val="auto"/>
              <w:sz w:val="22"/>
              <w:szCs w:val="22"/>
              <w:lang w:eastAsia="en-AU"/>
            </w:rPr>
          </w:pPr>
          <w:hyperlink w:anchor="_Toc80965323" w:history="1">
            <w:r w:rsidR="009A76F4" w:rsidRPr="00EC6D35">
              <w:rPr>
                <w:rStyle w:val="Hyperlink"/>
                <w:noProof/>
              </w:rPr>
              <w:t>Appendix D</w:t>
            </w:r>
            <w:r w:rsidR="009A76F4">
              <w:rPr>
                <w:rFonts w:eastAsiaTheme="minorEastAsia"/>
                <w:noProof/>
                <w:color w:val="auto"/>
                <w:sz w:val="22"/>
                <w:szCs w:val="22"/>
                <w:lang w:eastAsia="en-AU"/>
              </w:rPr>
              <w:tab/>
            </w:r>
            <w:r w:rsidR="009A76F4" w:rsidRPr="00EC6D35">
              <w:rPr>
                <w:rStyle w:val="Hyperlink"/>
                <w:noProof/>
              </w:rPr>
              <w:t>Benefits to the Broader Australian Economy and the Australian Cruise Industry</w:t>
            </w:r>
            <w:r w:rsidR="009A76F4">
              <w:rPr>
                <w:noProof/>
                <w:webHidden/>
              </w:rPr>
              <w:tab/>
            </w:r>
            <w:r w:rsidR="009A76F4">
              <w:rPr>
                <w:noProof/>
                <w:webHidden/>
              </w:rPr>
              <w:fldChar w:fldCharType="begin"/>
            </w:r>
            <w:r w:rsidR="009A76F4">
              <w:rPr>
                <w:noProof/>
                <w:webHidden/>
              </w:rPr>
              <w:instrText xml:space="preserve"> PAGEREF _Toc80965323 \h </w:instrText>
            </w:r>
            <w:r w:rsidR="009A76F4">
              <w:rPr>
                <w:noProof/>
                <w:webHidden/>
              </w:rPr>
            </w:r>
            <w:r w:rsidR="009A76F4">
              <w:rPr>
                <w:noProof/>
                <w:webHidden/>
              </w:rPr>
              <w:fldChar w:fldCharType="separate"/>
            </w:r>
            <w:r w:rsidR="009A76F4">
              <w:rPr>
                <w:noProof/>
                <w:webHidden/>
              </w:rPr>
              <w:t>33</w:t>
            </w:r>
            <w:r w:rsidR="009A76F4">
              <w:rPr>
                <w:noProof/>
                <w:webHidden/>
              </w:rPr>
              <w:fldChar w:fldCharType="end"/>
            </w:r>
          </w:hyperlink>
        </w:p>
        <w:p w14:paraId="78F6341B" w14:textId="524F1177" w:rsidR="00EA3D53" w:rsidRDefault="0075234D">
          <w:pPr>
            <w:rPr>
              <w:b/>
              <w:bCs/>
              <w:noProof/>
            </w:rPr>
          </w:pPr>
          <w:r w:rsidRPr="00183564">
            <w:rPr>
              <w:b/>
              <w:bCs/>
              <w:noProof/>
            </w:rPr>
            <w:fldChar w:fldCharType="end"/>
          </w:r>
        </w:p>
      </w:sdtContent>
    </w:sdt>
    <w:p w14:paraId="55CD62A2" w14:textId="77777777" w:rsidR="00AC3F43" w:rsidRDefault="00AC3F43">
      <w:pPr>
        <w:sectPr w:rsidR="00AC3F43" w:rsidSect="00753174">
          <w:headerReference w:type="default" r:id="rId23"/>
          <w:footerReference w:type="default" r:id="rId24"/>
          <w:headerReference w:type="first" r:id="rId25"/>
          <w:footerReference w:type="first" r:id="rId26"/>
          <w:pgSz w:w="11906" w:h="16838"/>
          <w:pgMar w:top="1559" w:right="851" w:bottom="1701" w:left="851" w:header="567" w:footer="57" w:gutter="0"/>
          <w:cols w:space="708"/>
          <w:docGrid w:linePitch="360"/>
        </w:sectPr>
      </w:pPr>
    </w:p>
    <w:p w14:paraId="23B432A7" w14:textId="4A11F69C" w:rsidR="00C51551" w:rsidRPr="00183564" w:rsidRDefault="00C51551" w:rsidP="00A05C8F">
      <w:pPr>
        <w:pStyle w:val="Heading2"/>
      </w:pPr>
      <w:bookmarkStart w:id="2" w:name="_Toc80965290"/>
      <w:r w:rsidRPr="00183564">
        <w:lastRenderedPageBreak/>
        <w:t>Executive Summary</w:t>
      </w:r>
      <w:bookmarkEnd w:id="2"/>
      <w:r w:rsidRPr="00183564">
        <w:t xml:space="preserve"> </w:t>
      </w:r>
    </w:p>
    <w:p w14:paraId="6560CA67" w14:textId="5A1EEC40" w:rsidR="00A41B45" w:rsidRDefault="00A41B45" w:rsidP="00A41B45">
      <w:r>
        <w:t xml:space="preserve">This Regulatory Impact Assessment </w:t>
      </w:r>
      <w:r w:rsidR="00F74AFC">
        <w:t>addresses priority issues with the</w:t>
      </w:r>
      <w:r>
        <w:t xml:space="preserve"> Commonwealth biosecurity legislation </w:t>
      </w:r>
      <w:r w:rsidR="00F74AFC">
        <w:t xml:space="preserve">identified </w:t>
      </w:r>
      <w:r>
        <w:t xml:space="preserve">in the context of the COVID-19 pandemic. The emergence and global spread of the COVID-19 pandemic since early 2020 has tested Australia’s human biosecurity systems in an unprecedented way. </w:t>
      </w:r>
    </w:p>
    <w:p w14:paraId="08439A68" w14:textId="4E464F9E" w:rsidR="0019740E" w:rsidRDefault="00A41B45" w:rsidP="00A41B45">
      <w:r>
        <w:t xml:space="preserve">Significant scrutiny has been focussed on the laws underpinning biosecurity, and in particular the ability of the Commonwealth to respond under the </w:t>
      </w:r>
      <w:r w:rsidRPr="001A29A2">
        <w:rPr>
          <w:i/>
        </w:rPr>
        <w:t>Biosecurity Act 2015</w:t>
      </w:r>
      <w:r>
        <w:t>.</w:t>
      </w:r>
      <w:r w:rsidR="00B22B8F">
        <w:t xml:space="preserve"> </w:t>
      </w:r>
      <w:r>
        <w:t xml:space="preserve">The berthing of the Ruby Princess cruise ship in Sydney on </w:t>
      </w:r>
      <w:r w:rsidR="00B0117B">
        <w:t>19 </w:t>
      </w:r>
      <w:r>
        <w:t>March 2020 represented a significant</w:t>
      </w:r>
      <w:r w:rsidR="00197BA2">
        <w:t xml:space="preserve"> biosecurity issue</w:t>
      </w:r>
      <w:r w:rsidR="008D3BA6">
        <w:t>.</w:t>
      </w:r>
      <w:r>
        <w:t xml:space="preserve"> </w:t>
      </w:r>
    </w:p>
    <w:p w14:paraId="177EA35D" w14:textId="70B717D2" w:rsidR="00470A29" w:rsidRDefault="00365260" w:rsidP="00470A29">
      <w:pPr>
        <w:pStyle w:val="Heading3"/>
      </w:pPr>
      <w:bookmarkStart w:id="3" w:name="_Toc80965291"/>
      <w:r>
        <w:t>T</w:t>
      </w:r>
      <w:r w:rsidR="00470A29">
        <w:t>he problem</w:t>
      </w:r>
      <w:bookmarkEnd w:id="3"/>
    </w:p>
    <w:p w14:paraId="6466254A" w14:textId="194BC53F" w:rsidR="00716A5F" w:rsidRPr="00737F35" w:rsidRDefault="00457C5B" w:rsidP="00716A5F">
      <w:r w:rsidRPr="00457C5B">
        <w:t>Independent reviews of the Ruby Princess incident have identified key areas for targeted reform to the Biosecurity Act to provide a better management framework for human biosecurity risks onboard vessels and aircraft entering Australia.</w:t>
      </w:r>
      <w:r>
        <w:t xml:space="preserve"> </w:t>
      </w:r>
      <w:r w:rsidR="00A41B45">
        <w:t>These reviews include the N</w:t>
      </w:r>
      <w:r w:rsidR="0019740E">
        <w:t xml:space="preserve">ew </w:t>
      </w:r>
      <w:r w:rsidR="00A41B45">
        <w:t>S</w:t>
      </w:r>
      <w:r w:rsidR="0019740E">
        <w:t xml:space="preserve">outh </w:t>
      </w:r>
      <w:r w:rsidR="00A41B45">
        <w:t>W</w:t>
      </w:r>
      <w:r w:rsidR="0019740E">
        <w:t>ales</w:t>
      </w:r>
      <w:r w:rsidR="00A41B45">
        <w:t xml:space="preserve"> </w:t>
      </w:r>
      <w:r w:rsidR="00A41B45" w:rsidRPr="0019740E">
        <w:rPr>
          <w:i/>
        </w:rPr>
        <w:t>Special Commission of Inquiry into the Ruby Princess Cruise Ship Incident</w:t>
      </w:r>
      <w:r w:rsidR="00A41B45">
        <w:t xml:space="preserve"> Report and the Inspector-General of Biosecurity Review </w:t>
      </w:r>
      <w:r w:rsidR="00A41B45" w:rsidRPr="00122060">
        <w:rPr>
          <w:i/>
        </w:rPr>
        <w:t xml:space="preserve">Confidence testing for at-border delivery of critical human biosecurity functions - Ruby Princess cruise ship </w:t>
      </w:r>
      <w:r w:rsidR="00A41B45" w:rsidRPr="00122060">
        <w:rPr>
          <w:i/>
          <w:iCs/>
        </w:rPr>
        <w:t>incident</w:t>
      </w:r>
      <w:r w:rsidR="00122060">
        <w:t>.</w:t>
      </w:r>
      <w:r w:rsidR="0019740E">
        <w:t xml:space="preserve"> Both reviews recommended changes to the scheme set out in the </w:t>
      </w:r>
      <w:r w:rsidR="0019740E">
        <w:rPr>
          <w:i/>
          <w:iCs/>
        </w:rPr>
        <w:t xml:space="preserve">Biosecurity Act 2015 </w:t>
      </w:r>
      <w:r w:rsidR="00737F35">
        <w:t xml:space="preserve">for </w:t>
      </w:r>
      <w:r w:rsidR="00790638">
        <w:t>managing</w:t>
      </w:r>
      <w:r w:rsidR="00737F35">
        <w:t xml:space="preserve"> human health risks for incoming passengers to Australia.</w:t>
      </w:r>
    </w:p>
    <w:p w14:paraId="133525A9" w14:textId="77777777" w:rsidR="00DF36E4" w:rsidRDefault="00DF36E4" w:rsidP="00DF36E4">
      <w:r>
        <w:t>The recommendations from these reviews and the lessons learnt through the pandemic response to COVID-19 have highlighted specific issues with the Biosecurity Act relating to:</w:t>
      </w:r>
    </w:p>
    <w:p w14:paraId="78F277CB" w14:textId="7A693BA8" w:rsidR="00DF36E4" w:rsidRDefault="00DF36E4" w:rsidP="002C7C1B">
      <w:pPr>
        <w:pStyle w:val="ListParagraph"/>
        <w:numPr>
          <w:ilvl w:val="0"/>
          <w:numId w:val="28"/>
        </w:numPr>
        <w:ind w:left="714" w:hanging="357"/>
      </w:pPr>
      <w:r>
        <w:t xml:space="preserve">The </w:t>
      </w:r>
      <w:r w:rsidR="00197BA2">
        <w:t xml:space="preserve">operation </w:t>
      </w:r>
      <w:r>
        <w:t>of pratique provisions within the Biosecurity Act</w:t>
      </w:r>
    </w:p>
    <w:p w14:paraId="08EA97D1" w14:textId="2CC387B0" w:rsidR="00DF36E4" w:rsidRDefault="00DF36E4" w:rsidP="002C7C1B">
      <w:pPr>
        <w:pStyle w:val="ListParagraph"/>
        <w:numPr>
          <w:ilvl w:val="0"/>
          <w:numId w:val="28"/>
        </w:numPr>
        <w:ind w:left="714" w:hanging="357"/>
      </w:pPr>
      <w:r>
        <w:t>Pre-arrival reporting obligations and the importance of human health assessments prior to entry to a port</w:t>
      </w:r>
    </w:p>
    <w:p w14:paraId="5BFC8F33" w14:textId="3222A560" w:rsidR="00D37764" w:rsidRDefault="00DF36E4" w:rsidP="002C7C1B">
      <w:pPr>
        <w:pStyle w:val="ListParagraph"/>
        <w:numPr>
          <w:ilvl w:val="0"/>
          <w:numId w:val="28"/>
        </w:numPr>
        <w:ind w:left="714" w:hanging="357"/>
      </w:pPr>
      <w:r>
        <w:t xml:space="preserve">Powers to manage human health of groups of </w:t>
      </w:r>
      <w:r w:rsidR="00197BA2">
        <w:t xml:space="preserve">arriving </w:t>
      </w:r>
      <w:r>
        <w:t>passengers.</w:t>
      </w:r>
    </w:p>
    <w:p w14:paraId="40783D53" w14:textId="6453AD23" w:rsidR="00A333C5" w:rsidRDefault="00A333C5" w:rsidP="005479CF">
      <w:pPr>
        <w:pStyle w:val="Heading3"/>
      </w:pPr>
      <w:bookmarkStart w:id="4" w:name="_Toc80965292"/>
      <w:r>
        <w:t>Need for action</w:t>
      </w:r>
      <w:bookmarkEnd w:id="4"/>
    </w:p>
    <w:p w14:paraId="6AB9076A" w14:textId="716752DA" w:rsidR="002E1908" w:rsidRDefault="002E1908" w:rsidP="002E1908">
      <w:pPr>
        <w:pStyle w:val="BodyText"/>
      </w:pPr>
      <w:r>
        <w:t xml:space="preserve">The regulatory actions being assessed </w:t>
      </w:r>
      <w:r w:rsidRPr="00477236">
        <w:t xml:space="preserve">address the risk of listed human diseases entering Australian </w:t>
      </w:r>
      <w:r w:rsidR="008B080D">
        <w:t>t</w:t>
      </w:r>
      <w:r w:rsidRPr="00477236">
        <w:t>erritory through international vessel</w:t>
      </w:r>
      <w:r>
        <w:t xml:space="preserve"> and aircraft</w:t>
      </w:r>
      <w:r w:rsidRPr="00477236">
        <w:t xml:space="preserve"> arrivals and would apply in the context of the current COVID-19 pandemic, while also providing flexibility to manage infectious disease risks that Australia may face in the future</w:t>
      </w:r>
      <w:r>
        <w:t>. Specifically, the objectives of the reforms being assessed are to:</w:t>
      </w:r>
    </w:p>
    <w:p w14:paraId="575E5A87" w14:textId="08D00B75" w:rsidR="002E1908" w:rsidRDefault="002E1908" w:rsidP="002E1908">
      <w:pPr>
        <w:pStyle w:val="BodyText"/>
        <w:numPr>
          <w:ilvl w:val="0"/>
          <w:numId w:val="37"/>
        </w:numPr>
      </w:pPr>
      <w:r w:rsidRPr="002A1AA4">
        <w:t xml:space="preserve">better support human health risk assessments and operational responses to the threat of COVID-19 and other </w:t>
      </w:r>
      <w:r>
        <w:t>l</w:t>
      </w:r>
      <w:r w:rsidRPr="002A1AA4">
        <w:t xml:space="preserve">isted </w:t>
      </w:r>
      <w:r>
        <w:t>h</w:t>
      </w:r>
      <w:r w:rsidRPr="002A1AA4">
        <w:t xml:space="preserve">uman </w:t>
      </w:r>
      <w:r>
        <w:t>d</w:t>
      </w:r>
      <w:r w:rsidRPr="002A1AA4">
        <w:t>iseases</w:t>
      </w:r>
      <w:r>
        <w:t xml:space="preserve"> </w:t>
      </w:r>
      <w:r w:rsidR="00D81240">
        <w:t>o</w:t>
      </w:r>
      <w:r>
        <w:t>n vessels and aircraft entering Australian territory.</w:t>
      </w:r>
    </w:p>
    <w:p w14:paraId="59C3D1E5" w14:textId="762F2BC3" w:rsidR="002E1908" w:rsidRPr="00AB7748" w:rsidRDefault="002E1908" w:rsidP="002E1908">
      <w:pPr>
        <w:pStyle w:val="BodyText"/>
        <w:numPr>
          <w:ilvl w:val="0"/>
          <w:numId w:val="37"/>
        </w:numPr>
      </w:pPr>
      <w:r>
        <w:t>support</w:t>
      </w:r>
      <w:r w:rsidRPr="00F16CEB">
        <w:t xml:space="preserve"> the national COVID-19 economic recovery, including </w:t>
      </w:r>
      <w:r>
        <w:t xml:space="preserve">steps </w:t>
      </w:r>
      <w:r w:rsidRPr="00F16CEB">
        <w:t>towards the resumption of the cruise ship industry</w:t>
      </w:r>
      <w:r w:rsidR="0097250F">
        <w:t xml:space="preserve"> in Australia</w:t>
      </w:r>
      <w:r w:rsidRPr="00F16CEB">
        <w:t>, and shoring up the human health biosecurity framework into the future.</w:t>
      </w:r>
    </w:p>
    <w:p w14:paraId="1F4FAEE2" w14:textId="1AC9BC85" w:rsidR="00E77514" w:rsidRPr="00E77514" w:rsidRDefault="00E77514" w:rsidP="00E77514">
      <w:pPr>
        <w:pStyle w:val="BodyText"/>
        <w:rPr>
          <w:bCs/>
        </w:rPr>
      </w:pPr>
      <w:r w:rsidRPr="00E77514">
        <w:rPr>
          <w:bCs/>
        </w:rPr>
        <w:t>The</w:t>
      </w:r>
      <w:r>
        <w:rPr>
          <w:bCs/>
        </w:rPr>
        <w:t xml:space="preserve"> independent</w:t>
      </w:r>
      <w:r w:rsidRPr="00E77514">
        <w:rPr>
          <w:bCs/>
        </w:rPr>
        <w:t xml:space="preserve"> reviews raise</w:t>
      </w:r>
      <w:r>
        <w:rPr>
          <w:bCs/>
        </w:rPr>
        <w:t>d</w:t>
      </w:r>
      <w:r w:rsidRPr="00E77514">
        <w:rPr>
          <w:bCs/>
        </w:rPr>
        <w:t xml:space="preserve"> concerns that issues identified through the arrival of the Ruby Princess cruise ship at the Port of Sydney on 19 March 2020 could apply in similar measure to other cruise ships, in other ports, or for entirely different biosecurity risk pathways. Of particular concern are risk circumstances where the probability of occurrence may be assessed to be </w:t>
      </w:r>
      <w:r w:rsidR="00D658C6" w:rsidRPr="00E77514">
        <w:rPr>
          <w:bCs/>
        </w:rPr>
        <w:t>low,</w:t>
      </w:r>
      <w:r w:rsidRPr="00E77514">
        <w:rPr>
          <w:bCs/>
        </w:rPr>
        <w:t xml:space="preserve"> but the consequences of biosecurity failure are potentially large or extreme.</w:t>
      </w:r>
    </w:p>
    <w:p w14:paraId="6680549B" w14:textId="643AB093" w:rsidR="00D32B3B" w:rsidRPr="003402A1" w:rsidRDefault="00D32B3B" w:rsidP="003402A1">
      <w:pPr>
        <w:pStyle w:val="BodyText"/>
      </w:pPr>
      <w:r w:rsidRPr="00183564">
        <w:rPr>
          <w:rFonts w:eastAsiaTheme="majorEastAsia" w:cs="Arial"/>
          <w:bCs/>
        </w:rPr>
        <w:t>In the circumstances of the emerging pandemic in early 2020, the government undertook several responses. Regular jurisdictional meetings were introduced and new human health processes for commercial vessels were implemented. While these responses improve the management of biosecurity risks, they do not solve the legislative gaps identified in the reviews so</w:t>
      </w:r>
      <w:r w:rsidRPr="00183564">
        <w:t xml:space="preserve"> the need for legislative amendments remains. Without the proposed amendments, Australia’s industries and people remain at risk, particularly upon the recommencement of the cruise industry.</w:t>
      </w:r>
    </w:p>
    <w:p w14:paraId="43EC5581" w14:textId="1B1BDEFE" w:rsidR="00A333C5" w:rsidRDefault="00A333C5" w:rsidP="005479CF">
      <w:pPr>
        <w:pStyle w:val="Heading3"/>
      </w:pPr>
      <w:bookmarkStart w:id="5" w:name="_Toc80965293"/>
      <w:r>
        <w:lastRenderedPageBreak/>
        <w:t>Options</w:t>
      </w:r>
      <w:bookmarkEnd w:id="5"/>
    </w:p>
    <w:p w14:paraId="1B2E641A" w14:textId="15F811D4" w:rsidR="00A333C5" w:rsidRDefault="00850467" w:rsidP="00A333C5">
      <w:pPr>
        <w:pStyle w:val="BodyText"/>
      </w:pPr>
      <w:r w:rsidRPr="00850467">
        <w:t>This RIS outlines three policy options for Australian Government action</w:t>
      </w:r>
      <w:r>
        <w:t>:</w:t>
      </w:r>
    </w:p>
    <w:p w14:paraId="2702291A" w14:textId="64106585" w:rsidR="00850467" w:rsidRDefault="002E1FE4" w:rsidP="00CD4EB4">
      <w:pPr>
        <w:pStyle w:val="BodyText"/>
        <w:numPr>
          <w:ilvl w:val="0"/>
          <w:numId w:val="24"/>
        </w:numPr>
      </w:pPr>
      <w:r>
        <w:t xml:space="preserve">Status </w:t>
      </w:r>
      <w:r w:rsidR="009E1169">
        <w:t xml:space="preserve">quo - </w:t>
      </w:r>
      <w:r w:rsidR="00CD4EB4" w:rsidRPr="00CD4EB4">
        <w:t xml:space="preserve">The Biosecurity Act includes an existing scheme for managing human biosecurity risks. The scheme allows biosecurity officers to refuse to grant pratique where </w:t>
      </w:r>
      <w:r w:rsidR="00585A25">
        <w:t>l</w:t>
      </w:r>
      <w:r w:rsidR="00CD4EB4" w:rsidRPr="00CD4EB4">
        <w:t xml:space="preserve">isted </w:t>
      </w:r>
      <w:r w:rsidR="00585A25">
        <w:t>h</w:t>
      </w:r>
      <w:r w:rsidR="00CD4EB4" w:rsidRPr="00CD4EB4">
        <w:t xml:space="preserve">uman </w:t>
      </w:r>
      <w:r w:rsidR="00585A25">
        <w:t>d</w:t>
      </w:r>
      <w:r w:rsidR="00CD4EB4" w:rsidRPr="00CD4EB4">
        <w:t>iseases have been reported, and to issue H</w:t>
      </w:r>
      <w:r w:rsidR="00CD4EB4">
        <w:t xml:space="preserve">uman </w:t>
      </w:r>
      <w:r w:rsidR="00CD4EB4" w:rsidRPr="00CD4EB4">
        <w:t>B</w:t>
      </w:r>
      <w:r w:rsidR="00CD4EB4">
        <w:t xml:space="preserve">iosecurity </w:t>
      </w:r>
      <w:r w:rsidR="00CD4EB4" w:rsidRPr="00CD4EB4">
        <w:t>C</w:t>
      </w:r>
      <w:r w:rsidR="00CD4EB4">
        <w:t xml:space="preserve">ontrol </w:t>
      </w:r>
      <w:r w:rsidR="00CD4EB4" w:rsidRPr="00CD4EB4">
        <w:t>O</w:t>
      </w:r>
      <w:r w:rsidR="00CD4EB4">
        <w:t>rder</w:t>
      </w:r>
      <w:r w:rsidR="00CD4EB4" w:rsidRPr="00CD4EB4">
        <w:t>s to manage individuals with symptoms of</w:t>
      </w:r>
      <w:r w:rsidR="00EF6F20">
        <w:t>,</w:t>
      </w:r>
      <w:r w:rsidR="00CD4EB4" w:rsidRPr="00CD4EB4">
        <w:t xml:space="preserve"> or exposure to</w:t>
      </w:r>
      <w:r w:rsidR="00EF6F20">
        <w:t>,</w:t>
      </w:r>
      <w:r w:rsidR="00CD4EB4" w:rsidRPr="00CD4EB4">
        <w:t xml:space="preserve"> listed </w:t>
      </w:r>
      <w:r w:rsidR="00D658C6">
        <w:t xml:space="preserve">human </w:t>
      </w:r>
      <w:r w:rsidR="00CD4EB4" w:rsidRPr="00CD4EB4">
        <w:t xml:space="preserve">diseases. </w:t>
      </w:r>
      <w:r w:rsidR="00CD4EB4">
        <w:t xml:space="preserve">Under the status quo, </w:t>
      </w:r>
      <w:r w:rsidR="00F31F4C">
        <w:t>the Commonwealth’s human biosecurity legislative powers remain limited. Ex</w:t>
      </w:r>
      <w:r w:rsidR="00CD4EB4">
        <w:t xml:space="preserve">tra human health reporting and risk assessment criteria cannot be enforced, and there is too heavy a reliance on state and territory public health powers to respond to risks identified </w:t>
      </w:r>
      <w:r w:rsidR="00671FC2">
        <w:t xml:space="preserve">at </w:t>
      </w:r>
      <w:r w:rsidR="00CD4EB4">
        <w:t xml:space="preserve">the </w:t>
      </w:r>
      <w:r w:rsidR="00671FC2">
        <w:t xml:space="preserve">first </w:t>
      </w:r>
      <w:r w:rsidR="00CD4EB4">
        <w:t xml:space="preserve">point of entry. The Australian community will continue to be at a heightened risk of exposure to COVID-19 and other </w:t>
      </w:r>
      <w:r w:rsidR="00585A25">
        <w:t>l</w:t>
      </w:r>
      <w:r w:rsidR="00CD4EB4">
        <w:t xml:space="preserve">isted </w:t>
      </w:r>
      <w:r w:rsidR="00585A25">
        <w:t>h</w:t>
      </w:r>
      <w:r w:rsidR="00CD4EB4">
        <w:t xml:space="preserve">uman </w:t>
      </w:r>
      <w:r w:rsidR="00585A25">
        <w:t>d</w:t>
      </w:r>
      <w:r w:rsidR="00CD4EB4">
        <w:t xml:space="preserve">iseases through commercial and cruise vessel and aircraft operations. </w:t>
      </w:r>
    </w:p>
    <w:p w14:paraId="2CCE107F" w14:textId="0FFD7E86" w:rsidR="00F31F4C" w:rsidRDefault="00CA5D12" w:rsidP="00C86BD7">
      <w:pPr>
        <w:pStyle w:val="BodyText"/>
        <w:numPr>
          <w:ilvl w:val="0"/>
          <w:numId w:val="24"/>
        </w:numPr>
      </w:pPr>
      <w:r w:rsidRPr="00CA5D12">
        <w:t>Emergency powers and legislative instruments</w:t>
      </w:r>
      <w:r>
        <w:t xml:space="preserve"> - </w:t>
      </w:r>
      <w:r w:rsidRPr="00CA5D12">
        <w:t xml:space="preserve">Option 2 would seek to use existing legislative authority to manage relevant human biosecurity risk, including legislative instruments and the Biosecurity Regulation 2016 and the Biosecurity Human Health Regulation 2016. A short-term solution could include use of emergency powers while </w:t>
      </w:r>
      <w:r w:rsidR="00DE3861">
        <w:t>a</w:t>
      </w:r>
      <w:r w:rsidRPr="00CA5D12">
        <w:t xml:space="preserve"> human biosecurity emergency is declared.</w:t>
      </w:r>
      <w:r>
        <w:t xml:space="preserve"> This option does not fully address identified issues relating to preparedness for future emergence of novel illnesses and pandemics. It may generate uncertainty for regulated industries and for the interaction of Commonwealth agencies with state and territory counterparts. </w:t>
      </w:r>
    </w:p>
    <w:p w14:paraId="2844FC8B" w14:textId="1AB1E0B7" w:rsidR="00197010" w:rsidRPr="00A333C5" w:rsidRDefault="00C30037" w:rsidP="00C86BD7">
      <w:pPr>
        <w:pStyle w:val="BodyText"/>
        <w:numPr>
          <w:ilvl w:val="0"/>
          <w:numId w:val="24"/>
        </w:numPr>
      </w:pPr>
      <w:r w:rsidRPr="00C30037">
        <w:t>Amendments to the Biosecurity Act</w:t>
      </w:r>
      <w:r>
        <w:t xml:space="preserve"> - </w:t>
      </w:r>
      <w:r w:rsidRPr="00C30037">
        <w:t xml:space="preserve">Option 3 would seek to amend the Biosecurity Act and associated </w:t>
      </w:r>
      <w:r w:rsidR="00A245A7">
        <w:t>regulations</w:t>
      </w:r>
      <w:r w:rsidRPr="00C30037">
        <w:t xml:space="preserve"> to address the identified risk of </w:t>
      </w:r>
      <w:r w:rsidR="00585A25">
        <w:t>l</w:t>
      </w:r>
      <w:r w:rsidRPr="00C30037">
        <w:t xml:space="preserve">isted </w:t>
      </w:r>
      <w:r w:rsidR="00585A25">
        <w:t>h</w:t>
      </w:r>
      <w:r w:rsidRPr="00C30037">
        <w:t xml:space="preserve">uman </w:t>
      </w:r>
      <w:r w:rsidR="00585A25">
        <w:t>d</w:t>
      </w:r>
      <w:r w:rsidRPr="00C30037">
        <w:t>iseases entering Australia through international vessel arrivals. The specific amendment proposals</w:t>
      </w:r>
      <w:r>
        <w:t xml:space="preserve"> </w:t>
      </w:r>
      <w:proofErr w:type="gramStart"/>
      <w:r>
        <w:t>include:</w:t>
      </w:r>
      <w:proofErr w:type="gramEnd"/>
      <w:r>
        <w:t xml:space="preserve"> </w:t>
      </w:r>
      <w:r w:rsidR="00B0564F">
        <w:t>multiple pre-arrival reporting requirements</w:t>
      </w:r>
      <w:r w:rsidR="00A245A7">
        <w:t xml:space="preserve"> for</w:t>
      </w:r>
      <w:r w:rsidR="00B54CF6">
        <w:t xml:space="preserve"> aircraft and vessels</w:t>
      </w:r>
      <w:r w:rsidR="00B0564F">
        <w:t xml:space="preserve">; </w:t>
      </w:r>
      <w:r w:rsidR="00453689">
        <w:t xml:space="preserve">requirements to update pre-arrival reporting; </w:t>
      </w:r>
      <w:r w:rsidR="000C6611">
        <w:t xml:space="preserve">new and increased penalties for </w:t>
      </w:r>
      <w:r w:rsidR="007451A1">
        <w:t xml:space="preserve">non-compliance with pratique and reporting requirements; and a new </w:t>
      </w:r>
      <w:r w:rsidR="00197BA2">
        <w:t xml:space="preserve">mechanism </w:t>
      </w:r>
      <w:r w:rsidR="007451A1">
        <w:t xml:space="preserve">to issue </w:t>
      </w:r>
      <w:r w:rsidR="00CB09AF">
        <w:t xml:space="preserve">human biosecurity </w:t>
      </w:r>
      <w:r w:rsidR="00B54CF6">
        <w:t xml:space="preserve">group directions </w:t>
      </w:r>
      <w:r w:rsidR="00CB09AF">
        <w:t>to groups of people.</w:t>
      </w:r>
    </w:p>
    <w:p w14:paraId="49753554" w14:textId="5BD2E352" w:rsidR="005479CF" w:rsidRDefault="005479CF" w:rsidP="005479CF">
      <w:pPr>
        <w:pStyle w:val="Heading3"/>
      </w:pPr>
      <w:bookmarkStart w:id="6" w:name="_Toc80965294"/>
      <w:r>
        <w:t>Amending the Biosecurity Act – the preferred option</w:t>
      </w:r>
      <w:bookmarkEnd w:id="6"/>
    </w:p>
    <w:p w14:paraId="14AF10B3" w14:textId="350694CA" w:rsidR="00F4222C" w:rsidRPr="00737F35" w:rsidRDefault="00F4222C" w:rsidP="00F4222C">
      <w:r>
        <w:t>Th</w:t>
      </w:r>
      <w:r w:rsidR="00B85857">
        <w:t>e</w:t>
      </w:r>
      <w:r>
        <w:t xml:space="preserve"> targeted reform </w:t>
      </w:r>
      <w:r w:rsidR="00F84EDB">
        <w:t xml:space="preserve">proposed in </w:t>
      </w:r>
      <w:r w:rsidR="00A162B4">
        <w:t>Option</w:t>
      </w:r>
      <w:r w:rsidR="00F84EDB">
        <w:t xml:space="preserve"> 3 </w:t>
      </w:r>
      <w:r>
        <w:t>represents a critical step towards the national COVID-19 economic recovery, including towards the resumption of the cruise ship industry</w:t>
      </w:r>
      <w:r w:rsidR="0097250F">
        <w:t xml:space="preserve"> in Australia</w:t>
      </w:r>
      <w:r>
        <w:t xml:space="preserve">, and shoring up the human health biosecurity framework into the future. The proposed legislative amendments aim to address the risk of </w:t>
      </w:r>
      <w:r w:rsidR="00585A25">
        <w:t>l</w:t>
      </w:r>
      <w:r>
        <w:t xml:space="preserve">isted </w:t>
      </w:r>
      <w:r w:rsidR="00585A25">
        <w:t>h</w:t>
      </w:r>
      <w:r>
        <w:t xml:space="preserve">uman </w:t>
      </w:r>
      <w:r w:rsidR="00585A25">
        <w:t>d</w:t>
      </w:r>
      <w:r>
        <w:t xml:space="preserve">iseases entering Australian </w:t>
      </w:r>
      <w:r w:rsidR="008B080D">
        <w:t>t</w:t>
      </w:r>
      <w:r>
        <w:t>erritory through international vessel arrivals and would apply in the context of the current COVID-19 pandemic, while also providing flexibility to manage infectious disease risks that Australia may face in the future.</w:t>
      </w:r>
    </w:p>
    <w:p w14:paraId="5D6D65D1" w14:textId="2018E171" w:rsidR="00D37764" w:rsidRDefault="003A243B" w:rsidP="00A41B45">
      <w:r>
        <w:t>A key</w:t>
      </w:r>
      <w:r w:rsidR="00B46B47" w:rsidRPr="00B46B47">
        <w:t xml:space="preserve"> benefit expected to materialise </w:t>
      </w:r>
      <w:r w:rsidR="005B2EC6">
        <w:t>from</w:t>
      </w:r>
      <w:r w:rsidR="00B46B47" w:rsidRPr="00B46B47">
        <w:t xml:space="preserve"> the </w:t>
      </w:r>
      <w:r w:rsidR="003A32C5">
        <w:t>preferred option</w:t>
      </w:r>
      <w:r w:rsidR="00B46B47" w:rsidRPr="00B46B47">
        <w:t xml:space="preserve"> is the support it lends toward the recovery of the cruise industry, to pre-pandemic levels. This includes refilling the 18,135 jobs that existed at the end of the 2018-19 financial year and building back up to the $5.2 billion in annual economic output that was generated directly and indirectly by the industry.</w:t>
      </w:r>
      <w:r w:rsidR="00B0140C" w:rsidRPr="00B0140C">
        <w:t xml:space="preserve"> Any regulation that will support the recovery of the industry will be of significant value to the Australian economy and </w:t>
      </w:r>
      <w:proofErr w:type="gramStart"/>
      <w:r w:rsidR="00B0140C" w:rsidRPr="00B0140C">
        <w:t>community as a whole</w:t>
      </w:r>
      <w:proofErr w:type="gramEnd"/>
      <w:r w:rsidR="00826B7B">
        <w:t>.</w:t>
      </w:r>
    </w:p>
    <w:p w14:paraId="15AE6885" w14:textId="45A8E2D7" w:rsidR="00C11004" w:rsidRDefault="001144CF" w:rsidP="00624067">
      <w:r>
        <w:t>The proposed changes</w:t>
      </w:r>
      <w:r w:rsidR="00C11004" w:rsidRPr="00C11004">
        <w:t xml:space="preserve"> address </w:t>
      </w:r>
      <w:r w:rsidR="00C11004" w:rsidRPr="00BA54BC">
        <w:t>the desired policy objectives</w:t>
      </w:r>
      <w:r w:rsidR="00C11004" w:rsidRPr="00C11004">
        <w:t xml:space="preserve">, </w:t>
      </w:r>
      <w:r w:rsidR="00A9116C">
        <w:t>with the benefits</w:t>
      </w:r>
      <w:r w:rsidR="00A9116C" w:rsidRPr="00C11004">
        <w:t xml:space="preserve"> </w:t>
      </w:r>
      <w:r w:rsidR="00A42C35">
        <w:t xml:space="preserve">significantly </w:t>
      </w:r>
      <w:r w:rsidR="00C11004" w:rsidRPr="00C11004">
        <w:t>outweigh</w:t>
      </w:r>
      <w:r w:rsidR="00A9116C">
        <w:t>ing</w:t>
      </w:r>
      <w:r w:rsidR="00C11004" w:rsidRPr="00C11004">
        <w:t xml:space="preserve"> quantifiable increases in the regulatory burden for businesses. Th</w:t>
      </w:r>
      <w:r w:rsidR="00AF7BDB">
        <w:t>e</w:t>
      </w:r>
      <w:r w:rsidR="00A05021">
        <w:t xml:space="preserve"> quantifiable</w:t>
      </w:r>
      <w:r w:rsidR="00AF7BDB">
        <w:t xml:space="preserve"> </w:t>
      </w:r>
      <w:r w:rsidR="00A05021">
        <w:t>regulatory burd</w:t>
      </w:r>
      <w:r w:rsidR="00AF7BDB">
        <w:t>en</w:t>
      </w:r>
      <w:r w:rsidR="00C11004" w:rsidRPr="00C11004">
        <w:t xml:space="preserve"> is estimated at </w:t>
      </w:r>
      <w:r w:rsidR="00C11004" w:rsidRPr="00864EB6">
        <w:t>$0.</w:t>
      </w:r>
      <w:r w:rsidR="00D83031">
        <w:t>275</w:t>
      </w:r>
      <w:r w:rsidR="00D83031" w:rsidRPr="00864EB6">
        <w:t xml:space="preserve"> </w:t>
      </w:r>
      <w:r w:rsidR="00C11004" w:rsidRPr="00864EB6">
        <w:t>million per year or $</w:t>
      </w:r>
      <w:r w:rsidR="00D83031">
        <w:t>2.750</w:t>
      </w:r>
      <w:r w:rsidR="00C11004" w:rsidRPr="00864EB6">
        <w:t xml:space="preserve"> million</w:t>
      </w:r>
      <w:r w:rsidR="00C11004" w:rsidRPr="00C11004">
        <w:t xml:space="preserve"> in total over ten years (expressed in present value terms), over maintaining the current regulatory framework (</w:t>
      </w:r>
      <w:r w:rsidR="00A162B4" w:rsidRPr="00C11004">
        <w:t xml:space="preserve">Option </w:t>
      </w:r>
      <w:r w:rsidR="00A162B4">
        <w:t>1</w:t>
      </w:r>
      <w:r w:rsidR="00C11004" w:rsidRPr="00C11004">
        <w:t xml:space="preserve">). The likely impacts of the </w:t>
      </w:r>
      <w:r w:rsidR="00E327CB">
        <w:t>preferred option</w:t>
      </w:r>
      <w:r w:rsidR="00C11004" w:rsidRPr="00C11004">
        <w:t xml:space="preserve"> arise primarily from the extra reporting requirements</w:t>
      </w:r>
      <w:r w:rsidR="003428C5">
        <w:t xml:space="preserve"> and </w:t>
      </w:r>
      <w:r w:rsidR="0070722F">
        <w:t xml:space="preserve">the new </w:t>
      </w:r>
      <w:r w:rsidR="00197BA2">
        <w:t xml:space="preserve">mechanism </w:t>
      </w:r>
      <w:r w:rsidR="0070722F">
        <w:t>to issue</w:t>
      </w:r>
      <w:r w:rsidR="003A73D8">
        <w:t xml:space="preserve"> </w:t>
      </w:r>
      <w:r w:rsidR="003E5CE3" w:rsidRPr="003E5CE3">
        <w:t xml:space="preserve">human biosecurity </w:t>
      </w:r>
      <w:r w:rsidR="00B54CF6">
        <w:t xml:space="preserve">group directions </w:t>
      </w:r>
      <w:r w:rsidR="003E5CE3" w:rsidRPr="003E5CE3">
        <w:t>to groups of people</w:t>
      </w:r>
      <w:r w:rsidR="003E5CE3">
        <w:t xml:space="preserve">. </w:t>
      </w:r>
      <w:r w:rsidR="00845F8A" w:rsidRPr="00845F8A">
        <w:t xml:space="preserve">The increased regulatory burden </w:t>
      </w:r>
      <w:r w:rsidR="003A73D8">
        <w:t>would be</w:t>
      </w:r>
      <w:r w:rsidR="00845F8A" w:rsidRPr="00845F8A">
        <w:t xml:space="preserve"> offset</w:t>
      </w:r>
      <w:r w:rsidR="00DB19DA">
        <w:t xml:space="preserve"> </w:t>
      </w:r>
      <w:r w:rsidR="00B41C20">
        <w:t>at least partly</w:t>
      </w:r>
      <w:r w:rsidR="00845F8A" w:rsidRPr="00845F8A">
        <w:t xml:space="preserve"> by savings due to the more nuanced human health risk management regime.</w:t>
      </w:r>
      <w:r w:rsidR="003A73D8">
        <w:t xml:space="preserve"> However, it was not possible to estimate the quantum of these savings.</w:t>
      </w:r>
    </w:p>
    <w:p w14:paraId="3DB16552" w14:textId="7B133BC0" w:rsidR="00C51551" w:rsidRPr="00183564" w:rsidRDefault="001144CF">
      <w:pPr>
        <w:rPr>
          <w:rFonts w:asciiTheme="majorHAnsi" w:hAnsiTheme="majorHAnsi"/>
          <w:b/>
          <w:color w:val="014463" w:themeColor="text2"/>
          <w:sz w:val="60"/>
          <w:szCs w:val="60"/>
        </w:rPr>
      </w:pPr>
      <w:r w:rsidRPr="001144CF">
        <w:t xml:space="preserve">These </w:t>
      </w:r>
      <w:r>
        <w:t>proposed changes</w:t>
      </w:r>
      <w:r w:rsidRPr="001144CF">
        <w:t xml:space="preserve"> can only be implemented by the government amending the existing legislative scheme.</w:t>
      </w:r>
      <w:r>
        <w:t xml:space="preserve"> </w:t>
      </w:r>
      <w:r w:rsidR="00624067">
        <w:t>Without the proposed legislative amendments, the Commonwealth’s biosecurity framework would continue to be limited in its capacity to effectively secure the objectives of the Biosecurity Act. Australian society would continue to be at a heightened immediate risk of being exposed to COVID-19 or other novel communicable diseases through present and future commercial and cruise vessel operations.</w:t>
      </w:r>
      <w:r w:rsidR="00D37764">
        <w:t xml:space="preserve"> </w:t>
      </w:r>
      <w:r w:rsidR="00624067">
        <w:t xml:space="preserve">This risk has materialised multiple times with commercial vessels during </w:t>
      </w:r>
      <w:r w:rsidR="0097250F">
        <w:t xml:space="preserve">the COVID-19 </w:t>
      </w:r>
      <w:r w:rsidR="00624067">
        <w:t>pandemic.</w:t>
      </w:r>
      <w:r w:rsidR="00C51551" w:rsidRPr="00183564">
        <w:br w:type="page"/>
      </w:r>
    </w:p>
    <w:p w14:paraId="5988C1AC" w14:textId="5AA5B831" w:rsidR="00C51551" w:rsidRPr="00183564" w:rsidRDefault="00C51551" w:rsidP="00F55762">
      <w:pPr>
        <w:pStyle w:val="Heading2"/>
        <w:rPr>
          <w:sz w:val="22"/>
        </w:rPr>
      </w:pPr>
      <w:bookmarkStart w:id="7" w:name="_Toc80965295"/>
      <w:r w:rsidRPr="00183564">
        <w:lastRenderedPageBreak/>
        <w:t>Current setting</w:t>
      </w:r>
      <w:bookmarkEnd w:id="7"/>
    </w:p>
    <w:p w14:paraId="0F8588AB" w14:textId="1A74D6BB" w:rsidR="00443839" w:rsidRPr="00183564" w:rsidRDefault="00443839" w:rsidP="00443839">
      <w:pPr>
        <w:pStyle w:val="Heading3"/>
      </w:pPr>
      <w:bookmarkStart w:id="8" w:name="_Toc80965296"/>
      <w:r w:rsidRPr="00183564">
        <w:t>Overview</w:t>
      </w:r>
      <w:bookmarkEnd w:id="8"/>
    </w:p>
    <w:p w14:paraId="0AA149F5" w14:textId="249FF042" w:rsidR="003C7DFF" w:rsidRPr="00183564" w:rsidRDefault="00094514" w:rsidP="00716A5F">
      <w:r w:rsidRPr="00094514">
        <w:t>All aircraft</w:t>
      </w:r>
      <w:r>
        <w:t xml:space="preserve"> and</w:t>
      </w:r>
      <w:r w:rsidRPr="00094514">
        <w:t xml:space="preserve"> maritime vessels arriving in Australian territory from overseas are subject to Australian biosecurity requirements</w:t>
      </w:r>
      <w:r w:rsidR="0003785F">
        <w:t xml:space="preserve"> to manage the </w:t>
      </w:r>
      <w:r w:rsidR="000B4400" w:rsidRPr="000B4400">
        <w:t xml:space="preserve">risk of </w:t>
      </w:r>
      <w:r w:rsidR="003E5CF1">
        <w:t>infectious hum</w:t>
      </w:r>
      <w:r w:rsidR="000B4400" w:rsidRPr="000B4400">
        <w:t xml:space="preserve">an diseases entering Australian </w:t>
      </w:r>
      <w:r w:rsidR="00AD792E">
        <w:t>t</w:t>
      </w:r>
      <w:r w:rsidR="000B4400" w:rsidRPr="000B4400">
        <w:t>erritory</w:t>
      </w:r>
      <w:r w:rsidR="00291912">
        <w:t>.</w:t>
      </w:r>
      <w:r w:rsidR="002731D2">
        <w:t xml:space="preserve"> </w:t>
      </w:r>
      <w:r w:rsidR="004B5FD8" w:rsidRPr="00183564">
        <w:t>Cruise ships</w:t>
      </w:r>
      <w:r w:rsidR="00291912">
        <w:t xml:space="preserve"> </w:t>
      </w:r>
      <w:proofErr w:type="gramStart"/>
      <w:r w:rsidR="00291912">
        <w:t>in particular</w:t>
      </w:r>
      <w:r w:rsidR="004B5FD8" w:rsidRPr="00183564">
        <w:t xml:space="preserve"> can</w:t>
      </w:r>
      <w:proofErr w:type="gramEnd"/>
      <w:r w:rsidR="004B5FD8" w:rsidRPr="00183564">
        <w:t xml:space="preserve"> provide an ideal environment for transmission of communicable diseases. They bring diverse populations, of unknown health status, into </w:t>
      </w:r>
      <w:proofErr w:type="gramStart"/>
      <w:r w:rsidR="00C13A10">
        <w:t xml:space="preserve">close </w:t>
      </w:r>
      <w:r w:rsidR="004B5FD8" w:rsidRPr="00183564">
        <w:t>proximity</w:t>
      </w:r>
      <w:proofErr w:type="gramEnd"/>
      <w:r w:rsidR="004B5FD8" w:rsidRPr="00183564">
        <w:t xml:space="preserve"> for many days. They move rapidly from one port to another, interfacing with local community members. Also, large numbers of passengers and crew members interact in the confined environment of cruise ships, so there is further potential for spread of communicable diseases.</w:t>
      </w:r>
      <w:r w:rsidR="00855518" w:rsidRPr="00183564">
        <w:t xml:space="preserve"> </w:t>
      </w:r>
    </w:p>
    <w:p w14:paraId="1A31618F" w14:textId="4F33FAE9" w:rsidR="00716637" w:rsidRDefault="00730F6C" w:rsidP="00716637">
      <w:r>
        <w:t xml:space="preserve">These risks are managed by the </w:t>
      </w:r>
      <w:r w:rsidR="00D0097D">
        <w:t>Commonwealth</w:t>
      </w:r>
      <w:r>
        <w:t xml:space="preserve"> primarily through the </w:t>
      </w:r>
      <w:r w:rsidR="00D0097D" w:rsidRPr="00D0097D">
        <w:rPr>
          <w:i/>
          <w:iCs/>
        </w:rPr>
        <w:t>Biosecurity</w:t>
      </w:r>
      <w:r w:rsidRPr="00D0097D">
        <w:rPr>
          <w:i/>
          <w:iCs/>
        </w:rPr>
        <w:t xml:space="preserve"> Act 2015</w:t>
      </w:r>
      <w:r w:rsidR="00E50C63" w:rsidRPr="00896A2F">
        <w:t xml:space="preserve"> </w:t>
      </w:r>
      <w:r w:rsidR="00C044B5" w:rsidRPr="00896A2F">
        <w:t xml:space="preserve">(Biosecurity Act) </w:t>
      </w:r>
      <w:r w:rsidR="00961A9E">
        <w:t>and</w:t>
      </w:r>
      <w:r w:rsidR="00D0097D">
        <w:t xml:space="preserve"> consistent with Australia’s international rights and obligations under the </w:t>
      </w:r>
      <w:r w:rsidR="00D0097D" w:rsidRPr="00B04180">
        <w:rPr>
          <w:i/>
          <w:iCs/>
        </w:rPr>
        <w:t>International Health Regulations</w:t>
      </w:r>
      <w:r w:rsidR="00B04180" w:rsidRPr="00B04180">
        <w:rPr>
          <w:i/>
          <w:iCs/>
        </w:rPr>
        <w:t xml:space="preserve"> (2005)</w:t>
      </w:r>
      <w:r w:rsidR="00D0097D" w:rsidRPr="00B04180">
        <w:rPr>
          <w:i/>
          <w:iCs/>
        </w:rPr>
        <w:t>.</w:t>
      </w:r>
      <w:r w:rsidR="0080267A">
        <w:rPr>
          <w:i/>
          <w:iCs/>
        </w:rPr>
        <w:t xml:space="preserve"> </w:t>
      </w:r>
      <w:r w:rsidR="00716637">
        <w:t xml:space="preserve">States and territories have their own statutory frameworks for public health, including the emergency responses required to address issues such as the COVID-19 pandemic. Each of these jurisdictions also has a principal medical advisor. National responses to health emergencies, such as COVID-19, are coordinated through bodies such as the </w:t>
      </w:r>
      <w:r w:rsidR="0097250F">
        <w:t xml:space="preserve">Australian </w:t>
      </w:r>
      <w:r w:rsidR="00716637">
        <w:t xml:space="preserve">Human Health Protection </w:t>
      </w:r>
      <w:r w:rsidR="0097250F">
        <w:t xml:space="preserve">Principal </w:t>
      </w:r>
      <w:r w:rsidR="00716637">
        <w:t xml:space="preserve">Committee and the Chief Human Biosecurity Officer Forum. </w:t>
      </w:r>
    </w:p>
    <w:p w14:paraId="2248A76E" w14:textId="2C71195F" w:rsidR="00D83208" w:rsidRPr="00183564" w:rsidRDefault="00D83208" w:rsidP="00F55762">
      <w:pPr>
        <w:pStyle w:val="Heading3"/>
      </w:pPr>
      <w:bookmarkStart w:id="9" w:name="_Toc80965297"/>
      <w:r w:rsidRPr="00183564">
        <w:t>International Health Regulations</w:t>
      </w:r>
      <w:bookmarkEnd w:id="9"/>
    </w:p>
    <w:p w14:paraId="45F31F8E" w14:textId="36CF6BD4" w:rsidR="005C59F3" w:rsidRPr="00183564" w:rsidRDefault="00FA7579" w:rsidP="00FA7579">
      <w:r w:rsidRPr="00183564">
        <w:t xml:space="preserve">The </w:t>
      </w:r>
      <w:r w:rsidRPr="00183564">
        <w:rPr>
          <w:i/>
        </w:rPr>
        <w:t>International Health Regulations (2005)</w:t>
      </w:r>
      <w:r w:rsidRPr="00183564">
        <w:t xml:space="preserve"> </w:t>
      </w:r>
      <w:r w:rsidR="0098735F" w:rsidRPr="00183564">
        <w:t xml:space="preserve">(IHR) </w:t>
      </w:r>
      <w:r w:rsidRPr="00183564">
        <w:t xml:space="preserve">are the key binding </w:t>
      </w:r>
      <w:r w:rsidR="005C59F3" w:rsidRPr="00183564">
        <w:t>international</w:t>
      </w:r>
      <w:r w:rsidRPr="00183564">
        <w:t xml:space="preserve"> legal instrument for preventing and responding to acute public health risks that have the potential to cross borders and threaten people worldwide. </w:t>
      </w:r>
      <w:r w:rsidR="0098735F" w:rsidRPr="00183564">
        <w:t>The IHR are designed to prevent the international spread of infectious diseases while avoiding interference with international traffic and trade.</w:t>
      </w:r>
      <w:r w:rsidR="00BC3194" w:rsidRPr="00183564">
        <w:t xml:space="preserve"> The IHR is binding on 196 countries across the globe, including all Member States of the World Health Organization (WHO)</w:t>
      </w:r>
      <w:r w:rsidR="00FF60DD">
        <w:t>.</w:t>
      </w:r>
      <w:r w:rsidR="00BC3194" w:rsidRPr="00183564">
        <w:t xml:space="preserve"> </w:t>
      </w:r>
      <w:r w:rsidR="0098735F" w:rsidRPr="00183564">
        <w:t>As a Member State of the</w:t>
      </w:r>
      <w:r w:rsidR="00BC3194" w:rsidRPr="00183564">
        <w:t xml:space="preserve"> WHO</w:t>
      </w:r>
      <w:r w:rsidR="0098735F" w:rsidRPr="00183564">
        <w:t>, Australia is obliged to comply with the IHR.</w:t>
      </w:r>
    </w:p>
    <w:p w14:paraId="117A636C" w14:textId="73C3E1B6" w:rsidR="005C59F3" w:rsidRPr="00183564" w:rsidRDefault="00AE748C" w:rsidP="00FA7579">
      <w:r w:rsidRPr="00183564">
        <w:t xml:space="preserve">The IHR establishes a minimum standard for public health prevention, </w:t>
      </w:r>
      <w:proofErr w:type="gramStart"/>
      <w:r w:rsidRPr="00183564">
        <w:t>preparedness</w:t>
      </w:r>
      <w:proofErr w:type="gramEnd"/>
      <w:r w:rsidRPr="00183564">
        <w:t xml:space="preserve"> and response. These standards include activities and functions such as ship sanitation and points of entry</w:t>
      </w:r>
      <w:r w:rsidR="001E4273" w:rsidRPr="00183564">
        <w:t xml:space="preserve"> (pratique)</w:t>
      </w:r>
      <w:r w:rsidRPr="00183564">
        <w:t xml:space="preserve">. Australia has incorporated key IHR standards into domestic law, including at the national level through the </w:t>
      </w:r>
      <w:r w:rsidRPr="001A3AB6">
        <w:t>Biosecurity Act</w:t>
      </w:r>
      <w:r w:rsidRPr="00183564">
        <w:t xml:space="preserve"> and the </w:t>
      </w:r>
      <w:r w:rsidRPr="00183564">
        <w:rPr>
          <w:i/>
          <w:iCs/>
        </w:rPr>
        <w:t>National Health Security Act 2007</w:t>
      </w:r>
      <w:r w:rsidRPr="00183564">
        <w:t>.</w:t>
      </w:r>
    </w:p>
    <w:p w14:paraId="2174CE33" w14:textId="7C7B5186" w:rsidR="00D83208" w:rsidRPr="00183564" w:rsidRDefault="00D83208" w:rsidP="00F55762">
      <w:pPr>
        <w:pStyle w:val="Heading3"/>
      </w:pPr>
      <w:bookmarkStart w:id="10" w:name="_Toc80965298"/>
      <w:r w:rsidRPr="00183564">
        <w:t>Biosecurity Act 2015</w:t>
      </w:r>
      <w:bookmarkEnd w:id="10"/>
    </w:p>
    <w:p w14:paraId="2DF99CF5" w14:textId="4B036232" w:rsidR="005C59F3" w:rsidRPr="00183564" w:rsidRDefault="00540C7B" w:rsidP="00FA7579">
      <w:r w:rsidRPr="00183564">
        <w:t xml:space="preserve">The Biosecurity Act commenced on 16 June 2016. It is co-administered by the Ministers responsible for </w:t>
      </w:r>
      <w:r w:rsidR="0097250F">
        <w:t xml:space="preserve">the </w:t>
      </w:r>
      <w:r w:rsidRPr="00183564">
        <w:t>Agriculture and Health</w:t>
      </w:r>
      <w:r w:rsidR="0097250F">
        <w:t xml:space="preserve"> portfolios</w:t>
      </w:r>
      <w:r w:rsidRPr="00183564">
        <w:t>.</w:t>
      </w:r>
      <w:r w:rsidR="000304A4" w:rsidRPr="00183564">
        <w:t xml:space="preserve"> The Act provides a range of powers for </w:t>
      </w:r>
      <w:r w:rsidR="00DD5A05">
        <w:t xml:space="preserve">managing </w:t>
      </w:r>
      <w:r w:rsidR="0074483B">
        <w:t xml:space="preserve">biosecurity </w:t>
      </w:r>
      <w:r w:rsidR="00DD5A05">
        <w:t>risks to</w:t>
      </w:r>
      <w:r w:rsidR="000304A4" w:rsidRPr="00183564">
        <w:t xml:space="preserve"> human health, including entry and exit screening, management of ill travellers, vector monitoring and control, and flexible emergency and preventative powers. It also </w:t>
      </w:r>
      <w:r w:rsidR="00B441E8">
        <w:t>gives effect to</w:t>
      </w:r>
      <w:r w:rsidR="00B441E8" w:rsidRPr="00183564">
        <w:t xml:space="preserve"> </w:t>
      </w:r>
      <w:r w:rsidR="000304A4" w:rsidRPr="00183564">
        <w:t>Australia’s I</w:t>
      </w:r>
      <w:r w:rsidR="00294575" w:rsidRPr="00183564">
        <w:t>HR</w:t>
      </w:r>
      <w:r w:rsidR="000304A4" w:rsidRPr="00183564">
        <w:t xml:space="preserve"> obligations in relation to ship sanitation, points of entry, Public Health</w:t>
      </w:r>
      <w:r w:rsidR="00294575" w:rsidRPr="00183564">
        <w:t xml:space="preserve"> </w:t>
      </w:r>
      <w:r w:rsidR="000304A4" w:rsidRPr="00183564">
        <w:t>Emergencies of International Concern</w:t>
      </w:r>
      <w:r w:rsidR="000304A4" w:rsidRPr="00896A2F">
        <w:t>,</w:t>
      </w:r>
      <w:r w:rsidR="000304A4" w:rsidRPr="00183564">
        <w:t xml:space="preserve"> and yellow fever vaccination</w:t>
      </w:r>
      <w:r w:rsidR="00294575" w:rsidRPr="00183564">
        <w:t>.</w:t>
      </w:r>
    </w:p>
    <w:p w14:paraId="07411E67" w14:textId="29AB3156" w:rsidR="004F1A02" w:rsidRPr="00183564" w:rsidRDefault="004F1A02" w:rsidP="00716A5F">
      <w:r w:rsidRPr="00183564">
        <w:t xml:space="preserve">Chapter 2 of the Biosecurity Act deals with managing risks to human health. That Chapter </w:t>
      </w:r>
      <w:r w:rsidR="0097250F">
        <w:t xml:space="preserve">sets out a framework for the determination of </w:t>
      </w:r>
      <w:r w:rsidRPr="00183564">
        <w:t>listed human diseases</w:t>
      </w:r>
      <w:r w:rsidR="0097250F">
        <w:t xml:space="preserve"> by the Director of Human Biosecurity</w:t>
      </w:r>
      <w:r w:rsidR="000B7177">
        <w:t xml:space="preserve"> T</w:t>
      </w:r>
      <w:r w:rsidR="00F3240C" w:rsidRPr="00183564">
        <w:t xml:space="preserve">he </w:t>
      </w:r>
      <w:r w:rsidR="00F3240C" w:rsidRPr="00183564">
        <w:rPr>
          <w:i/>
          <w:iCs/>
        </w:rPr>
        <w:t>Biosecurity (Listed Human Diseases) Determination 2016</w:t>
      </w:r>
      <w:r w:rsidR="00662D26" w:rsidRPr="00183564">
        <w:t xml:space="preserve"> lists eight human diseases</w:t>
      </w:r>
      <w:r w:rsidR="00FD547B" w:rsidRPr="00183564">
        <w:t xml:space="preserve"> including </w:t>
      </w:r>
      <w:r w:rsidR="0036622F" w:rsidRPr="00183564">
        <w:t xml:space="preserve">human coronavirus with pandemic potential. </w:t>
      </w:r>
      <w:r w:rsidR="000B077D" w:rsidRPr="00183564">
        <w:t xml:space="preserve">Powers available to manage the risk of </w:t>
      </w:r>
      <w:r w:rsidR="00374C62">
        <w:t>l</w:t>
      </w:r>
      <w:r w:rsidR="000B077D" w:rsidRPr="00183564">
        <w:t xml:space="preserve">isted </w:t>
      </w:r>
      <w:r w:rsidR="00374C62">
        <w:t>h</w:t>
      </w:r>
      <w:r w:rsidR="000B077D" w:rsidRPr="00183564">
        <w:t xml:space="preserve">uman </w:t>
      </w:r>
      <w:r w:rsidR="00374C62">
        <w:t>d</w:t>
      </w:r>
      <w:r w:rsidR="000B077D" w:rsidRPr="00183564">
        <w:t>iseases entering</w:t>
      </w:r>
      <w:r w:rsidR="0097250F">
        <w:t xml:space="preserve">, </w:t>
      </w:r>
      <w:r w:rsidR="0097250F" w:rsidRPr="0097250F">
        <w:t xml:space="preserve">emerging, </w:t>
      </w:r>
      <w:proofErr w:type="gramStart"/>
      <w:r w:rsidR="0097250F" w:rsidRPr="0097250F">
        <w:t>establishing</w:t>
      </w:r>
      <w:proofErr w:type="gramEnd"/>
      <w:r w:rsidR="0097250F" w:rsidRPr="0097250F">
        <w:t xml:space="preserve"> or spreading</w:t>
      </w:r>
      <w:r w:rsidR="000B077D" w:rsidRPr="00183564">
        <w:t xml:space="preserve"> in Australian </w:t>
      </w:r>
      <w:r w:rsidR="00744768">
        <w:t>t</w:t>
      </w:r>
      <w:r w:rsidR="000B077D" w:rsidRPr="00183564">
        <w:t xml:space="preserve">erritory include pratique </w:t>
      </w:r>
      <w:r w:rsidR="0097250F">
        <w:t xml:space="preserve">requirements </w:t>
      </w:r>
      <w:r w:rsidR="000B077D" w:rsidRPr="00183564">
        <w:t xml:space="preserve">and </w:t>
      </w:r>
      <w:r w:rsidR="0097250F">
        <w:t>the imposition of individual h</w:t>
      </w:r>
      <w:r w:rsidR="000B077D" w:rsidRPr="00183564">
        <w:t xml:space="preserve">uman </w:t>
      </w:r>
      <w:r w:rsidR="0097250F">
        <w:t>b</w:t>
      </w:r>
      <w:r w:rsidR="000B077D" w:rsidRPr="00183564">
        <w:t xml:space="preserve">iosecurity </w:t>
      </w:r>
      <w:r w:rsidR="0097250F">
        <w:t>c</w:t>
      </w:r>
      <w:r w:rsidR="000B077D" w:rsidRPr="00183564">
        <w:t xml:space="preserve">ontrol </w:t>
      </w:r>
      <w:r w:rsidR="0097250F">
        <w:t>o</w:t>
      </w:r>
      <w:r w:rsidR="000B077D" w:rsidRPr="00183564">
        <w:t>rder</w:t>
      </w:r>
      <w:r w:rsidR="00FA71F9" w:rsidRPr="00183564">
        <w:t>s</w:t>
      </w:r>
      <w:r w:rsidR="000B077D" w:rsidRPr="00183564">
        <w:t xml:space="preserve"> (HBCO)</w:t>
      </w:r>
      <w:r w:rsidRPr="00183564">
        <w:t>.</w:t>
      </w:r>
    </w:p>
    <w:p w14:paraId="53617D31" w14:textId="320CBEF3" w:rsidR="00B626B8" w:rsidRPr="00183564" w:rsidRDefault="00B626B8" w:rsidP="00F55762">
      <w:pPr>
        <w:pStyle w:val="Heading4"/>
      </w:pPr>
      <w:r w:rsidRPr="00183564">
        <w:t>Pratique</w:t>
      </w:r>
    </w:p>
    <w:p w14:paraId="01B24A7B" w14:textId="1B5B9E03" w:rsidR="00B626B8" w:rsidRPr="00183564" w:rsidRDefault="00770144" w:rsidP="00ED73B0">
      <w:pPr>
        <w:pStyle w:val="BodyText"/>
      </w:pPr>
      <w:r w:rsidRPr="00183564">
        <w:t xml:space="preserve">The Biosecurity Act provides for the grant of pratique. </w:t>
      </w:r>
      <w:r w:rsidR="00B54CF6">
        <w:t xml:space="preserve">If pratique is not granted, </w:t>
      </w:r>
      <w:r w:rsidR="00E35328" w:rsidRPr="00183564">
        <w:t>goods</w:t>
      </w:r>
      <w:r w:rsidR="00EC087D" w:rsidRPr="00183564">
        <w:t xml:space="preserve"> </w:t>
      </w:r>
      <w:r w:rsidR="00B54CF6">
        <w:t xml:space="preserve">are not permitted </w:t>
      </w:r>
      <w:r w:rsidR="00EC087D" w:rsidRPr="00183564">
        <w:t xml:space="preserve">to be </w:t>
      </w:r>
      <w:r w:rsidR="00E35328" w:rsidRPr="00183564">
        <w:t xml:space="preserve">loaded or </w:t>
      </w:r>
      <w:r w:rsidR="00EC087D" w:rsidRPr="00183564">
        <w:t xml:space="preserve">unloaded from, </w:t>
      </w:r>
      <w:r w:rsidR="00B54CF6">
        <w:t xml:space="preserve">or </w:t>
      </w:r>
      <w:r w:rsidR="00EC087D" w:rsidRPr="00183564">
        <w:t xml:space="preserve">persons to </w:t>
      </w:r>
      <w:r w:rsidR="00E35328" w:rsidRPr="00183564">
        <w:t xml:space="preserve">embark or </w:t>
      </w:r>
      <w:r w:rsidR="00EC087D" w:rsidRPr="00183564">
        <w:t xml:space="preserve">disembark from, </w:t>
      </w:r>
      <w:r w:rsidR="00E35328" w:rsidRPr="00183564">
        <w:t xml:space="preserve">vessels or </w:t>
      </w:r>
      <w:r w:rsidR="00EC087D" w:rsidRPr="00183564">
        <w:t>aircraft</w:t>
      </w:r>
      <w:r w:rsidR="00E35328" w:rsidRPr="00183564">
        <w:t xml:space="preserve">. </w:t>
      </w:r>
      <w:r w:rsidR="0097250F">
        <w:t>A</w:t>
      </w:r>
      <w:r w:rsidR="00197BA2">
        <w:t>n</w:t>
      </w:r>
      <w:r w:rsidR="0097250F">
        <w:t xml:space="preserve"> aircraft means any machine or craft that can derive support in the atmosphere from the reactions of the air, other than the reactions of the air against the earth’s surface. A v</w:t>
      </w:r>
      <w:r w:rsidR="0058538B">
        <w:t>essel mean</w:t>
      </w:r>
      <w:r w:rsidR="00F460DE">
        <w:t>s</w:t>
      </w:r>
      <w:r w:rsidR="0058538B" w:rsidRPr="00183564">
        <w:t xml:space="preserve"> any </w:t>
      </w:r>
      <w:r w:rsidR="00E22CE4" w:rsidRPr="00183564">
        <w:t xml:space="preserve">kind of vessel used in navigation </w:t>
      </w:r>
      <w:r w:rsidR="00241495" w:rsidRPr="00183564">
        <w:t>by</w:t>
      </w:r>
      <w:r w:rsidR="00E22CE4" w:rsidRPr="00183564">
        <w:t xml:space="preserve"> water</w:t>
      </w:r>
      <w:r w:rsidR="00F460DE">
        <w:t xml:space="preserve">, </w:t>
      </w:r>
      <w:r w:rsidR="00F76B30">
        <w:t>for example</w:t>
      </w:r>
      <w:r w:rsidR="00F460DE">
        <w:t xml:space="preserve"> a ship</w:t>
      </w:r>
      <w:r w:rsidR="004E0B76">
        <w:t xml:space="preserve"> or</w:t>
      </w:r>
      <w:r w:rsidR="00F460DE">
        <w:t xml:space="preserve"> yacht</w:t>
      </w:r>
      <w:r w:rsidR="00E22CE4">
        <w:t>.</w:t>
      </w:r>
      <w:r w:rsidR="00E22CE4" w:rsidRPr="00183564">
        <w:t xml:space="preserve"> </w:t>
      </w:r>
      <w:r w:rsidR="00E35328" w:rsidRPr="00183564">
        <w:t xml:space="preserve">The Act </w:t>
      </w:r>
      <w:r w:rsidR="00B54088">
        <w:t>refers to</w:t>
      </w:r>
      <w:r w:rsidR="00B54088" w:rsidRPr="00183564">
        <w:t xml:space="preserve"> </w:t>
      </w:r>
      <w:r w:rsidR="00D3757E">
        <w:t>two</w:t>
      </w:r>
      <w:r w:rsidR="00E35328" w:rsidRPr="00183564">
        <w:t xml:space="preserve"> types of </w:t>
      </w:r>
      <w:proofErr w:type="gramStart"/>
      <w:r w:rsidR="00E35328" w:rsidRPr="00183564">
        <w:t>pratique</w:t>
      </w:r>
      <w:proofErr w:type="gramEnd"/>
      <w:r w:rsidR="00E35328" w:rsidRPr="00183564">
        <w:t xml:space="preserve">, positive </w:t>
      </w:r>
      <w:r w:rsidR="0097250F" w:rsidRPr="00183564">
        <w:t xml:space="preserve">pratique </w:t>
      </w:r>
      <w:r w:rsidR="00E35328" w:rsidRPr="00183564">
        <w:t>and negative</w:t>
      </w:r>
      <w:r w:rsidR="0097250F" w:rsidRPr="0097250F">
        <w:t xml:space="preserve"> </w:t>
      </w:r>
      <w:r w:rsidR="0097250F" w:rsidRPr="00183564">
        <w:t>pratique</w:t>
      </w:r>
      <w:r w:rsidR="00E35328" w:rsidRPr="00183564">
        <w:t xml:space="preserve">. </w:t>
      </w:r>
    </w:p>
    <w:p w14:paraId="2DE097B7" w14:textId="41DDBD4E" w:rsidR="00A6526A" w:rsidRPr="00183564" w:rsidRDefault="00A6526A" w:rsidP="00FA3B20">
      <w:pPr>
        <w:pStyle w:val="BodyText"/>
        <w:keepNext/>
        <w:rPr>
          <w:i/>
          <w:iCs/>
        </w:rPr>
      </w:pPr>
      <w:r w:rsidRPr="00183564">
        <w:rPr>
          <w:i/>
          <w:iCs/>
        </w:rPr>
        <w:lastRenderedPageBreak/>
        <w:t xml:space="preserve">Positive </w:t>
      </w:r>
      <w:r w:rsidR="00550807">
        <w:rPr>
          <w:i/>
          <w:iCs/>
        </w:rPr>
        <w:t>P</w:t>
      </w:r>
      <w:r w:rsidR="00550807" w:rsidRPr="00183564">
        <w:rPr>
          <w:i/>
          <w:iCs/>
        </w:rPr>
        <w:t>ratique</w:t>
      </w:r>
    </w:p>
    <w:p w14:paraId="7C68E1AF" w14:textId="03E6883C" w:rsidR="00A6526A" w:rsidRPr="0079140F" w:rsidRDefault="00197BA2" w:rsidP="00ED73B0">
      <w:pPr>
        <w:pStyle w:val="BodyText"/>
      </w:pPr>
      <w:r>
        <w:t>Ordinarily, m</w:t>
      </w:r>
      <w:r w:rsidR="00A6526A" w:rsidRPr="00183564">
        <w:t xml:space="preserve">ost </w:t>
      </w:r>
      <w:r w:rsidR="002F1BBC">
        <w:t>aircraft and vessels</w:t>
      </w:r>
      <w:r w:rsidR="00A6526A" w:rsidRPr="00183564">
        <w:t xml:space="preserve"> are granted pratique on their arrival</w:t>
      </w:r>
      <w:r w:rsidR="00B54CF6">
        <w:t xml:space="preserve"> in Australian territory</w:t>
      </w:r>
      <w:r w:rsidR="00A6526A" w:rsidRPr="00183564">
        <w:t xml:space="preserve"> by force of section 48 of the Biosecurity Act. This means that a decision is not required by a biosecurity officer before people can embark or disembark, and goods can be unloaded or loaded. Pratique will be granted </w:t>
      </w:r>
      <w:r w:rsidR="00E7103F">
        <w:t xml:space="preserve">to an aircraft or vessel </w:t>
      </w:r>
      <w:r w:rsidR="00A6526A" w:rsidRPr="00183564">
        <w:t>by operation of the Act</w:t>
      </w:r>
      <w:r w:rsidR="007F36F6" w:rsidRPr="00183564">
        <w:t>.</w:t>
      </w:r>
    </w:p>
    <w:p w14:paraId="2C0B049F" w14:textId="7A064E35" w:rsidR="003F1A32" w:rsidRPr="00CC5E2C" w:rsidRDefault="00C6590C" w:rsidP="00ED73B0">
      <w:pPr>
        <w:pStyle w:val="BodyText"/>
        <w:rPr>
          <w:i/>
        </w:rPr>
      </w:pPr>
      <w:r w:rsidRPr="00CC5E2C">
        <w:rPr>
          <w:i/>
        </w:rPr>
        <w:t>Negative Pratique</w:t>
      </w:r>
    </w:p>
    <w:p w14:paraId="734411E2" w14:textId="0781752F" w:rsidR="008E2CA6" w:rsidRPr="00CC5E2C" w:rsidRDefault="00044E96" w:rsidP="00ED73B0">
      <w:pPr>
        <w:pStyle w:val="BodyText"/>
      </w:pPr>
      <w:r w:rsidRPr="00CC5E2C">
        <w:t xml:space="preserve">The </w:t>
      </w:r>
      <w:r w:rsidRPr="00CC5E2C">
        <w:rPr>
          <w:i/>
        </w:rPr>
        <w:t>Biosecurity (Negative Pratique) Instrument 2016</w:t>
      </w:r>
      <w:r w:rsidRPr="00CC5E2C">
        <w:t xml:space="preserve"> </w:t>
      </w:r>
      <w:r w:rsidR="008E2CA6" w:rsidRPr="00CC5E2C">
        <w:t>prescribes the following classes of aircraft or vessels for the purpose of negative pratique:</w:t>
      </w:r>
    </w:p>
    <w:p w14:paraId="5DA49D04" w14:textId="77777777" w:rsidR="008E2CA6" w:rsidRPr="00CC5E2C" w:rsidRDefault="008E2CA6" w:rsidP="00A35693">
      <w:pPr>
        <w:pStyle w:val="BodyText"/>
        <w:spacing w:after="0"/>
        <w:ind w:left="720"/>
      </w:pPr>
      <w:r w:rsidRPr="00CC5E2C">
        <w:t xml:space="preserve">Class 1 – aircraft for which disinsection measures have not been carried out </w:t>
      </w:r>
    </w:p>
    <w:p w14:paraId="215A2238" w14:textId="77777777" w:rsidR="008E2CA6" w:rsidRPr="00CC5E2C" w:rsidRDefault="008E2CA6" w:rsidP="00A35693">
      <w:pPr>
        <w:pStyle w:val="BodyText"/>
        <w:spacing w:after="0"/>
        <w:ind w:left="720"/>
      </w:pPr>
      <w:r w:rsidRPr="00CC5E2C">
        <w:t xml:space="preserve">Class 2 – aircraft or vessels where there is an individual with signs or symptoms or possible exposure to a Listed Human Disease, or a death onboard (as advised through a pre-arrival report or otherwise) </w:t>
      </w:r>
    </w:p>
    <w:p w14:paraId="2ED317CB" w14:textId="25731B0D" w:rsidR="008E2CA6" w:rsidRPr="00CC5E2C" w:rsidRDefault="008E2CA6" w:rsidP="00A35693">
      <w:pPr>
        <w:pStyle w:val="BodyText"/>
        <w:spacing w:after="0"/>
        <w:ind w:left="720"/>
      </w:pPr>
      <w:r w:rsidRPr="00CC5E2C">
        <w:t>Class 3 – non-commercial vessels</w:t>
      </w:r>
      <w:r w:rsidR="00E63B2A" w:rsidRPr="00CC5E2C">
        <w:t>, for example private yachts</w:t>
      </w:r>
    </w:p>
    <w:p w14:paraId="1E730E60" w14:textId="2B640592" w:rsidR="00C6590C" w:rsidRPr="00183564" w:rsidRDefault="008E2CA6" w:rsidP="00A35693">
      <w:pPr>
        <w:pStyle w:val="BodyText"/>
        <w:ind w:left="720"/>
      </w:pPr>
      <w:r w:rsidRPr="00CC5E2C">
        <w:t>Class 4 – vessels that fail to submit a pre-arrival report.</w:t>
      </w:r>
    </w:p>
    <w:p w14:paraId="41C5BB98" w14:textId="008CF364" w:rsidR="00694D3B" w:rsidRPr="00896A2F" w:rsidRDefault="00694D3B" w:rsidP="00694D3B">
      <w:pPr>
        <w:pStyle w:val="BodyText"/>
      </w:pPr>
      <w:r>
        <w:t>If a vessel or aircraft falls into any of these categories, it will be subject to negative pratique</w:t>
      </w:r>
      <w:r w:rsidR="00B859E0" w:rsidRPr="00B859E0">
        <w:t xml:space="preserve"> under section 49</w:t>
      </w:r>
      <w:r w:rsidR="00B859E0">
        <w:t xml:space="preserve"> of the Biosecurity Act</w:t>
      </w:r>
      <w:r w:rsidR="0085071A">
        <w:t>.</w:t>
      </w:r>
      <w:r w:rsidR="00B859E0">
        <w:t xml:space="preserve"> </w:t>
      </w:r>
      <w:r w:rsidR="00C74E7D">
        <w:t xml:space="preserve">If a vessel or aircraft is subject to negative pratique, it will not be able to disembark passengers or unload goods </w:t>
      </w:r>
      <w:r w:rsidR="000149ED">
        <w:t>until a Biosecurity Officer affirmatively grants pratique</w:t>
      </w:r>
      <w:r w:rsidR="00CE1571">
        <w:t>.</w:t>
      </w:r>
    </w:p>
    <w:p w14:paraId="58414BB0" w14:textId="77777777" w:rsidR="00A05C8F" w:rsidRPr="00183564" w:rsidRDefault="00A05C8F" w:rsidP="00A05C8F">
      <w:pPr>
        <w:pStyle w:val="Heading4"/>
      </w:pPr>
      <w:r w:rsidRPr="00183564">
        <w:t>Compliance with pratique</w:t>
      </w:r>
    </w:p>
    <w:p w14:paraId="5C01812B" w14:textId="6CE97F4A" w:rsidR="00A05C8F" w:rsidRPr="00183564" w:rsidRDefault="00A05C8F" w:rsidP="00A05C8F">
      <w:r w:rsidRPr="00183564">
        <w:t>The Biosecurity Act includes civil penalties for breaches of pratique</w:t>
      </w:r>
      <w:r w:rsidR="00E3781D">
        <w:t xml:space="preserve"> obligations</w:t>
      </w:r>
      <w:r w:rsidRPr="00183564">
        <w:t>. The penalty applies to the operator of the aircraft or vessel</w:t>
      </w:r>
      <w:r w:rsidR="00D0516D">
        <w:t>.</w:t>
      </w:r>
      <w:r>
        <w:t xml:space="preserve"> </w:t>
      </w:r>
      <w:r w:rsidR="00D0516D">
        <w:t>S</w:t>
      </w:r>
      <w:r>
        <w:t>ection</w:t>
      </w:r>
      <w:r w:rsidRPr="00183564">
        <w:t xml:space="preserve"> 21 defines operator </w:t>
      </w:r>
      <w:r w:rsidR="000B7177">
        <w:t xml:space="preserve">of a conveyance </w:t>
      </w:r>
      <w:r w:rsidRPr="00183564">
        <w:t xml:space="preserve">to mean the body </w:t>
      </w:r>
      <w:r w:rsidR="00E7103F">
        <w:t xml:space="preserve">corporate </w:t>
      </w:r>
      <w:r w:rsidR="000B7177">
        <w:t xml:space="preserve">or an unincorporated body </w:t>
      </w:r>
      <w:r w:rsidRPr="00183564">
        <w:t>responsible for the operation of the</w:t>
      </w:r>
      <w:r w:rsidR="000B7177">
        <w:t xml:space="preserve"> conveyance</w:t>
      </w:r>
      <w:r w:rsidRPr="00183564">
        <w:t xml:space="preserve">, that is the owner. If there is no body corporate </w:t>
      </w:r>
      <w:r w:rsidR="000B7177">
        <w:t xml:space="preserve">and no </w:t>
      </w:r>
      <w:r w:rsidRPr="00183564">
        <w:t xml:space="preserve">unincorporated body responsible for operation of the </w:t>
      </w:r>
      <w:r w:rsidR="000B7177">
        <w:t>conveyance</w:t>
      </w:r>
      <w:r w:rsidRPr="00183564">
        <w:t xml:space="preserve">, the person in charge </w:t>
      </w:r>
      <w:r w:rsidR="00D0516D">
        <w:t xml:space="preserve">of the </w:t>
      </w:r>
      <w:r w:rsidR="009B0B44">
        <w:t>aircraft or vessel</w:t>
      </w:r>
      <w:r w:rsidR="00D0516D">
        <w:t xml:space="preserve"> </w:t>
      </w:r>
      <w:r w:rsidRPr="00183564">
        <w:t>is the operator.</w:t>
      </w:r>
    </w:p>
    <w:p w14:paraId="40C52D7B" w14:textId="4EDB31C9" w:rsidR="00A05C8F" w:rsidRPr="00183564" w:rsidRDefault="00A05C8F" w:rsidP="00A05C8F">
      <w:r w:rsidRPr="00183564">
        <w:t xml:space="preserve">As almost all cruise ships are commercially operated by crews, it is the operator’s responsibility (that is, the body corporate or unincorporated body) to ensure the vessel’s compliance. Therefore, in </w:t>
      </w:r>
      <w:r w:rsidR="00197BA2">
        <w:t xml:space="preserve">some </w:t>
      </w:r>
      <w:r w:rsidRPr="00183564">
        <w:t xml:space="preserve">cases, only the operator can be held responsible </w:t>
      </w:r>
      <w:r w:rsidR="00D86FB3">
        <w:t>and</w:t>
      </w:r>
      <w:r w:rsidR="00253B8B">
        <w:t xml:space="preserve"> liable to</w:t>
      </w:r>
      <w:r w:rsidRPr="00183564">
        <w:t xml:space="preserve"> potential civil sanction </w:t>
      </w:r>
      <w:r w:rsidR="00D86FB3">
        <w:t xml:space="preserve">where contravention of the </w:t>
      </w:r>
      <w:r w:rsidR="000B7177">
        <w:t xml:space="preserve">pratique requirements in the </w:t>
      </w:r>
      <w:r w:rsidR="00D86FB3">
        <w:t>Biosecurity Act is alleged</w:t>
      </w:r>
      <w:r w:rsidRPr="00183564">
        <w:t>.</w:t>
      </w:r>
    </w:p>
    <w:p w14:paraId="07537A58" w14:textId="44DCD2E6" w:rsidR="00ED73B0" w:rsidRPr="00183564" w:rsidRDefault="00ED73B0" w:rsidP="00F55762">
      <w:pPr>
        <w:pStyle w:val="Heading4"/>
      </w:pPr>
      <w:r w:rsidRPr="00183564">
        <w:t xml:space="preserve">Human biosecurity </w:t>
      </w:r>
      <w:r w:rsidR="0014284B" w:rsidRPr="00183564">
        <w:t>control orders</w:t>
      </w:r>
      <w:r w:rsidR="00E67DFA" w:rsidRPr="00183564">
        <w:t xml:space="preserve"> (HBCO)</w:t>
      </w:r>
    </w:p>
    <w:p w14:paraId="5AB46E87" w14:textId="7FA4CA33" w:rsidR="0014284B" w:rsidRDefault="0014284B" w:rsidP="007D771D">
      <w:pPr>
        <w:pStyle w:val="BodyText"/>
      </w:pPr>
      <w:r w:rsidRPr="00183564">
        <w:t>.</w:t>
      </w:r>
      <w:r w:rsidR="000B7177">
        <w:t xml:space="preserve"> </w:t>
      </w:r>
      <w:r w:rsidR="00C76435" w:rsidRPr="00183564">
        <w:t>A</w:t>
      </w:r>
      <w:r w:rsidR="00F9675A" w:rsidRPr="00183564">
        <w:t xml:space="preserve"> </w:t>
      </w:r>
      <w:r w:rsidR="00E67DFA" w:rsidRPr="00183564">
        <w:t>HBCO</w:t>
      </w:r>
      <w:r w:rsidR="00F9675A" w:rsidRPr="00183564">
        <w:t xml:space="preserve"> can be imposed on an individual if </w:t>
      </w:r>
      <w:r w:rsidR="002C0B70">
        <w:t xml:space="preserve">a Human Biosecurity Officer is satisfied </w:t>
      </w:r>
      <w:r w:rsidR="00F9675A" w:rsidRPr="00183564">
        <w:t xml:space="preserve">the individual </w:t>
      </w:r>
      <w:r w:rsidR="002C0B70">
        <w:t xml:space="preserve">has signs or symptoms </w:t>
      </w:r>
      <w:r w:rsidR="00274BA2">
        <w:t>of</w:t>
      </w:r>
      <w:r w:rsidR="00F9675A" w:rsidRPr="00183564">
        <w:t xml:space="preserve"> a listed human disease</w:t>
      </w:r>
      <w:r w:rsidR="002C0B70">
        <w:t xml:space="preserve"> or has been exposed to a l</w:t>
      </w:r>
      <w:r w:rsidR="00347C7B">
        <w:t>isted human disease</w:t>
      </w:r>
      <w:r w:rsidR="00F9675A" w:rsidRPr="00896A2F">
        <w:t>.</w:t>
      </w:r>
      <w:r w:rsidR="00F9675A" w:rsidRPr="00183564">
        <w:t xml:space="preserve"> A </w:t>
      </w:r>
      <w:r w:rsidR="00E67DFA" w:rsidRPr="00183564">
        <w:t>HBCO</w:t>
      </w:r>
      <w:r w:rsidR="00F9675A" w:rsidRPr="00183564">
        <w:t xml:space="preserve"> that is in force in relation to an individual may require the individual to comply with certain biosecurity measures. </w:t>
      </w:r>
      <w:r w:rsidR="00E92A16" w:rsidRPr="00183564">
        <w:t>T</w:t>
      </w:r>
      <w:r w:rsidR="00F9675A" w:rsidRPr="00183564">
        <w:t>hose measures include vaccination, restricting the individual’s behaviour and ordering the individual to remain isolated.</w:t>
      </w:r>
    </w:p>
    <w:p w14:paraId="3D5C6FED" w14:textId="6FEE0441" w:rsidR="00912A5B" w:rsidRPr="00183564" w:rsidRDefault="00912A5B" w:rsidP="00ED73B0">
      <w:r>
        <w:t xml:space="preserve">An individual may consent to a biosecurity measure included in a </w:t>
      </w:r>
      <w:r w:rsidR="000B7177">
        <w:t xml:space="preserve">HBCO </w:t>
      </w:r>
      <w:r>
        <w:t>that is in force in relation to the individual. An individual who refuses to consent to such a measure (other than an isolation measure or traveller movement measure) is not required to comply unless a direction has been given by the Director of Human Biosecurity requiring the individual to do so.</w:t>
      </w:r>
    </w:p>
    <w:p w14:paraId="29CA3666" w14:textId="19262A07" w:rsidR="002C0B70" w:rsidRDefault="00ED73B0" w:rsidP="002C0B70">
      <w:r w:rsidRPr="00A70D59">
        <w:t>HBCO</w:t>
      </w:r>
      <w:r w:rsidR="00F678B6" w:rsidRPr="00A70D59">
        <w:t>’s</w:t>
      </w:r>
      <w:r w:rsidRPr="00A70D59">
        <w:t xml:space="preserve"> </w:t>
      </w:r>
      <w:r w:rsidR="00F678B6" w:rsidRPr="00A70D59">
        <w:t>apply in relation to</w:t>
      </w:r>
      <w:r w:rsidRPr="00A70D59">
        <w:t xml:space="preserve"> individual</w:t>
      </w:r>
      <w:r w:rsidR="00A70D59" w:rsidRPr="00A70D59">
        <w:t>s</w:t>
      </w:r>
      <w:r w:rsidR="000B7177">
        <w:t xml:space="preserve"> –</w:t>
      </w:r>
      <w:r w:rsidRPr="00A70D59">
        <w:t xml:space="preserve"> </w:t>
      </w:r>
      <w:r w:rsidR="00A70D59" w:rsidRPr="00A70D59">
        <w:t>they</w:t>
      </w:r>
      <w:r w:rsidRPr="00A70D59">
        <w:t xml:space="preserve"> cannot be applied to a group or class of persons</w:t>
      </w:r>
      <w:r w:rsidR="005C1EB5">
        <w:t>.</w:t>
      </w:r>
      <w:r w:rsidRPr="005C1EB5">
        <w:t xml:space="preserve"> </w:t>
      </w:r>
      <w:r w:rsidR="005C1EB5">
        <w:t>C</w:t>
      </w:r>
      <w:r w:rsidRPr="00A70D59">
        <w:t>onsistent with the potentially intrusive scope of its powers and intrusion on personal rights and liberties, there is a very stringent test that must be met for it to apply.</w:t>
      </w:r>
      <w:r w:rsidR="00347C7B" w:rsidRPr="005C1EB5">
        <w:t xml:space="preserve"> </w:t>
      </w:r>
      <w:r w:rsidR="00AA73E0" w:rsidRPr="00912A5B">
        <w:t>As HBCOs are applied to individuals, if more than one person has</w:t>
      </w:r>
      <w:r w:rsidR="003A3BE6">
        <w:t xml:space="preserve"> signs or</w:t>
      </w:r>
      <w:r w:rsidR="00AA73E0" w:rsidRPr="00912A5B">
        <w:t xml:space="preserve"> symptoms or has been exposed to </w:t>
      </w:r>
      <w:r w:rsidR="00DC7048" w:rsidRPr="005807D2">
        <w:t xml:space="preserve">a listed human disease, </w:t>
      </w:r>
      <w:r w:rsidR="004D16E5" w:rsidRPr="005807D2">
        <w:t xml:space="preserve">then a separate HBCO is required for </w:t>
      </w:r>
      <w:proofErr w:type="gramStart"/>
      <w:r w:rsidR="004D16E5" w:rsidRPr="005807D2">
        <w:t>each individual</w:t>
      </w:r>
      <w:proofErr w:type="gramEnd"/>
      <w:r w:rsidR="004D16E5" w:rsidRPr="005807D2">
        <w:t>.</w:t>
      </w:r>
    </w:p>
    <w:p w14:paraId="20304CDB" w14:textId="0B2BD738" w:rsidR="004F526D" w:rsidRPr="00183564" w:rsidRDefault="004F526D" w:rsidP="00F55762">
      <w:pPr>
        <w:pStyle w:val="Heading4"/>
      </w:pPr>
      <w:r w:rsidRPr="00183564">
        <w:t>Pre-arrival reporting</w:t>
      </w:r>
    </w:p>
    <w:p w14:paraId="3B822FC7" w14:textId="6826FE1F" w:rsidR="009A2E4F" w:rsidRPr="00183564" w:rsidRDefault="002559B8" w:rsidP="009A2E4F">
      <w:r w:rsidRPr="00183564">
        <w:t>Chapter 4 of the Biosecurity Act deals with managing biosecurity risks in relation to aircraft and vessels that enter Australian territory from outside Australian territory</w:t>
      </w:r>
      <w:r w:rsidR="001A6F81" w:rsidRPr="00183564">
        <w:t xml:space="preserve">, including provisions for pre-arrival reporting. </w:t>
      </w:r>
      <w:r w:rsidR="009A2E4F" w:rsidRPr="00183564">
        <w:t xml:space="preserve">The human health </w:t>
      </w:r>
      <w:r w:rsidR="00790A80" w:rsidRPr="00183564">
        <w:t>p</w:t>
      </w:r>
      <w:r w:rsidR="009A2E4F" w:rsidRPr="00183564">
        <w:t>re-</w:t>
      </w:r>
      <w:r w:rsidR="00790A80" w:rsidRPr="00183564">
        <w:t>a</w:t>
      </w:r>
      <w:r w:rsidR="009A2E4F" w:rsidRPr="00183564">
        <w:t xml:space="preserve">rrival </w:t>
      </w:r>
      <w:r w:rsidR="00790A80" w:rsidRPr="00183564">
        <w:t>r</w:t>
      </w:r>
      <w:r w:rsidR="009A2E4F" w:rsidRPr="00183564">
        <w:t>eporting required by the Act provide</w:t>
      </w:r>
      <w:r w:rsidR="00C577F5" w:rsidRPr="00183564">
        <w:t>s</w:t>
      </w:r>
      <w:r w:rsidR="009A2E4F" w:rsidRPr="00183564">
        <w:t xml:space="preserve"> the information required for the assessment and management of human health risks</w:t>
      </w:r>
      <w:r w:rsidR="008C5D75">
        <w:t xml:space="preserve"> on aircraft and vessels</w:t>
      </w:r>
      <w:r w:rsidR="009A2E4F" w:rsidRPr="00183564">
        <w:t>. The grant of pratique is contingent on this assessment and civil sanctions apply for non-compliance with the reporting requirements</w:t>
      </w:r>
      <w:r w:rsidR="003A7BBA" w:rsidRPr="00183564">
        <w:t>. The reporting requirements</w:t>
      </w:r>
      <w:r w:rsidR="009A2E4F" w:rsidRPr="00183564">
        <w:t xml:space="preserve"> are prescribed by the </w:t>
      </w:r>
      <w:r w:rsidR="009A2E4F" w:rsidRPr="00183564">
        <w:rPr>
          <w:i/>
          <w:iCs/>
        </w:rPr>
        <w:t>Biosecurity Regulation</w:t>
      </w:r>
      <w:r w:rsidR="003A7BBA" w:rsidRPr="00183564">
        <w:rPr>
          <w:i/>
          <w:iCs/>
        </w:rPr>
        <w:t xml:space="preserve"> 201</w:t>
      </w:r>
      <w:r w:rsidR="000B7177">
        <w:rPr>
          <w:i/>
          <w:iCs/>
        </w:rPr>
        <w:t>6</w:t>
      </w:r>
      <w:r w:rsidR="009A2E4F" w:rsidRPr="00183564">
        <w:t xml:space="preserve">. </w:t>
      </w:r>
    </w:p>
    <w:p w14:paraId="0CB4A759" w14:textId="5586BEA5" w:rsidR="00657CF3" w:rsidRPr="00183564" w:rsidRDefault="00657CF3" w:rsidP="00657CF3">
      <w:r w:rsidRPr="00183564">
        <w:lastRenderedPageBreak/>
        <w:t xml:space="preserve">Under section 193 of the Act, the operator of an aircraft or vessel must give a report that complies with the prescribed requirements (including </w:t>
      </w:r>
      <w:r w:rsidR="000B7177">
        <w:t xml:space="preserve">as required by the </w:t>
      </w:r>
      <w:r w:rsidR="000B7177" w:rsidRPr="000B7177">
        <w:rPr>
          <w:i/>
          <w:iCs/>
        </w:rPr>
        <w:t>Biosecurity Regulation 2016</w:t>
      </w:r>
      <w:r w:rsidR="000B7177">
        <w:t xml:space="preserve">, details of any persons with </w:t>
      </w:r>
      <w:r w:rsidRPr="00183564">
        <w:t xml:space="preserve">signs or symptoms of a listed human disease) in the following circumstances: </w:t>
      </w:r>
    </w:p>
    <w:p w14:paraId="4297E0B1" w14:textId="1322E328" w:rsidR="00657CF3" w:rsidRPr="00183564" w:rsidRDefault="00657CF3" w:rsidP="000B7177">
      <w:pPr>
        <w:pStyle w:val="ListParagraph"/>
        <w:numPr>
          <w:ilvl w:val="0"/>
          <w:numId w:val="9"/>
        </w:numPr>
      </w:pPr>
      <w:r w:rsidRPr="00183564">
        <w:t xml:space="preserve">if it is intended that the aircraft or vessel enter, or if the aircraft or vessel </w:t>
      </w:r>
      <w:proofErr w:type="gramStart"/>
      <w:r w:rsidRPr="00183564">
        <w:t>enters into</w:t>
      </w:r>
      <w:proofErr w:type="gramEnd"/>
      <w:r w:rsidRPr="00183564">
        <w:t>, Australian T</w:t>
      </w:r>
      <w:r w:rsidR="000B7177">
        <w:t>t</w:t>
      </w:r>
      <w:r w:rsidRPr="00183564">
        <w:t>erritory</w:t>
      </w:r>
      <w:r w:rsidR="000B7177">
        <w:t>, either</w:t>
      </w:r>
      <w:r w:rsidRPr="00183564">
        <w:t xml:space="preserve"> on a flight or voyage that commenced outside Australian </w:t>
      </w:r>
      <w:r w:rsidR="000B7177">
        <w:t>t</w:t>
      </w:r>
      <w:r w:rsidRPr="00183564">
        <w:t>erritory</w:t>
      </w:r>
      <w:r w:rsidR="000B7177">
        <w:t>,</w:t>
      </w:r>
      <w:r w:rsidRPr="00183564">
        <w:t xml:space="preserve"> or after being exposed to another conveyance while outside Australian </w:t>
      </w:r>
      <w:r w:rsidR="000B7177">
        <w:t>t</w:t>
      </w:r>
      <w:r w:rsidRPr="00183564">
        <w:t xml:space="preserve">erritory; or </w:t>
      </w:r>
    </w:p>
    <w:p w14:paraId="72528F90" w14:textId="02F8CC12" w:rsidR="00ED73B0" w:rsidRPr="00183564" w:rsidRDefault="00657CF3" w:rsidP="00085E43">
      <w:pPr>
        <w:pStyle w:val="ListParagraph"/>
        <w:numPr>
          <w:ilvl w:val="0"/>
          <w:numId w:val="9"/>
        </w:numPr>
      </w:pPr>
      <w:r w:rsidRPr="00183564">
        <w:t>it is intended that the aircraft or vessel be, or is, exposed to a conveyance that is subject to biosecurity control, or goods that are subject to biosecurity control and are of a kind prescribed by the regulations.</w:t>
      </w:r>
    </w:p>
    <w:p w14:paraId="6FFECAD2" w14:textId="3EC4E93D" w:rsidR="00657CF3" w:rsidRPr="00183564" w:rsidRDefault="001E2A10" w:rsidP="00716A5F">
      <w:r w:rsidRPr="00183564">
        <w:t xml:space="preserve">For vessels other than non-commercial vessels, the </w:t>
      </w:r>
      <w:r w:rsidRPr="00183564">
        <w:rPr>
          <w:i/>
          <w:iCs/>
        </w:rPr>
        <w:t>Biosecurity Regulation</w:t>
      </w:r>
      <w:r w:rsidR="00CD4E6D" w:rsidRPr="00183564">
        <w:rPr>
          <w:i/>
          <w:iCs/>
        </w:rPr>
        <w:t xml:space="preserve"> 2016</w:t>
      </w:r>
      <w:r w:rsidRPr="00183564">
        <w:t xml:space="preserve"> requires the </w:t>
      </w:r>
      <w:r w:rsidR="00FC4D49">
        <w:t>p</w:t>
      </w:r>
      <w:r w:rsidRPr="00183564">
        <w:t>re-</w:t>
      </w:r>
      <w:r w:rsidR="00FC4D49">
        <w:t>a</w:t>
      </w:r>
      <w:r w:rsidRPr="00183564">
        <w:t xml:space="preserve">rrival </w:t>
      </w:r>
      <w:r w:rsidR="00FC4D49">
        <w:t>r</w:t>
      </w:r>
      <w:r w:rsidRPr="00183564">
        <w:t xml:space="preserve">eport to be submitted within 96 to 12 hours of estimated time of arrival at </w:t>
      </w:r>
      <w:r w:rsidR="000B7177">
        <w:t xml:space="preserve">a </w:t>
      </w:r>
      <w:r w:rsidRPr="00183564">
        <w:t>First Point of Entry</w:t>
      </w:r>
      <w:r w:rsidR="003B0E1E">
        <w:t xml:space="preserve"> (as defined under section 18 of the Act)</w:t>
      </w:r>
      <w:r w:rsidRPr="00183564">
        <w:t>.</w:t>
      </w:r>
      <w:r w:rsidR="00C0148B" w:rsidRPr="00183564">
        <w:t xml:space="preserve"> Different </w:t>
      </w:r>
      <w:r w:rsidR="00910DF2" w:rsidRPr="00183564">
        <w:t xml:space="preserve">reporting times </w:t>
      </w:r>
      <w:r w:rsidR="00C0148B" w:rsidRPr="00183564">
        <w:t xml:space="preserve">apply to </w:t>
      </w:r>
      <w:r w:rsidR="00C47DAC">
        <w:t xml:space="preserve">other conveyances such as </w:t>
      </w:r>
      <w:r w:rsidR="00C0148B" w:rsidRPr="00183564">
        <w:t xml:space="preserve">non-commercial vessels </w:t>
      </w:r>
      <w:r w:rsidR="00C47DAC">
        <w:t>(</w:t>
      </w:r>
      <w:r w:rsidR="0034421E">
        <w:t>for example</w:t>
      </w:r>
      <w:r w:rsidR="003B0E1E">
        <w:t>,</w:t>
      </w:r>
      <w:r w:rsidR="00C0148B">
        <w:t xml:space="preserve"> </w:t>
      </w:r>
      <w:r w:rsidR="00C0148B" w:rsidRPr="00183564">
        <w:t>private yachts</w:t>
      </w:r>
      <w:r w:rsidR="00C47DAC">
        <w:t>)</w:t>
      </w:r>
      <w:r w:rsidR="00C0148B" w:rsidRPr="00183564">
        <w:t xml:space="preserve"> and aircraft.</w:t>
      </w:r>
    </w:p>
    <w:p w14:paraId="514C27DE" w14:textId="11A842B5" w:rsidR="00657CF3" w:rsidRPr="00183564" w:rsidRDefault="00A9767D" w:rsidP="00716A5F">
      <w:r w:rsidRPr="00B07197">
        <w:t>Section 194 of the Act requires operators of aircraft and vessels to rectify incorrect or incomplete reports</w:t>
      </w:r>
      <w:r w:rsidR="003B0E1E">
        <w:t xml:space="preserve"> by providing additional or corrected information to a </w:t>
      </w:r>
      <w:r w:rsidR="008A4A2D">
        <w:t>b</w:t>
      </w:r>
      <w:r w:rsidR="003B0E1E">
        <w:t xml:space="preserve">iosecurity </w:t>
      </w:r>
      <w:r w:rsidR="008A4A2D">
        <w:t>o</w:t>
      </w:r>
      <w:r w:rsidR="003B0E1E">
        <w:t>fficer</w:t>
      </w:r>
      <w:r w:rsidRPr="00B07197">
        <w:t>. However, if the human health status onboard a vessel changes after the pre-arrival report is submitted, the wording of the section does not provide a clear obligation to update information in a report.</w:t>
      </w:r>
      <w:r w:rsidR="00A209C3">
        <w:t xml:space="preserve"> A </w:t>
      </w:r>
      <w:r w:rsidR="00761EF3">
        <w:t xml:space="preserve">person </w:t>
      </w:r>
      <w:r w:rsidR="003B0E1E">
        <w:t xml:space="preserve">is liable to a fault-based (criminal) offence or a civil penalty if they </w:t>
      </w:r>
      <w:r w:rsidR="00761EF3">
        <w:t>fail to provide the information required under section 194</w:t>
      </w:r>
      <w:r w:rsidR="00EA2B53">
        <w:t>.</w:t>
      </w:r>
    </w:p>
    <w:p w14:paraId="670BF421" w14:textId="77777777" w:rsidR="007D771D" w:rsidRPr="00183564" w:rsidRDefault="007D771D" w:rsidP="007D771D">
      <w:pPr>
        <w:pStyle w:val="BodyText"/>
        <w:rPr>
          <w:rFonts w:asciiTheme="majorHAnsi" w:hAnsiTheme="majorHAnsi"/>
          <w:b/>
          <w:color w:val="014463" w:themeColor="text2"/>
          <w:sz w:val="60"/>
          <w:szCs w:val="60"/>
        </w:rPr>
      </w:pPr>
      <w:bookmarkStart w:id="11" w:name="_Ref78906078"/>
    </w:p>
    <w:p w14:paraId="3641D4DC" w14:textId="5A1E768C" w:rsidR="00716A5F" w:rsidRPr="00183564" w:rsidRDefault="00716A5F" w:rsidP="00F55762">
      <w:pPr>
        <w:pStyle w:val="Heading2"/>
      </w:pPr>
      <w:bookmarkStart w:id="12" w:name="_Toc80965299"/>
      <w:r w:rsidRPr="00183564">
        <w:t>1. What is the problem you are trying to solve?</w:t>
      </w:r>
      <w:bookmarkEnd w:id="11"/>
      <w:bookmarkEnd w:id="12"/>
    </w:p>
    <w:p w14:paraId="5489F07A" w14:textId="4C314D77" w:rsidR="00101C1C" w:rsidRPr="00183564" w:rsidRDefault="00101C1C" w:rsidP="00101C1C">
      <w:pPr>
        <w:pStyle w:val="Heading3"/>
      </w:pPr>
      <w:bookmarkStart w:id="13" w:name="_Toc80965300"/>
      <w:r w:rsidRPr="00183564">
        <w:t>Overview</w:t>
      </w:r>
      <w:bookmarkEnd w:id="13"/>
    </w:p>
    <w:p w14:paraId="5012CBD4" w14:textId="00411C3E" w:rsidR="00A503CC" w:rsidRPr="00183564" w:rsidRDefault="00A503CC" w:rsidP="00A503CC">
      <w:pPr>
        <w:pStyle w:val="BodyText"/>
      </w:pPr>
      <w:r w:rsidRPr="00183564">
        <w:t>This Regulatory Impact Assessment</w:t>
      </w:r>
      <w:r w:rsidR="00A74E29">
        <w:t xml:space="preserve"> (RIS)</w:t>
      </w:r>
      <w:r w:rsidRPr="00183564">
        <w:t xml:space="preserve"> </w:t>
      </w:r>
      <w:r w:rsidR="00D72E7A">
        <w:t>assesses the effectiveness of</w:t>
      </w:r>
      <w:r w:rsidRPr="00183564">
        <w:t xml:space="preserve"> Commonwealth biosecurity legislation to address priority issues identified in the context of the COVID-19 pandemic. The emergence and global spread of the COVID-19 ‘once in a century’ pandemic since early 2020 has tested Australia’s human biosecurity systems in an unprecedented way. Significant public and parliamentary scrutiny </w:t>
      </w:r>
      <w:proofErr w:type="gramStart"/>
      <w:r w:rsidRPr="00183564">
        <w:t>has</w:t>
      </w:r>
      <w:proofErr w:type="gramEnd"/>
      <w:r w:rsidRPr="00183564">
        <w:t xml:space="preserve"> been focussed on the laws underpinning biosecurity, and in particular the ability of the Commonwealth to respond under the Biosecurity Act. </w:t>
      </w:r>
    </w:p>
    <w:p w14:paraId="4BBFA004" w14:textId="68D61650" w:rsidR="00A503CC" w:rsidRPr="00183564" w:rsidRDefault="00A503CC" w:rsidP="00A503CC">
      <w:pPr>
        <w:pStyle w:val="BodyText"/>
      </w:pPr>
      <w:r w:rsidRPr="00183564">
        <w:t>The berthing of the Ruby Princess cruise ship in Sydney on 19 March 2020 represented a significant</w:t>
      </w:r>
      <w:r w:rsidR="003B6C5E">
        <w:t xml:space="preserve"> human biosecurity issue</w:t>
      </w:r>
      <w:r w:rsidRPr="00183564">
        <w:t xml:space="preserve">. Reviews of the Ruby Princess incident identified key areas for targeted reform to the Biosecurity Act to provide a better management framework for the risks. These reviews include the NSW </w:t>
      </w:r>
      <w:r w:rsidRPr="00E45F4B">
        <w:rPr>
          <w:i/>
          <w:iCs/>
        </w:rPr>
        <w:t>Special Commission of Inquiry into the Ruby Princess Cruise Ship Incident Report</w:t>
      </w:r>
      <w:r w:rsidRPr="00183564">
        <w:t xml:space="preserve"> and the Inspector-General of Biosecurity</w:t>
      </w:r>
      <w:r w:rsidR="00E45F4B">
        <w:t>’s</w:t>
      </w:r>
      <w:r w:rsidRPr="00183564">
        <w:t xml:space="preserve"> Review </w:t>
      </w:r>
      <w:r w:rsidRPr="00183564">
        <w:rPr>
          <w:i/>
          <w:iCs/>
        </w:rPr>
        <w:t>Confidence testing for at-border delivery of critical human biosecurity functions - Ruby Princess cruise ship incident.</w:t>
      </w:r>
      <w:r w:rsidRPr="00183564">
        <w:t xml:space="preserve"> </w:t>
      </w:r>
    </w:p>
    <w:p w14:paraId="79A6F2BA" w14:textId="77777777" w:rsidR="00746C88" w:rsidRPr="00183564" w:rsidRDefault="00746C88" w:rsidP="00746C88">
      <w:pPr>
        <w:pStyle w:val="BodyText"/>
      </w:pPr>
      <w:r w:rsidRPr="00183564">
        <w:t>The recommendations from these reviews and the lessons learnt through the pandemic response to COVID-19 have highlighted specific issues with the Biosecurity Act relating to:</w:t>
      </w:r>
    </w:p>
    <w:p w14:paraId="14BAB851" w14:textId="7822DA25" w:rsidR="00746C88" w:rsidRPr="00183564" w:rsidRDefault="00746C88" w:rsidP="00085E43">
      <w:pPr>
        <w:pStyle w:val="BodyText"/>
        <w:numPr>
          <w:ilvl w:val="0"/>
          <w:numId w:val="12"/>
        </w:numPr>
      </w:pPr>
      <w:r w:rsidRPr="00183564">
        <w:t xml:space="preserve">The </w:t>
      </w:r>
      <w:r w:rsidR="003B6C5E">
        <w:t xml:space="preserve">operation </w:t>
      </w:r>
      <w:r w:rsidRPr="00183564">
        <w:t>of pratique provisions within the Biosecurity Act</w:t>
      </w:r>
      <w:r w:rsidR="003B0E1E">
        <w:t>;</w:t>
      </w:r>
    </w:p>
    <w:p w14:paraId="5A3DC0E2" w14:textId="733963F7" w:rsidR="00746C88" w:rsidRPr="00183564" w:rsidRDefault="00746C88" w:rsidP="00085E43">
      <w:pPr>
        <w:pStyle w:val="BodyText"/>
        <w:numPr>
          <w:ilvl w:val="0"/>
          <w:numId w:val="12"/>
        </w:numPr>
      </w:pPr>
      <w:r w:rsidRPr="00183564">
        <w:t xml:space="preserve">Pre-arrival reporting obligations and the importance of </w:t>
      </w:r>
      <w:r w:rsidR="003F416B">
        <w:t xml:space="preserve">accurate and timely </w:t>
      </w:r>
      <w:r w:rsidRPr="00183564">
        <w:t xml:space="preserve">human health assessments prior to </w:t>
      </w:r>
      <w:r w:rsidR="0081681C">
        <w:t>arrival at</w:t>
      </w:r>
      <w:r w:rsidRPr="00183564">
        <w:t xml:space="preserve"> a port</w:t>
      </w:r>
      <w:r w:rsidR="003B0E1E">
        <w:t>; and</w:t>
      </w:r>
    </w:p>
    <w:p w14:paraId="0E1D868E" w14:textId="40CAD3FD" w:rsidR="00746C88" w:rsidRDefault="00746C88" w:rsidP="00085E43">
      <w:pPr>
        <w:pStyle w:val="BodyText"/>
        <w:numPr>
          <w:ilvl w:val="0"/>
          <w:numId w:val="12"/>
        </w:numPr>
      </w:pPr>
      <w:r w:rsidRPr="00183564">
        <w:t xml:space="preserve">Powers to manage </w:t>
      </w:r>
      <w:r w:rsidR="003B6C5E">
        <w:t xml:space="preserve">the </w:t>
      </w:r>
      <w:r w:rsidRPr="00183564">
        <w:t xml:space="preserve">human health </w:t>
      </w:r>
      <w:r w:rsidR="003B6C5E">
        <w:t xml:space="preserve">risks </w:t>
      </w:r>
      <w:r w:rsidRPr="00183564">
        <w:t xml:space="preserve">of groups of </w:t>
      </w:r>
      <w:r w:rsidR="003B6C5E">
        <w:t xml:space="preserve">arriving </w:t>
      </w:r>
      <w:r w:rsidRPr="00183564">
        <w:t>passengers.</w:t>
      </w:r>
    </w:p>
    <w:p w14:paraId="431419BA" w14:textId="63DF749A" w:rsidR="00A503CC" w:rsidRPr="00183564" w:rsidRDefault="00A503CC" w:rsidP="007D771D">
      <w:pPr>
        <w:pStyle w:val="Heading4"/>
        <w:keepNext/>
      </w:pPr>
      <w:r w:rsidRPr="00183564">
        <w:lastRenderedPageBreak/>
        <w:t xml:space="preserve">Maritime vessels are a key risk pathway for infectious disease </w:t>
      </w:r>
    </w:p>
    <w:p w14:paraId="1419FADE" w14:textId="2A9CD82D" w:rsidR="00C70D03" w:rsidRDefault="00A503CC" w:rsidP="00C70D03">
      <w:r w:rsidRPr="00183564">
        <w:t xml:space="preserve">International maritime vessels have </w:t>
      </w:r>
      <w:r w:rsidR="003B6C5E">
        <w:t xml:space="preserve">continued to present </w:t>
      </w:r>
      <w:r w:rsidRPr="00183564">
        <w:t xml:space="preserve">a significant risk pathway for infectious disease entry to Australian territory, particularly in relation to cruise vessels. There have also been multiple incidents of COVID-19 infections involving crew on commercial vessels such as </w:t>
      </w:r>
      <w:r w:rsidR="00B84CA0">
        <w:t>bulk carriers</w:t>
      </w:r>
      <w:r w:rsidRPr="00183564">
        <w:t xml:space="preserve"> and livestock ships</w:t>
      </w:r>
      <w:r w:rsidR="00E420AC" w:rsidRPr="00183564">
        <w:t>.</w:t>
      </w:r>
      <w:r w:rsidRPr="00183564">
        <w:t xml:space="preserve"> </w:t>
      </w:r>
    </w:p>
    <w:p w14:paraId="6350AF86" w14:textId="5E1E10C9" w:rsidR="00FD1A8C" w:rsidRPr="00183564" w:rsidRDefault="00FD1A8C" w:rsidP="00FD1A8C">
      <w:pPr>
        <w:rPr>
          <w:bCs/>
        </w:rPr>
      </w:pPr>
      <w:r w:rsidRPr="00183564">
        <w:rPr>
          <w:bCs/>
        </w:rPr>
        <w:t>Data sourced from the department show that 1</w:t>
      </w:r>
      <w:r w:rsidR="000F4084">
        <w:rPr>
          <w:bCs/>
        </w:rPr>
        <w:t>,</w:t>
      </w:r>
      <w:r w:rsidRPr="00183564">
        <w:rPr>
          <w:bCs/>
        </w:rPr>
        <w:t xml:space="preserve">020 positive cases of COVID-19 were detected in travellers arriving on commercial and cruise vessels from February 2020 to October 2020. The cases and types of vessels associated with the infections has been broken down in </w:t>
      </w:r>
      <w:r>
        <w:rPr>
          <w:bCs/>
        </w:rPr>
        <w:fldChar w:fldCharType="begin"/>
      </w:r>
      <w:r>
        <w:rPr>
          <w:bCs/>
        </w:rPr>
        <w:instrText xml:space="preserve"> REF _Ref78905941 \h </w:instrText>
      </w:r>
      <w:r>
        <w:rPr>
          <w:bCs/>
        </w:rPr>
      </w:r>
      <w:r>
        <w:rPr>
          <w:bCs/>
        </w:rPr>
        <w:fldChar w:fldCharType="separate"/>
      </w:r>
      <w:r w:rsidR="004C4CE2">
        <w:t xml:space="preserve">Table </w:t>
      </w:r>
      <w:r w:rsidR="004C4CE2">
        <w:rPr>
          <w:noProof/>
        </w:rPr>
        <w:t>1</w:t>
      </w:r>
      <w:r>
        <w:rPr>
          <w:bCs/>
        </w:rPr>
        <w:fldChar w:fldCharType="end"/>
      </w:r>
      <w:r w:rsidRPr="00183564">
        <w:rPr>
          <w:bCs/>
        </w:rPr>
        <w:t xml:space="preserve"> below. </w:t>
      </w:r>
    </w:p>
    <w:p w14:paraId="296A9441" w14:textId="77777777" w:rsidR="00FD1A8C" w:rsidRPr="00183564" w:rsidRDefault="00FD1A8C" w:rsidP="00FD1A8C">
      <w:pPr>
        <w:jc w:val="center"/>
        <w:rPr>
          <w:bCs/>
        </w:rPr>
      </w:pPr>
    </w:p>
    <w:tbl>
      <w:tblPr>
        <w:tblStyle w:val="GridTable4"/>
        <w:tblW w:w="0" w:type="auto"/>
        <w:tblInd w:w="2122" w:type="dxa"/>
        <w:tblLook w:val="04A0" w:firstRow="1" w:lastRow="0" w:firstColumn="1" w:lastColumn="0" w:noHBand="0" w:noVBand="1"/>
      </w:tblPr>
      <w:tblGrid>
        <w:gridCol w:w="3114"/>
        <w:gridCol w:w="3005"/>
      </w:tblGrid>
      <w:tr w:rsidR="00FD1A8C" w:rsidRPr="00183564" w14:paraId="0F96FDF8" w14:textId="77777777" w:rsidTr="00883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C63CA7" w14:textId="77777777" w:rsidR="00FD1A8C" w:rsidRPr="00183564" w:rsidRDefault="00FD1A8C" w:rsidP="000B37EB">
            <w:pPr>
              <w:numPr>
                <w:ilvl w:val="0"/>
                <w:numId w:val="3"/>
              </w:numPr>
              <w:spacing w:after="120"/>
            </w:pPr>
            <w:r w:rsidRPr="00183564">
              <w:t>Vessel Class</w:t>
            </w:r>
          </w:p>
        </w:tc>
        <w:tc>
          <w:tcPr>
            <w:tcW w:w="3005" w:type="dxa"/>
          </w:tcPr>
          <w:p w14:paraId="6811D7F7" w14:textId="77777777" w:rsidR="00FD1A8C" w:rsidRPr="00183564" w:rsidRDefault="00FD1A8C" w:rsidP="000B37EB">
            <w:pPr>
              <w:numPr>
                <w:ilvl w:val="0"/>
                <w:numId w:val="3"/>
              </w:numPr>
              <w:spacing w:after="120"/>
              <w:cnfStyle w:val="100000000000" w:firstRow="1" w:lastRow="0" w:firstColumn="0" w:lastColumn="0" w:oddVBand="0" w:evenVBand="0" w:oddHBand="0" w:evenHBand="0" w:firstRowFirstColumn="0" w:firstRowLastColumn="0" w:lastRowFirstColumn="0" w:lastRowLastColumn="0"/>
            </w:pPr>
            <w:r w:rsidRPr="00183564">
              <w:t>COVID Cases</w:t>
            </w:r>
          </w:p>
        </w:tc>
      </w:tr>
      <w:tr w:rsidR="00FD1A8C" w:rsidRPr="00183564" w14:paraId="3C1EB50D" w14:textId="77777777" w:rsidTr="00883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99C167" w14:textId="77777777" w:rsidR="00FD1A8C" w:rsidRPr="00183564" w:rsidRDefault="00FD1A8C" w:rsidP="0088371D">
            <w:pPr>
              <w:spacing w:after="120"/>
              <w:ind w:left="567"/>
            </w:pPr>
            <w:r w:rsidRPr="00183564">
              <w:t>Cruise</w:t>
            </w:r>
          </w:p>
        </w:tc>
        <w:tc>
          <w:tcPr>
            <w:tcW w:w="3005" w:type="dxa"/>
          </w:tcPr>
          <w:p w14:paraId="5B9D49A2" w14:textId="77777777" w:rsidR="00FD1A8C" w:rsidRPr="00183564" w:rsidRDefault="00FD1A8C" w:rsidP="0088371D">
            <w:pPr>
              <w:spacing w:after="120"/>
              <w:ind w:left="567"/>
              <w:cnfStyle w:val="000000100000" w:firstRow="0" w:lastRow="0" w:firstColumn="0" w:lastColumn="0" w:oddVBand="0" w:evenVBand="0" w:oddHBand="1" w:evenHBand="0" w:firstRowFirstColumn="0" w:firstRowLastColumn="0" w:lastRowFirstColumn="0" w:lastRowLastColumn="0"/>
              <w:rPr>
                <w:bCs/>
              </w:rPr>
            </w:pPr>
            <w:r w:rsidRPr="00183564">
              <w:rPr>
                <w:bCs/>
              </w:rPr>
              <w:t>935</w:t>
            </w:r>
          </w:p>
        </w:tc>
      </w:tr>
      <w:tr w:rsidR="00FD1A8C" w:rsidRPr="00183564" w14:paraId="7537F99F" w14:textId="77777777" w:rsidTr="0088371D">
        <w:tc>
          <w:tcPr>
            <w:cnfStyle w:val="001000000000" w:firstRow="0" w:lastRow="0" w:firstColumn="1" w:lastColumn="0" w:oddVBand="0" w:evenVBand="0" w:oddHBand="0" w:evenHBand="0" w:firstRowFirstColumn="0" w:firstRowLastColumn="0" w:lastRowFirstColumn="0" w:lastRowLastColumn="0"/>
            <w:tcW w:w="3114" w:type="dxa"/>
          </w:tcPr>
          <w:p w14:paraId="01148E77" w14:textId="77777777" w:rsidR="00FD1A8C" w:rsidRPr="00183564" w:rsidRDefault="00FD1A8C" w:rsidP="0088371D">
            <w:pPr>
              <w:spacing w:after="120"/>
              <w:ind w:left="567"/>
            </w:pPr>
            <w:r w:rsidRPr="00183564">
              <w:t>Commercial</w:t>
            </w:r>
          </w:p>
        </w:tc>
        <w:tc>
          <w:tcPr>
            <w:tcW w:w="3005" w:type="dxa"/>
          </w:tcPr>
          <w:p w14:paraId="0CAA1D70" w14:textId="77777777" w:rsidR="00FD1A8C" w:rsidRPr="00183564" w:rsidRDefault="00FD1A8C" w:rsidP="0088371D">
            <w:pPr>
              <w:spacing w:after="120"/>
              <w:ind w:left="567"/>
              <w:cnfStyle w:val="000000000000" w:firstRow="0" w:lastRow="0" w:firstColumn="0" w:lastColumn="0" w:oddVBand="0" w:evenVBand="0" w:oddHBand="0" w:evenHBand="0" w:firstRowFirstColumn="0" w:firstRowLastColumn="0" w:lastRowFirstColumn="0" w:lastRowLastColumn="0"/>
              <w:rPr>
                <w:bCs/>
              </w:rPr>
            </w:pPr>
            <w:r w:rsidRPr="00183564">
              <w:rPr>
                <w:bCs/>
              </w:rPr>
              <w:t>101</w:t>
            </w:r>
          </w:p>
        </w:tc>
      </w:tr>
      <w:tr w:rsidR="00FD1A8C" w:rsidRPr="00183564" w14:paraId="413DD46C" w14:textId="77777777" w:rsidTr="00883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704D58" w14:textId="77777777" w:rsidR="00FD1A8C" w:rsidRPr="00183564" w:rsidRDefault="00FD1A8C" w:rsidP="0088371D">
            <w:pPr>
              <w:spacing w:after="120"/>
              <w:ind w:left="567"/>
            </w:pPr>
            <w:r w:rsidRPr="00183564">
              <w:t>Non-commercial</w:t>
            </w:r>
          </w:p>
        </w:tc>
        <w:tc>
          <w:tcPr>
            <w:tcW w:w="3005" w:type="dxa"/>
          </w:tcPr>
          <w:p w14:paraId="125425E1" w14:textId="77777777" w:rsidR="00FD1A8C" w:rsidRPr="00183564" w:rsidRDefault="00FD1A8C" w:rsidP="0088371D">
            <w:pPr>
              <w:spacing w:after="120"/>
              <w:ind w:left="567"/>
              <w:cnfStyle w:val="000000100000" w:firstRow="0" w:lastRow="0" w:firstColumn="0" w:lastColumn="0" w:oddVBand="0" w:evenVBand="0" w:oddHBand="1" w:evenHBand="0" w:firstRowFirstColumn="0" w:firstRowLastColumn="0" w:lastRowFirstColumn="0" w:lastRowLastColumn="0"/>
              <w:rPr>
                <w:bCs/>
              </w:rPr>
            </w:pPr>
            <w:r w:rsidRPr="00183564">
              <w:rPr>
                <w:bCs/>
              </w:rPr>
              <w:t>1</w:t>
            </w:r>
          </w:p>
        </w:tc>
      </w:tr>
    </w:tbl>
    <w:p w14:paraId="7C0B0919" w14:textId="7C010108" w:rsidR="00FD1A8C" w:rsidRDefault="00FD1A8C" w:rsidP="00FD1A8C">
      <w:pPr>
        <w:pStyle w:val="Caption"/>
        <w:jc w:val="center"/>
      </w:pPr>
      <w:bookmarkStart w:id="14" w:name="_Ref78905941"/>
      <w:r>
        <w:t xml:space="preserve">Table </w:t>
      </w:r>
      <w:r w:rsidR="00733E8D">
        <w:fldChar w:fldCharType="begin"/>
      </w:r>
      <w:r w:rsidR="00733E8D">
        <w:instrText xml:space="preserve"> SEQ Table \* ARABIC </w:instrText>
      </w:r>
      <w:r w:rsidR="00733E8D">
        <w:fldChar w:fldCharType="separate"/>
      </w:r>
      <w:r>
        <w:rPr>
          <w:noProof/>
        </w:rPr>
        <w:t>1</w:t>
      </w:r>
      <w:r w:rsidR="00733E8D">
        <w:rPr>
          <w:noProof/>
        </w:rPr>
        <w:fldChar w:fldCharType="end"/>
      </w:r>
      <w:bookmarkEnd w:id="14"/>
      <w:r>
        <w:t xml:space="preserve"> – </w:t>
      </w:r>
      <w:r w:rsidRPr="008C6CE1">
        <w:t xml:space="preserve">Number of COVID-19 cases by class of vessel as </w:t>
      </w:r>
      <w:proofErr w:type="gramStart"/>
      <w:r w:rsidR="002C1603">
        <w:t>at</w:t>
      </w:r>
      <w:proofErr w:type="gramEnd"/>
      <w:r w:rsidR="002C1603">
        <w:t xml:space="preserve"> </w:t>
      </w:r>
      <w:r w:rsidRPr="008C6CE1">
        <w:t>June 2021</w:t>
      </w:r>
    </w:p>
    <w:p w14:paraId="4E690A6E" w14:textId="77777777" w:rsidR="00FD1A8C" w:rsidRPr="00183564" w:rsidRDefault="00FD1A8C" w:rsidP="00FD1A8C"/>
    <w:p w14:paraId="2EC1EBAA" w14:textId="77777777" w:rsidR="00FD1A8C" w:rsidRPr="00183564" w:rsidRDefault="00FD1A8C" w:rsidP="00FD1A8C">
      <w:r w:rsidRPr="00183564">
        <w:t>The cases compounded the ongoing economic disruptions in Australia. To manage the cases, government interventions were required, resulting in disruptions that included state-wide lockdowns, national border closures and the banning of cruise vessels. These actions have negatively impacted industries by reducing their economic activity and inhibiting their ability to trade locally and internationally.</w:t>
      </w:r>
    </w:p>
    <w:p w14:paraId="5B94A70D" w14:textId="4D07E507" w:rsidR="00FD1A8C" w:rsidRPr="00183564" w:rsidRDefault="00FD1A8C" w:rsidP="00C70D03">
      <w:r w:rsidRPr="00183564">
        <w:t xml:space="preserve">To </w:t>
      </w:r>
      <w:r w:rsidRPr="00183564">
        <w:rPr>
          <w:rFonts w:eastAsiaTheme="majorEastAsia" w:cs="Arial"/>
          <w:bCs/>
        </w:rPr>
        <w:t xml:space="preserve">understand the government response to these cases, </w:t>
      </w:r>
      <w:r w:rsidRPr="00183564">
        <w:rPr>
          <w:rFonts w:eastAsiaTheme="majorEastAsia" w:cs="Arial"/>
        </w:rPr>
        <w:t>it is</w:t>
      </w:r>
      <w:r w:rsidRPr="00183564">
        <w:rPr>
          <w:rFonts w:eastAsiaTheme="majorEastAsia" w:cs="Arial"/>
          <w:bCs/>
        </w:rPr>
        <w:t xml:space="preserve"> important to recognise that the actions undertaken </w:t>
      </w:r>
      <w:r w:rsidRPr="00183564">
        <w:rPr>
          <w:rFonts w:eastAsiaTheme="majorEastAsia" w:cs="Arial"/>
        </w:rPr>
        <w:t>occurred</w:t>
      </w:r>
      <w:r w:rsidRPr="00183564">
        <w:rPr>
          <w:rFonts w:eastAsiaTheme="majorEastAsia" w:cs="Arial"/>
          <w:bCs/>
        </w:rPr>
        <w:t xml:space="preserve"> within an ongoing government response in an evolving situation. In January 2020, prior to the events of the Ruby Princess, the Director of Human Biosecurity had determined ‘human coronavirus with pandemic potential’, including COVID-19, as a </w:t>
      </w:r>
      <w:r>
        <w:rPr>
          <w:rFonts w:eastAsiaTheme="majorEastAsia" w:cs="Arial"/>
          <w:bCs/>
        </w:rPr>
        <w:t>l</w:t>
      </w:r>
      <w:r w:rsidRPr="00183564">
        <w:rPr>
          <w:rFonts w:eastAsiaTheme="majorEastAsia" w:cs="Arial"/>
          <w:bCs/>
        </w:rPr>
        <w:t xml:space="preserve">isted </w:t>
      </w:r>
      <w:r>
        <w:rPr>
          <w:rFonts w:eastAsiaTheme="majorEastAsia" w:cs="Arial"/>
          <w:bCs/>
        </w:rPr>
        <w:t>h</w:t>
      </w:r>
      <w:r w:rsidRPr="00183564">
        <w:rPr>
          <w:rFonts w:eastAsiaTheme="majorEastAsia" w:cs="Arial"/>
          <w:bCs/>
        </w:rPr>
        <w:t xml:space="preserve">uman </w:t>
      </w:r>
      <w:r>
        <w:rPr>
          <w:rFonts w:eastAsiaTheme="majorEastAsia" w:cs="Arial"/>
          <w:bCs/>
        </w:rPr>
        <w:t>d</w:t>
      </w:r>
      <w:r w:rsidRPr="00183564">
        <w:rPr>
          <w:rFonts w:eastAsiaTheme="majorEastAsia" w:cs="Arial"/>
          <w:bCs/>
        </w:rPr>
        <w:t xml:space="preserve">isease, which enabled the </w:t>
      </w:r>
      <w:r w:rsidRPr="00183564">
        <w:t>implementation of additional COVID-19 screening requirements at First Po</w:t>
      </w:r>
      <w:r>
        <w:t>in</w:t>
      </w:r>
      <w:r w:rsidRPr="00183564">
        <w:t>ts of Entry</w:t>
      </w:r>
      <w:r w:rsidRPr="00183564">
        <w:rPr>
          <w:rFonts w:eastAsiaTheme="majorEastAsia" w:cs="Arial"/>
          <w:bCs/>
        </w:rPr>
        <w:t xml:space="preserve">. The Australian Government subsequently advised self-isolation for all international travellers and banned </w:t>
      </w:r>
      <w:r w:rsidR="003036BA" w:rsidRPr="00183564">
        <w:t xml:space="preserve">the entry of foreign-flagged </w:t>
      </w:r>
      <w:r w:rsidRPr="00183564">
        <w:rPr>
          <w:rFonts w:eastAsiaTheme="majorEastAsia" w:cs="Arial"/>
          <w:bCs/>
        </w:rPr>
        <w:t xml:space="preserve">cruise vessels </w:t>
      </w:r>
      <w:r w:rsidR="003036BA" w:rsidRPr="003036BA">
        <w:rPr>
          <w:rFonts w:eastAsiaTheme="majorEastAsia" w:cs="Arial"/>
          <w:bCs/>
        </w:rPr>
        <w:t>into Australian waters, with limited exceptions</w:t>
      </w:r>
      <w:r w:rsidR="003D1687">
        <w:rPr>
          <w:rFonts w:eastAsiaTheme="majorEastAsia" w:cs="Arial"/>
          <w:bCs/>
        </w:rPr>
        <w:t>,</w:t>
      </w:r>
      <w:r w:rsidR="003036BA" w:rsidRPr="003036BA" w:rsidDel="003036BA">
        <w:rPr>
          <w:rFonts w:eastAsiaTheme="majorEastAsia" w:cs="Arial"/>
          <w:bCs/>
        </w:rPr>
        <w:t xml:space="preserve"> </w:t>
      </w:r>
      <w:r w:rsidR="003036BA" w:rsidRPr="00183564">
        <w:t>from 18</w:t>
      </w:r>
      <w:r w:rsidR="003036BA">
        <w:t> </w:t>
      </w:r>
      <w:r w:rsidR="003036BA" w:rsidRPr="00183564">
        <w:t>March</w:t>
      </w:r>
      <w:r w:rsidR="003036BA">
        <w:t> </w:t>
      </w:r>
      <w:r w:rsidR="003036BA" w:rsidRPr="00183564">
        <w:t>2020</w:t>
      </w:r>
      <w:r w:rsidRPr="00183564">
        <w:rPr>
          <w:rFonts w:eastAsiaTheme="majorEastAsia" w:cs="Arial"/>
          <w:bCs/>
        </w:rPr>
        <w:t xml:space="preserve">. </w:t>
      </w:r>
    </w:p>
    <w:p w14:paraId="4D8FAB92" w14:textId="43A20076" w:rsidR="00101C1C" w:rsidRPr="00183564" w:rsidRDefault="00101C1C" w:rsidP="00101C1C">
      <w:pPr>
        <w:pStyle w:val="Heading3"/>
      </w:pPr>
      <w:bookmarkStart w:id="15" w:name="_Toc80965301"/>
      <w:r w:rsidRPr="00183564">
        <w:t>Key issues</w:t>
      </w:r>
      <w:bookmarkEnd w:id="15"/>
    </w:p>
    <w:p w14:paraId="465F4118" w14:textId="7BBF0E5D" w:rsidR="0023168D" w:rsidRPr="00183564" w:rsidRDefault="0023168D" w:rsidP="00F55762">
      <w:pPr>
        <w:pStyle w:val="Heading4"/>
      </w:pPr>
      <w:r w:rsidRPr="00183564">
        <w:t>Pratique</w:t>
      </w:r>
    </w:p>
    <w:p w14:paraId="7B6549A1" w14:textId="26732672" w:rsidR="007E1111" w:rsidRPr="00183564" w:rsidRDefault="00547282" w:rsidP="00547282">
      <w:pPr>
        <w:pStyle w:val="BodyText"/>
      </w:pPr>
      <w:r w:rsidRPr="00183564">
        <w:t xml:space="preserve">Once a vessel has arrived at the port precinct at the first point of entry, and has been granted pratique, it cannot be revoked. </w:t>
      </w:r>
      <w:r w:rsidR="005A33D8" w:rsidRPr="00183564">
        <w:t xml:space="preserve">In this situation, cargo can be </w:t>
      </w:r>
      <w:r w:rsidR="00EC134C" w:rsidRPr="00183564">
        <w:t>unloaded,</w:t>
      </w:r>
      <w:r w:rsidR="005A33D8" w:rsidRPr="00183564">
        <w:t xml:space="preserve"> and passengers </w:t>
      </w:r>
      <w:r w:rsidR="00551370" w:rsidRPr="00183564">
        <w:t>may</w:t>
      </w:r>
      <w:r w:rsidR="005A33D8" w:rsidRPr="00183564">
        <w:t xml:space="preserve"> disembark. </w:t>
      </w:r>
    </w:p>
    <w:p w14:paraId="5AB49A4D" w14:textId="71B9915F" w:rsidR="00860D65" w:rsidRPr="00183564" w:rsidRDefault="00AC5F70" w:rsidP="00D82517">
      <w:pPr>
        <w:pStyle w:val="BodyText"/>
      </w:pPr>
      <w:r w:rsidRPr="00183564">
        <w:t xml:space="preserve">On the other hand, if pratique is not granted, </w:t>
      </w:r>
      <w:r w:rsidR="002010B2" w:rsidRPr="00183564">
        <w:t xml:space="preserve">no cargo can be loaded or </w:t>
      </w:r>
      <w:r w:rsidR="00EC134C" w:rsidRPr="00183564">
        <w:t>unloaded,</w:t>
      </w:r>
      <w:r w:rsidR="002010B2" w:rsidRPr="00183564">
        <w:t xml:space="preserve"> and no passengers can </w:t>
      </w:r>
      <w:r w:rsidR="005A3EF2">
        <w:t xml:space="preserve">embark or </w:t>
      </w:r>
      <w:r w:rsidR="002010B2" w:rsidRPr="00183564">
        <w:t xml:space="preserve">disembark. </w:t>
      </w:r>
      <w:r w:rsidR="00A17A85" w:rsidRPr="00183564">
        <w:t xml:space="preserve">There is no provision to </w:t>
      </w:r>
      <w:r w:rsidR="00293728" w:rsidRPr="00183564">
        <w:t>grant pratique subject to conditions.</w:t>
      </w:r>
      <w:r w:rsidR="00EA69D1" w:rsidRPr="00183564">
        <w:t xml:space="preserve"> When a human health concern (death or illness onboard) is notified through the </w:t>
      </w:r>
      <w:r w:rsidR="00017677">
        <w:t>p</w:t>
      </w:r>
      <w:r w:rsidR="00EA69D1" w:rsidRPr="00183564">
        <w:t xml:space="preserve">re-arrival </w:t>
      </w:r>
      <w:r w:rsidR="00FC4D49">
        <w:t>r</w:t>
      </w:r>
      <w:r w:rsidR="00EA69D1" w:rsidRPr="00183564">
        <w:t xml:space="preserve">eport, the ship is in negative pratique. </w:t>
      </w:r>
    </w:p>
    <w:p w14:paraId="1C2BF0CD" w14:textId="47B6B476" w:rsidR="009C4BD0" w:rsidRPr="00C92BE7" w:rsidRDefault="004B20D7" w:rsidP="005807D2">
      <w:pPr>
        <w:pStyle w:val="BodyText"/>
      </w:pPr>
      <w:r w:rsidRPr="00C92BE7">
        <w:t xml:space="preserve">To an extent this results in an </w:t>
      </w:r>
      <w:r w:rsidR="00F575B6" w:rsidRPr="00C92BE7">
        <w:t>‘a</w:t>
      </w:r>
      <w:r w:rsidRPr="00C92BE7">
        <w:t>ll or nothing’</w:t>
      </w:r>
      <w:r w:rsidR="00F575B6" w:rsidRPr="00C92BE7">
        <w:t xml:space="preserve"> </w:t>
      </w:r>
      <w:r w:rsidRPr="00C962D7">
        <w:t>outcome</w:t>
      </w:r>
      <w:r w:rsidR="004E0A9B" w:rsidRPr="00692D61">
        <w:t>.</w:t>
      </w:r>
      <w:r w:rsidR="00F575B6" w:rsidRPr="00065386">
        <w:t xml:space="preserve"> </w:t>
      </w:r>
      <w:r w:rsidR="00470AC5" w:rsidRPr="001E0175">
        <w:t>Negative pratique is</w:t>
      </w:r>
      <w:r w:rsidR="00470AC5" w:rsidRPr="0084643F">
        <w:t xml:space="preserve"> a </w:t>
      </w:r>
      <w:proofErr w:type="gramStart"/>
      <w:r w:rsidR="00470AC5" w:rsidRPr="0084643F">
        <w:t>fairly blunt</w:t>
      </w:r>
      <w:proofErr w:type="gramEnd"/>
      <w:r w:rsidR="00470AC5" w:rsidRPr="0084643F">
        <w:t xml:space="preserve"> and binary tool which does not permit a more tailored and nuanced approach to the management of risk which could be appropriate in certain cir</w:t>
      </w:r>
      <w:r w:rsidR="00470AC5" w:rsidRPr="00714D73">
        <w:t>cumstances</w:t>
      </w:r>
      <w:r w:rsidR="00470AC5" w:rsidRPr="00FD1A8C">
        <w:t xml:space="preserve">. </w:t>
      </w:r>
      <w:r w:rsidR="00470AC5" w:rsidRPr="00C92BE7">
        <w:t xml:space="preserve">The human biosecurity risk managed by pratique rests primarily in people </w:t>
      </w:r>
      <w:r w:rsidR="00CB6E6A">
        <w:t xml:space="preserve">embarking on or </w:t>
      </w:r>
      <w:r w:rsidR="00470AC5" w:rsidRPr="00C92BE7">
        <w:t>disembarking a vessel. In doing so, they are potentially</w:t>
      </w:r>
      <w:r w:rsidR="00CB6E6A">
        <w:t xml:space="preserve"> becoming exposed </w:t>
      </w:r>
      <w:r w:rsidR="00197BA2">
        <w:t xml:space="preserve">or exposing others </w:t>
      </w:r>
      <w:r w:rsidR="00CB6E6A">
        <w:t>to a listed human disease</w:t>
      </w:r>
      <w:r w:rsidR="00470AC5" w:rsidRPr="00C92BE7">
        <w:t>. When</w:t>
      </w:r>
      <w:r w:rsidR="00CB6E6A">
        <w:t xml:space="preserve"> pratique has not been granted</w:t>
      </w:r>
      <w:r w:rsidR="00470AC5" w:rsidRPr="00C92BE7">
        <w:t xml:space="preserve">, the movement of all passengers and crew are affected, regardless of whether the presence of the risk factors </w:t>
      </w:r>
      <w:proofErr w:type="gramStart"/>
      <w:r w:rsidR="00470AC5" w:rsidRPr="00C92BE7">
        <w:t>are</w:t>
      </w:r>
      <w:proofErr w:type="gramEnd"/>
      <w:r w:rsidR="00470AC5" w:rsidRPr="00C92BE7">
        <w:t xml:space="preserve"> contained to a single deck or an even smaller area. Additionally, no loading or unloading of cargo can take place when the vessel </w:t>
      </w:r>
      <w:r w:rsidR="00CB6E6A">
        <w:t xml:space="preserve">has not been granted pratique, </w:t>
      </w:r>
      <w:r w:rsidR="00470AC5" w:rsidRPr="00C92BE7">
        <w:t>regardless of whether these actions would pose a human biosecurity risk.</w:t>
      </w:r>
      <w:r w:rsidR="00470AC5" w:rsidRPr="00C962D7">
        <w:t xml:space="preserve"> </w:t>
      </w:r>
      <w:r w:rsidR="009770AE" w:rsidRPr="00692D61">
        <w:t xml:space="preserve">The </w:t>
      </w:r>
      <w:r w:rsidR="009770AE" w:rsidRPr="00065386">
        <w:t>current arrangements</w:t>
      </w:r>
      <w:r w:rsidR="00D0387A">
        <w:t xml:space="preserve"> </w:t>
      </w:r>
      <w:bookmarkStart w:id="16" w:name="_Hlk80953232"/>
      <w:r w:rsidR="00D0387A">
        <w:t>would be enhanced by allowing more flexible options to be available</w:t>
      </w:r>
      <w:r w:rsidR="009770AE" w:rsidRPr="00065386">
        <w:t xml:space="preserve"> </w:t>
      </w:r>
      <w:bookmarkEnd w:id="16"/>
      <w:r w:rsidR="00CB6E6A">
        <w:t xml:space="preserve">to </w:t>
      </w:r>
      <w:r w:rsidR="009770AE" w:rsidRPr="003A243B">
        <w:t xml:space="preserve">target risk. </w:t>
      </w:r>
    </w:p>
    <w:p w14:paraId="535C8328" w14:textId="5129B574" w:rsidR="00990577" w:rsidRPr="00183564" w:rsidRDefault="009C38E3" w:rsidP="007D771D">
      <w:pPr>
        <w:pStyle w:val="Heading4"/>
        <w:keepNext/>
      </w:pPr>
      <w:r w:rsidRPr="00183564">
        <w:lastRenderedPageBreak/>
        <w:t>Non-compli</w:t>
      </w:r>
      <w:r w:rsidR="00C32C9B" w:rsidRPr="00183564">
        <w:t>an</w:t>
      </w:r>
      <w:r w:rsidRPr="00183564">
        <w:t>ce with pratiq</w:t>
      </w:r>
      <w:r w:rsidR="00C32C9B" w:rsidRPr="00183564">
        <w:t>ue requirements</w:t>
      </w:r>
    </w:p>
    <w:p w14:paraId="3ACD7C24" w14:textId="2BC1085E" w:rsidR="00990577" w:rsidRPr="00183564" w:rsidRDefault="00B75A68" w:rsidP="00B75A68">
      <w:pPr>
        <w:pStyle w:val="BodyText"/>
      </w:pPr>
      <w:r w:rsidRPr="00183564">
        <w:t>Before pratique is granted, the operator of a</w:t>
      </w:r>
      <w:r w:rsidR="00B43439">
        <w:t>n aircraft or</w:t>
      </w:r>
      <w:r w:rsidRPr="00183564">
        <w:t xml:space="preserve"> vessel must not allow anything to be loaded or unloaded or any person to embark or disembark the </w:t>
      </w:r>
      <w:r w:rsidR="00B43439">
        <w:t xml:space="preserve">aircraft or </w:t>
      </w:r>
      <w:r w:rsidRPr="00183564">
        <w:t xml:space="preserve">vessel. There are civil penalties for any breaches of this requirement. But as noted above, </w:t>
      </w:r>
      <w:r w:rsidR="00FC59F8" w:rsidRPr="00183564">
        <w:t xml:space="preserve">these </w:t>
      </w:r>
      <w:r w:rsidR="003D23ED" w:rsidRPr="00183564">
        <w:t xml:space="preserve">penalties </w:t>
      </w:r>
      <w:r w:rsidR="00FC59F8" w:rsidRPr="00183564">
        <w:t xml:space="preserve">only apply to the </w:t>
      </w:r>
      <w:r w:rsidR="00A30A89" w:rsidRPr="00183564">
        <w:t>operator</w:t>
      </w:r>
      <w:r w:rsidR="00FC59F8" w:rsidRPr="00183564">
        <w:t xml:space="preserve"> of the</w:t>
      </w:r>
      <w:r w:rsidR="00B43439">
        <w:t xml:space="preserve"> aircraft or</w:t>
      </w:r>
      <w:r w:rsidR="00FC59F8" w:rsidRPr="00183564">
        <w:t xml:space="preserve"> vessel, which in the case of </w:t>
      </w:r>
      <w:r w:rsidR="00532807" w:rsidRPr="00A64C46">
        <w:t xml:space="preserve"> commercial vessels, the operator </w:t>
      </w:r>
      <w:r w:rsidR="003B6C5E">
        <w:t xml:space="preserve">would </w:t>
      </w:r>
      <w:r w:rsidR="00532807" w:rsidRPr="00A64C46">
        <w:t xml:space="preserve">generally </w:t>
      </w:r>
      <w:r w:rsidR="003B6C5E">
        <w:t xml:space="preserve">be </w:t>
      </w:r>
      <w:r w:rsidR="00532807" w:rsidRPr="00A64C46">
        <w:t xml:space="preserve">a corporation, </w:t>
      </w:r>
      <w:r w:rsidR="003B6C5E">
        <w:t xml:space="preserve">which may be </w:t>
      </w:r>
      <w:r w:rsidR="00532807" w:rsidRPr="00A64C46">
        <w:t>located overseas</w:t>
      </w:r>
      <w:r w:rsidR="00532807">
        <w:t>.</w:t>
      </w:r>
    </w:p>
    <w:p w14:paraId="6B652A95" w14:textId="3D61AD9F" w:rsidR="009F140F" w:rsidRDefault="00600B70" w:rsidP="00600B70">
      <w:pPr>
        <w:pStyle w:val="BodyText"/>
      </w:pPr>
      <w:r w:rsidRPr="00183564">
        <w:t>As the Inspector-General of Biosecurity report</w:t>
      </w:r>
      <w:r w:rsidR="00792106" w:rsidRPr="00183564">
        <w:t>ed</w:t>
      </w:r>
      <w:r w:rsidRPr="00183564">
        <w:t xml:space="preserve">, it appears that any passenger or crew member, who knowingly disembarks a vessel that is in negative pratique, may not be in breach of the </w:t>
      </w:r>
      <w:r w:rsidR="00532807">
        <w:t xml:space="preserve">Biosecurity </w:t>
      </w:r>
      <w:r w:rsidRPr="00183564">
        <w:t xml:space="preserve">Act. </w:t>
      </w:r>
      <w:r w:rsidR="003B6C5E">
        <w:t xml:space="preserve">Further, the </w:t>
      </w:r>
      <w:r w:rsidR="003B6C5E" w:rsidRPr="00183564">
        <w:t xml:space="preserve">Inspector-General of Biosecurity </w:t>
      </w:r>
      <w:r w:rsidR="003B6C5E">
        <w:t xml:space="preserve">noted that the person in charge of an aircraft or vessel would also not be responsible for any non-compliance with negative pratique requirements. </w:t>
      </w:r>
    </w:p>
    <w:p w14:paraId="441002F1" w14:textId="754CD8D6" w:rsidR="00600B70" w:rsidRPr="00183564" w:rsidRDefault="003B6C5E" w:rsidP="00600B70">
      <w:pPr>
        <w:pStyle w:val="BodyText"/>
      </w:pPr>
      <w:r>
        <w:t>t</w:t>
      </w:r>
      <w:r w:rsidR="00A64C46" w:rsidRPr="00A64C46">
        <w:t xml:space="preserve">he current </w:t>
      </w:r>
      <w:r w:rsidR="00532807">
        <w:t xml:space="preserve">framework of the Biosecurity Act </w:t>
      </w:r>
      <w:r w:rsidR="00B43439">
        <w:t xml:space="preserve">does not impose a penalty on the </w:t>
      </w:r>
      <w:r w:rsidR="007040EF">
        <w:t xml:space="preserve">person in </w:t>
      </w:r>
      <w:r w:rsidR="00B43439">
        <w:t xml:space="preserve">charge </w:t>
      </w:r>
      <w:r w:rsidR="007040EF">
        <w:t xml:space="preserve">of </w:t>
      </w:r>
      <w:r>
        <w:t xml:space="preserve">an aircraft or </w:t>
      </w:r>
      <w:r w:rsidR="007040EF">
        <w:t xml:space="preserve">vessel </w:t>
      </w:r>
      <w:r w:rsidR="00B6103B">
        <w:t>for any breaches</w:t>
      </w:r>
      <w:r w:rsidR="00CB730D">
        <w:t xml:space="preserve"> </w:t>
      </w:r>
      <w:r>
        <w:t xml:space="preserve">of pratique requirements, </w:t>
      </w:r>
      <w:r w:rsidR="00CB730D">
        <w:t>such as passengers disembarking before pratique is granted.</w:t>
      </w:r>
    </w:p>
    <w:p w14:paraId="436576E7" w14:textId="429F4E2F" w:rsidR="00782806" w:rsidRPr="00183564" w:rsidRDefault="008540CC" w:rsidP="00F55762">
      <w:pPr>
        <w:pStyle w:val="Heading4"/>
      </w:pPr>
      <w:r w:rsidRPr="00183564">
        <w:t>Pre-arrival reporting</w:t>
      </w:r>
    </w:p>
    <w:p w14:paraId="72464F8A" w14:textId="1BB813F4" w:rsidR="00E50F09" w:rsidRPr="00183564" w:rsidRDefault="004110F4" w:rsidP="007C5482">
      <w:pPr>
        <w:pStyle w:val="BodyText"/>
      </w:pPr>
      <w:r w:rsidRPr="00183564">
        <w:t xml:space="preserve">The ability of </w:t>
      </w:r>
      <w:r w:rsidR="00EA4930" w:rsidRPr="00183564">
        <w:t>officers to make decisions about granting pratique depend</w:t>
      </w:r>
      <w:r w:rsidR="007E585E" w:rsidRPr="00183564">
        <w:t>s</w:t>
      </w:r>
      <w:r w:rsidR="00EA4930" w:rsidRPr="00183564">
        <w:t xml:space="preserve"> on access to reliable and up-to-date information on the health of passengers and crew aboard vessels. </w:t>
      </w:r>
    </w:p>
    <w:p w14:paraId="4B2B3119" w14:textId="25ECD138" w:rsidR="00C30CF3" w:rsidRPr="00183564" w:rsidRDefault="000506EE" w:rsidP="00526430">
      <w:pPr>
        <w:pStyle w:val="BodyText"/>
      </w:pPr>
      <w:r w:rsidRPr="00183564">
        <w:t xml:space="preserve">Section 193 of the Biosecurity Act requires the operator of an aircraft or vessel entering Australia to provide a pre-arrival report. </w:t>
      </w:r>
      <w:r w:rsidR="00526430" w:rsidRPr="00183564">
        <w:t xml:space="preserve">The </w:t>
      </w:r>
      <w:r w:rsidR="00E36C64">
        <w:t>p</w:t>
      </w:r>
      <w:r w:rsidR="00526430" w:rsidRPr="00183564">
        <w:t xml:space="preserve">re-arrival </w:t>
      </w:r>
      <w:r w:rsidR="00FC4D49">
        <w:t>r</w:t>
      </w:r>
      <w:r w:rsidR="00526430" w:rsidRPr="00183564">
        <w:t xml:space="preserve">eport facilitates a preliminary biosecurity assessment of the vessel </w:t>
      </w:r>
      <w:r w:rsidR="001840BB">
        <w:t xml:space="preserve">or aircraft </w:t>
      </w:r>
      <w:r w:rsidR="00526430" w:rsidRPr="00183564">
        <w:t>and any people onboard, including passengers and crew.</w:t>
      </w:r>
      <w:r w:rsidR="00C76C5F" w:rsidRPr="00183564">
        <w:t xml:space="preserve"> </w:t>
      </w:r>
      <w:r w:rsidR="00C30CF3" w:rsidRPr="00183564">
        <w:t>The pre-</w:t>
      </w:r>
      <w:r w:rsidR="00974BC2">
        <w:t>arrival</w:t>
      </w:r>
      <w:r w:rsidR="00C30CF3" w:rsidRPr="00183564">
        <w:t xml:space="preserve"> report is important to the </w:t>
      </w:r>
      <w:r w:rsidR="00974BC2">
        <w:t xml:space="preserve">determination of the </w:t>
      </w:r>
      <w:r w:rsidR="009351E8">
        <w:t>vessel’s</w:t>
      </w:r>
      <w:r w:rsidR="009351E8" w:rsidRPr="00183564">
        <w:t xml:space="preserve"> </w:t>
      </w:r>
      <w:r w:rsidR="00C30CF3" w:rsidRPr="00183564">
        <w:t xml:space="preserve">pratique status. If an illness is identified in the report, the </w:t>
      </w:r>
      <w:r w:rsidR="009351E8">
        <w:t>vessel</w:t>
      </w:r>
      <w:r w:rsidR="009351E8" w:rsidRPr="00183564">
        <w:t xml:space="preserve"> </w:t>
      </w:r>
      <w:r w:rsidR="00C30CF3" w:rsidRPr="00183564">
        <w:t xml:space="preserve">enters </w:t>
      </w:r>
      <w:r w:rsidR="00A74B2C">
        <w:t xml:space="preserve">Australian </w:t>
      </w:r>
      <w:r w:rsidR="00974BC2">
        <w:t xml:space="preserve">territory </w:t>
      </w:r>
      <w:r w:rsidR="00A74B2C">
        <w:t xml:space="preserve">with </w:t>
      </w:r>
      <w:r w:rsidR="00C30CF3" w:rsidRPr="00183564">
        <w:t xml:space="preserve">negative pratique and </w:t>
      </w:r>
      <w:r w:rsidR="00974BC2">
        <w:t xml:space="preserve">is </w:t>
      </w:r>
      <w:r w:rsidR="00C30CF3" w:rsidRPr="00183564">
        <w:t>not permitted to disembark passengers or load or unload cargo</w:t>
      </w:r>
      <w:r w:rsidR="00974BC2">
        <w:t>, unless pratique is subsequently granted by a biosecurity officer</w:t>
      </w:r>
      <w:r w:rsidR="00C30CF3" w:rsidRPr="00183564">
        <w:t>.</w:t>
      </w:r>
    </w:p>
    <w:p w14:paraId="2BC1BD83" w14:textId="6FB57307" w:rsidR="00565170" w:rsidRPr="00183564" w:rsidRDefault="00C76C5F" w:rsidP="00813B67">
      <w:pPr>
        <w:pStyle w:val="BodyText"/>
      </w:pPr>
      <w:r w:rsidRPr="00183564">
        <w:t>For cruise ships, the pre-</w:t>
      </w:r>
      <w:r w:rsidR="00CB31BA">
        <w:t>arrival</w:t>
      </w:r>
      <w:r w:rsidR="00CB31BA" w:rsidRPr="00183564">
        <w:t xml:space="preserve"> </w:t>
      </w:r>
      <w:r w:rsidRPr="00183564">
        <w:t>report must be provided between 12 and 96 hours before the estimated time of arrival at an Australian port</w:t>
      </w:r>
      <w:r w:rsidR="00974BC2">
        <w:t xml:space="preserve">, under the requirements in the </w:t>
      </w:r>
      <w:r w:rsidR="00974BC2" w:rsidRPr="00974BC2">
        <w:rPr>
          <w:i/>
          <w:iCs/>
        </w:rPr>
        <w:t>Biosecurity Regulation 2016</w:t>
      </w:r>
      <w:r w:rsidRPr="00183564">
        <w:t xml:space="preserve">. This gives </w:t>
      </w:r>
      <w:r w:rsidR="00E7560C" w:rsidRPr="00183564">
        <w:t xml:space="preserve">sufficient time for </w:t>
      </w:r>
      <w:r w:rsidR="00B96392" w:rsidRPr="00183564">
        <w:t>the</w:t>
      </w:r>
      <w:r w:rsidR="00E7560C" w:rsidRPr="00183564">
        <w:t xml:space="preserve"> information to be assessed.</w:t>
      </w:r>
    </w:p>
    <w:p w14:paraId="5D0FFAA7" w14:textId="3696E112" w:rsidR="00813B67" w:rsidRPr="00183564" w:rsidRDefault="00565170" w:rsidP="00813B67">
      <w:pPr>
        <w:pStyle w:val="BodyText"/>
      </w:pPr>
      <w:r w:rsidRPr="00183564">
        <w:t>As t</w:t>
      </w:r>
      <w:r w:rsidR="00813B67" w:rsidRPr="00183564">
        <w:t>he pre-arrival report may be provided up to 96 hours before the ship berths</w:t>
      </w:r>
      <w:r w:rsidR="000A6192" w:rsidRPr="00183564">
        <w:t xml:space="preserve">, there </w:t>
      </w:r>
      <w:r w:rsidR="00C47F7A" w:rsidRPr="00183564">
        <w:t>can</w:t>
      </w:r>
      <w:r w:rsidR="000A6192" w:rsidRPr="00183564">
        <w:t xml:space="preserve"> be </w:t>
      </w:r>
      <w:r w:rsidR="0098790F" w:rsidRPr="00183564">
        <w:t>significant</w:t>
      </w:r>
      <w:r w:rsidR="00B3235E" w:rsidRPr="00183564">
        <w:t xml:space="preserve"> changes to the health status of passengers i</w:t>
      </w:r>
      <w:r w:rsidR="00F66996" w:rsidRPr="00183564">
        <w:t>n the period before berthing</w:t>
      </w:r>
      <w:r w:rsidR="00813B67" w:rsidRPr="00183564">
        <w:t>. Given the large numbers of passengers and crew on board cruise ships, it is possible for there to be significant increases in the number of persons with a listed human disease risk or significant changes in the types of reported symptoms from the time the report is submitted.</w:t>
      </w:r>
    </w:p>
    <w:p w14:paraId="1D392116" w14:textId="61D8A56A" w:rsidR="006D3B60" w:rsidRPr="00183564" w:rsidRDefault="002C5DEA" w:rsidP="007318EE">
      <w:pPr>
        <w:pStyle w:val="BodyText"/>
      </w:pPr>
      <w:r w:rsidRPr="00183564">
        <w:t>Under section 194, the vessel operator is required to give additional</w:t>
      </w:r>
      <w:r w:rsidR="000F50DF" w:rsidRPr="00183564">
        <w:t xml:space="preserve"> </w:t>
      </w:r>
      <w:r w:rsidRPr="00183564">
        <w:t>or corrected information once they become aware that the information included in the</w:t>
      </w:r>
      <w:r w:rsidR="000F50DF" w:rsidRPr="00183564">
        <w:t xml:space="preserve"> </w:t>
      </w:r>
      <w:r w:rsidR="00E36C64">
        <w:t>p</w:t>
      </w:r>
      <w:r w:rsidRPr="00183564">
        <w:t xml:space="preserve">re-arrival </w:t>
      </w:r>
      <w:r w:rsidR="00FC4D49">
        <w:t>r</w:t>
      </w:r>
      <w:r w:rsidRPr="00183564">
        <w:t>eport was incomplete or incorrect.</w:t>
      </w:r>
      <w:r w:rsidR="000F50DF" w:rsidRPr="00183564">
        <w:t xml:space="preserve"> </w:t>
      </w:r>
      <w:r w:rsidR="00AD52CA" w:rsidRPr="00183564">
        <w:t xml:space="preserve">Both the NSW Special </w:t>
      </w:r>
      <w:r w:rsidR="001B332B" w:rsidRPr="00183564">
        <w:t>C</w:t>
      </w:r>
      <w:r w:rsidR="00AD52CA" w:rsidRPr="00183564">
        <w:t xml:space="preserve">ommissioner and the Inspector-General of Biosecurity observed that section 194 is limited in its application. On its face, </w:t>
      </w:r>
      <w:r w:rsidR="007318EE" w:rsidRPr="00183564">
        <w:t xml:space="preserve">it requires updated information only where the information on the </w:t>
      </w:r>
      <w:r w:rsidR="00E36C64">
        <w:t>p</w:t>
      </w:r>
      <w:r w:rsidR="007318EE" w:rsidRPr="00183564">
        <w:t xml:space="preserve">re-arrival </w:t>
      </w:r>
      <w:r w:rsidR="00FC4D49">
        <w:t>r</w:t>
      </w:r>
      <w:r w:rsidR="007318EE" w:rsidRPr="00183564">
        <w:t xml:space="preserve">eport could be considered ‘incomplete or incorrect’ at the time it was submitted. </w:t>
      </w:r>
      <w:r w:rsidR="00715C8E">
        <w:t>The reviews considered it open to contention</w:t>
      </w:r>
      <w:r w:rsidR="00481212" w:rsidRPr="00183564">
        <w:t xml:space="preserve"> </w:t>
      </w:r>
      <w:r w:rsidR="007318EE" w:rsidRPr="00183564">
        <w:t xml:space="preserve">that illness onboard a vessel that becomes evident after </w:t>
      </w:r>
      <w:r w:rsidR="00B531DF" w:rsidRPr="00183564">
        <w:t>submitting</w:t>
      </w:r>
      <w:r w:rsidR="007318EE" w:rsidRPr="00183564">
        <w:t xml:space="preserve"> the</w:t>
      </w:r>
      <w:r w:rsidR="005F5C6C" w:rsidRPr="00183564">
        <w:t xml:space="preserve"> </w:t>
      </w:r>
      <w:r w:rsidR="00E36C64">
        <w:t>p</w:t>
      </w:r>
      <w:r w:rsidR="007318EE" w:rsidRPr="00183564">
        <w:t xml:space="preserve">re-arrival </w:t>
      </w:r>
      <w:r w:rsidR="00863521">
        <w:t>r</w:t>
      </w:r>
      <w:r w:rsidR="007318EE" w:rsidRPr="00183564">
        <w:t xml:space="preserve">eport </w:t>
      </w:r>
      <w:r w:rsidR="00AB1258" w:rsidRPr="00AB1258">
        <w:t>does not trigger the reporting requirement under s 194.</w:t>
      </w:r>
    </w:p>
    <w:p w14:paraId="5243360E" w14:textId="08EFA427" w:rsidR="00D72DE1" w:rsidRPr="00183564" w:rsidRDefault="00D72DE1" w:rsidP="007C5482">
      <w:pPr>
        <w:pStyle w:val="BodyText"/>
      </w:pPr>
      <w:r w:rsidRPr="00183564">
        <w:t>As noted in the NSW Commission report</w:t>
      </w:r>
      <w:r w:rsidR="0027317E">
        <w:t xml:space="preserve"> at </w:t>
      </w:r>
      <w:r w:rsidR="002E6557">
        <w:t>paragraph 4.42</w:t>
      </w:r>
      <w:r w:rsidR="00D6252A" w:rsidRPr="00183564">
        <w:t>:</w:t>
      </w:r>
    </w:p>
    <w:p w14:paraId="3F4400DB" w14:textId="7533C26A" w:rsidR="00D6252A" w:rsidRPr="00183564" w:rsidRDefault="00191A76" w:rsidP="005B6F83">
      <w:pPr>
        <w:pStyle w:val="BodyText"/>
        <w:ind w:left="720"/>
        <w:jc w:val="both"/>
        <w:rPr>
          <w:i/>
          <w:iCs/>
        </w:rPr>
      </w:pPr>
      <w:r w:rsidRPr="00183564">
        <w:rPr>
          <w:i/>
          <w:iCs/>
        </w:rPr>
        <w:t>Section 194</w:t>
      </w:r>
      <w:r w:rsidR="005B6F83" w:rsidRPr="00183564">
        <w:rPr>
          <w:i/>
          <w:iCs/>
        </w:rPr>
        <w:t xml:space="preserve"> </w:t>
      </w:r>
      <w:r w:rsidRPr="00183564">
        <w:rPr>
          <w:i/>
          <w:iCs/>
        </w:rPr>
        <w:t xml:space="preserve">of the Biosecurity Act requires vessel operators to update the report if they become aware that the information in the report is incomplete or incorrect. Section 194 is expressed in a way which creates an obligation to correct a report which is found to be incomplete or incorrect. The section does not convey a clear obligation to update case numbers if and when those case numbers increase: </w:t>
      </w:r>
      <w:proofErr w:type="gramStart"/>
      <w:r w:rsidR="00FE05BD" w:rsidRPr="00183564">
        <w:rPr>
          <w:i/>
          <w:iCs/>
        </w:rPr>
        <w:t>i.e.</w:t>
      </w:r>
      <w:proofErr w:type="gramEnd"/>
      <w:r w:rsidRPr="00183564">
        <w:rPr>
          <w:i/>
          <w:iCs/>
        </w:rPr>
        <w:t xml:space="preserve"> the number of cases reported at a specified time does not make that report “incomplete or incorrect” when the number of cases later increases. Consequently, it is doubtful whether updating is required by s 194.</w:t>
      </w:r>
    </w:p>
    <w:p w14:paraId="7BCABA66" w14:textId="09B58D6B" w:rsidR="00D72DE1" w:rsidRPr="00183564" w:rsidRDefault="006E73D3" w:rsidP="007C5482">
      <w:pPr>
        <w:pStyle w:val="BodyText"/>
      </w:pPr>
      <w:r w:rsidRPr="00DA5C37">
        <w:t xml:space="preserve">As it stands, there appears to be no requirement </w:t>
      </w:r>
      <w:r w:rsidR="004071FA" w:rsidRPr="00DA5C37">
        <w:t xml:space="preserve">to update the information </w:t>
      </w:r>
      <w:r w:rsidR="000625E6" w:rsidRPr="00DA5C37">
        <w:t xml:space="preserve">if </w:t>
      </w:r>
      <w:r w:rsidR="00AA59C1" w:rsidRPr="00DA5C37">
        <w:t xml:space="preserve">there is illness or death after the </w:t>
      </w:r>
      <w:r w:rsidR="00974BC2">
        <w:t xml:space="preserve">pre-arrival </w:t>
      </w:r>
      <w:r w:rsidR="00AA59C1" w:rsidRPr="00DA5C37">
        <w:t xml:space="preserve">report is provided. </w:t>
      </w:r>
      <w:r w:rsidR="00753F1B" w:rsidRPr="00DA5C37">
        <w:t xml:space="preserve">Both </w:t>
      </w:r>
      <w:r w:rsidR="00F2310C">
        <w:t>reviews</w:t>
      </w:r>
      <w:r w:rsidR="00F2310C" w:rsidRPr="00DA5C37">
        <w:t xml:space="preserve"> </w:t>
      </w:r>
      <w:r w:rsidR="00753F1B" w:rsidRPr="00DA5C37">
        <w:t xml:space="preserve">considered this to be a significant </w:t>
      </w:r>
      <w:r w:rsidR="00993F1A" w:rsidRPr="00DA5C37">
        <w:t xml:space="preserve">gap in the current human biosecurity reporting requirements and recommended that </w:t>
      </w:r>
      <w:r w:rsidR="00D94085" w:rsidRPr="00DA5C37">
        <w:t>it be mandatory to provide updated human health information</w:t>
      </w:r>
      <w:r w:rsidR="00974BC2">
        <w:t xml:space="preserve"> after submission of a pre-arrival report</w:t>
      </w:r>
      <w:r w:rsidR="00D94085" w:rsidRPr="00DA5C37">
        <w:t>.</w:t>
      </w:r>
    </w:p>
    <w:p w14:paraId="06C8EC8D" w14:textId="22BAEE11" w:rsidR="0053782D" w:rsidRPr="00183564" w:rsidRDefault="00FF5852" w:rsidP="00F55762">
      <w:pPr>
        <w:pStyle w:val="Heading4"/>
      </w:pPr>
      <w:r w:rsidRPr="00183564">
        <w:lastRenderedPageBreak/>
        <w:t>Enforcement of</w:t>
      </w:r>
      <w:r w:rsidR="00277E53" w:rsidRPr="00183564">
        <w:t xml:space="preserve"> Pre</w:t>
      </w:r>
      <w:r w:rsidR="00770E36" w:rsidRPr="00183564">
        <w:t>-</w:t>
      </w:r>
      <w:r w:rsidR="00277E53" w:rsidRPr="00183564">
        <w:t>arrival Reporting</w:t>
      </w:r>
    </w:p>
    <w:p w14:paraId="0AC41C8E" w14:textId="1C08F6B8" w:rsidR="003628C9" w:rsidRPr="00183564" w:rsidRDefault="00770E36" w:rsidP="006C6872">
      <w:pPr>
        <w:pStyle w:val="BodyText"/>
      </w:pPr>
      <w:r w:rsidRPr="00183564">
        <w:t xml:space="preserve">There may be </w:t>
      </w:r>
      <w:r w:rsidR="00974BC2">
        <w:t xml:space="preserve">commercial pressures on </w:t>
      </w:r>
      <w:r w:rsidRPr="00183564">
        <w:t xml:space="preserve">the master of a vessel to not report </w:t>
      </w:r>
      <w:r w:rsidR="00FF5852" w:rsidRPr="00183564">
        <w:t>illnesses</w:t>
      </w:r>
      <w:r w:rsidR="00974BC2">
        <w:t xml:space="preserve"> in certain circumstances</w:t>
      </w:r>
      <w:r w:rsidR="00FF5852" w:rsidRPr="00183564">
        <w:t xml:space="preserve">. </w:t>
      </w:r>
      <w:r w:rsidR="0084120F" w:rsidRPr="00183564">
        <w:t>While</w:t>
      </w:r>
      <w:r w:rsidR="00FF5852" w:rsidRPr="00183564">
        <w:t xml:space="preserve"> the Inspector-General of Biosecurity</w:t>
      </w:r>
      <w:r w:rsidR="0084120F" w:rsidRPr="00183564">
        <w:t xml:space="preserve"> considered that </w:t>
      </w:r>
      <w:r w:rsidR="006C6872" w:rsidRPr="00183564">
        <w:t>most vessel masters comply with Australia’s requirements by correctly declaring illness onboard vessels, there were some inconsistencies in reporting</w:t>
      </w:r>
      <w:r w:rsidR="00FF5852" w:rsidRPr="00183564">
        <w:t>:</w:t>
      </w:r>
    </w:p>
    <w:p w14:paraId="4A4C34D6" w14:textId="42815C84" w:rsidR="00277E53" w:rsidRPr="00183564" w:rsidRDefault="003628C9" w:rsidP="00FF5852">
      <w:pPr>
        <w:pStyle w:val="BodyText"/>
        <w:ind w:left="720"/>
        <w:jc w:val="both"/>
        <w:rPr>
          <w:i/>
          <w:iCs/>
        </w:rPr>
      </w:pPr>
      <w:r w:rsidRPr="00183564">
        <w:rPr>
          <w:i/>
          <w:iCs/>
        </w:rPr>
        <w:t>On reporting signs or symptoms of a Listed Human Disease, the vessel is</w:t>
      </w:r>
      <w:r w:rsidR="00770E36" w:rsidRPr="00183564">
        <w:rPr>
          <w:i/>
          <w:iCs/>
        </w:rPr>
        <w:t xml:space="preserve"> </w:t>
      </w:r>
      <w:r w:rsidRPr="00183564">
        <w:rPr>
          <w:i/>
          <w:iCs/>
        </w:rPr>
        <w:t>subject to negative pratique and therefore is not permitted to disembark travellers</w:t>
      </w:r>
      <w:r w:rsidR="00770E36" w:rsidRPr="00183564">
        <w:rPr>
          <w:i/>
          <w:iCs/>
        </w:rPr>
        <w:t xml:space="preserve"> </w:t>
      </w:r>
      <w:r w:rsidRPr="00183564">
        <w:rPr>
          <w:i/>
          <w:iCs/>
        </w:rPr>
        <w:t>(commercial cruise ship) or to load or unload cargo (commercial cargo vessel).</w:t>
      </w:r>
      <w:r w:rsidR="00770E36" w:rsidRPr="00183564">
        <w:rPr>
          <w:i/>
          <w:iCs/>
        </w:rPr>
        <w:t xml:space="preserve"> </w:t>
      </w:r>
      <w:r w:rsidRPr="00183564">
        <w:rPr>
          <w:i/>
          <w:iCs/>
        </w:rPr>
        <w:t>During his fieldwork, the Inspector-General noted biosecurity officers’ concerns</w:t>
      </w:r>
      <w:r w:rsidR="00770E36" w:rsidRPr="00183564">
        <w:rPr>
          <w:i/>
          <w:iCs/>
        </w:rPr>
        <w:t xml:space="preserve"> </w:t>
      </w:r>
      <w:r w:rsidRPr="00183564">
        <w:rPr>
          <w:i/>
          <w:iCs/>
        </w:rPr>
        <w:t>that a vessel may avoid reporting illness onboard in the vessel’s Pre-arrival Report.</w:t>
      </w:r>
      <w:r w:rsidR="00770E36" w:rsidRPr="00183564">
        <w:rPr>
          <w:i/>
          <w:iCs/>
        </w:rPr>
        <w:t xml:space="preserve"> </w:t>
      </w:r>
      <w:r w:rsidRPr="00183564">
        <w:rPr>
          <w:i/>
          <w:iCs/>
        </w:rPr>
        <w:t>Information the Inspector-General later received from Agriculture confirmed several</w:t>
      </w:r>
      <w:r w:rsidR="00770E36" w:rsidRPr="00183564">
        <w:rPr>
          <w:i/>
          <w:iCs/>
        </w:rPr>
        <w:t xml:space="preserve"> </w:t>
      </w:r>
      <w:r w:rsidRPr="00183564">
        <w:rPr>
          <w:i/>
          <w:iCs/>
        </w:rPr>
        <w:t>instances where vessel masters either did not report any illnesses or reported illness</w:t>
      </w:r>
      <w:r w:rsidR="00770E36" w:rsidRPr="00183564">
        <w:rPr>
          <w:i/>
          <w:iCs/>
        </w:rPr>
        <w:t xml:space="preserve"> </w:t>
      </w:r>
      <w:r w:rsidRPr="00183564">
        <w:rPr>
          <w:i/>
          <w:iCs/>
        </w:rPr>
        <w:t>just before berthing the vessel</w:t>
      </w:r>
      <w:r w:rsidR="00770E36" w:rsidRPr="00183564">
        <w:rPr>
          <w:i/>
          <w:iCs/>
        </w:rPr>
        <w:t>.</w:t>
      </w:r>
    </w:p>
    <w:p w14:paraId="285AEE16" w14:textId="41B086BB" w:rsidR="00FF5852" w:rsidRPr="00183564" w:rsidRDefault="00186520" w:rsidP="00FF5852">
      <w:pPr>
        <w:pStyle w:val="BodyText"/>
      </w:pPr>
      <w:r w:rsidRPr="00183564">
        <w:t xml:space="preserve">If </w:t>
      </w:r>
      <w:r w:rsidR="004F49D4">
        <w:t>an operator</w:t>
      </w:r>
      <w:r w:rsidRPr="00183564">
        <w:t xml:space="preserve"> does not give a </w:t>
      </w:r>
      <w:r w:rsidR="00E36C64">
        <w:t>p</w:t>
      </w:r>
      <w:r w:rsidRPr="00183564">
        <w:t xml:space="preserve">re-arrival </w:t>
      </w:r>
      <w:r w:rsidR="00863521">
        <w:t>r</w:t>
      </w:r>
      <w:r w:rsidRPr="00183564">
        <w:t xml:space="preserve">eport as required by the Biosecurity Act, criminal and civil </w:t>
      </w:r>
      <w:r w:rsidR="00175227">
        <w:t>penalties</w:t>
      </w:r>
      <w:r w:rsidR="00175227" w:rsidRPr="00183564">
        <w:t xml:space="preserve"> </w:t>
      </w:r>
      <w:r w:rsidRPr="00183564">
        <w:t>apply</w:t>
      </w:r>
      <w:r w:rsidR="00F21E37">
        <w:t xml:space="preserve"> under section 193 of the </w:t>
      </w:r>
      <w:r w:rsidR="00AE1A22">
        <w:t>Act</w:t>
      </w:r>
      <w:r>
        <w:t xml:space="preserve">. </w:t>
      </w:r>
      <w:r w:rsidR="00AB5A79" w:rsidRPr="00183564">
        <w:t>Sections 532 and 533 of t</w:t>
      </w:r>
      <w:r w:rsidRPr="00183564">
        <w:t xml:space="preserve">he Biosecurity Act also </w:t>
      </w:r>
      <w:r w:rsidR="00AB5A79" w:rsidRPr="00183564">
        <w:t xml:space="preserve">provide </w:t>
      </w:r>
      <w:r w:rsidR="002D37A0">
        <w:t xml:space="preserve">civil </w:t>
      </w:r>
      <w:r w:rsidR="00AB5A79" w:rsidRPr="00183564">
        <w:t xml:space="preserve">penalties </w:t>
      </w:r>
      <w:r w:rsidR="002D37A0">
        <w:t>if a person provides</w:t>
      </w:r>
      <w:r w:rsidR="00AB5A79" w:rsidRPr="00183564">
        <w:t xml:space="preserve"> false or misleading information or documents.</w:t>
      </w:r>
      <w:r w:rsidR="002D37A0">
        <w:t xml:space="preserve"> These are additional to the </w:t>
      </w:r>
      <w:r w:rsidR="00180755">
        <w:t>offence provisions</w:t>
      </w:r>
      <w:r w:rsidR="002D37A0">
        <w:t xml:space="preserve"> set out in the Criminal Code</w:t>
      </w:r>
      <w:r w:rsidR="00180755">
        <w:t xml:space="preserve"> </w:t>
      </w:r>
      <w:r w:rsidR="00FD6C18">
        <w:t xml:space="preserve">for false and misleading </w:t>
      </w:r>
      <w:r w:rsidR="00180755">
        <w:t>information or documents</w:t>
      </w:r>
      <w:r w:rsidR="00FD6C18">
        <w:t>.</w:t>
      </w:r>
    </w:p>
    <w:p w14:paraId="05EE0335" w14:textId="2C2D787F" w:rsidR="00E50F09" w:rsidRPr="00183564" w:rsidRDefault="00F90CDD" w:rsidP="00F55762">
      <w:pPr>
        <w:pStyle w:val="Heading4"/>
      </w:pPr>
      <w:r>
        <w:t>H</w:t>
      </w:r>
      <w:r w:rsidRPr="00183564">
        <w:t>uman biosecurity control orders</w:t>
      </w:r>
      <w:r>
        <w:t xml:space="preserve"> (HBCOs)</w:t>
      </w:r>
    </w:p>
    <w:p w14:paraId="51337CEA" w14:textId="32CB00BE" w:rsidR="00E50F09" w:rsidRPr="00183564" w:rsidRDefault="00C76A99" w:rsidP="001B3EDA">
      <w:pPr>
        <w:pStyle w:val="BodyText"/>
      </w:pPr>
      <w:r w:rsidRPr="00183564">
        <w:t xml:space="preserve">One way </w:t>
      </w:r>
      <w:r w:rsidR="00A2159D">
        <w:t xml:space="preserve">in </w:t>
      </w:r>
      <w:r w:rsidRPr="00183564">
        <w:t xml:space="preserve">which the Biosecurity Act seeks to actively manage </w:t>
      </w:r>
      <w:r w:rsidR="004D5E0F" w:rsidRPr="00183564">
        <w:t xml:space="preserve">identified </w:t>
      </w:r>
      <w:r w:rsidRPr="00183564">
        <w:t xml:space="preserve">human biosecurity risks is through </w:t>
      </w:r>
      <w:r w:rsidR="002A7285">
        <w:t>h</w:t>
      </w:r>
      <w:r w:rsidRPr="00183564">
        <w:t xml:space="preserve">uman </w:t>
      </w:r>
      <w:r w:rsidR="002A7285">
        <w:t>b</w:t>
      </w:r>
      <w:r w:rsidRPr="00183564">
        <w:t xml:space="preserve">iosecurity </w:t>
      </w:r>
      <w:r w:rsidR="002A7285">
        <w:t>c</w:t>
      </w:r>
      <w:r w:rsidRPr="00183564">
        <w:t xml:space="preserve">ontrol </w:t>
      </w:r>
      <w:r w:rsidR="002A7285">
        <w:t>o</w:t>
      </w:r>
      <w:r w:rsidRPr="00183564">
        <w:t>rders</w:t>
      </w:r>
      <w:r w:rsidR="00467091" w:rsidRPr="00183564">
        <w:t xml:space="preserve"> (HBCOs). A </w:t>
      </w:r>
      <w:r w:rsidR="00D22CBE" w:rsidRPr="00183564">
        <w:t xml:space="preserve">HBCO can only be issued where an officer is satisfied that an individual has signs or symptoms of a </w:t>
      </w:r>
      <w:r w:rsidR="00276013">
        <w:t>l</w:t>
      </w:r>
      <w:r w:rsidR="00D22CBE" w:rsidRPr="00183564">
        <w:t xml:space="preserve">isted </w:t>
      </w:r>
      <w:r w:rsidR="00276013">
        <w:t>h</w:t>
      </w:r>
      <w:r w:rsidR="00D22CBE" w:rsidRPr="00183564">
        <w:t xml:space="preserve">uman </w:t>
      </w:r>
      <w:r w:rsidR="00276013">
        <w:t>d</w:t>
      </w:r>
      <w:r w:rsidR="00D22CBE" w:rsidRPr="00183564">
        <w:t xml:space="preserve">isease or has been exposed to a </w:t>
      </w:r>
      <w:r w:rsidR="00276013">
        <w:t>l</w:t>
      </w:r>
      <w:r w:rsidR="00D22CBE" w:rsidRPr="00183564">
        <w:t xml:space="preserve">isted </w:t>
      </w:r>
      <w:r w:rsidR="00276013">
        <w:t>h</w:t>
      </w:r>
      <w:r w:rsidR="00D22CBE" w:rsidRPr="00183564">
        <w:t xml:space="preserve">uman </w:t>
      </w:r>
      <w:r w:rsidR="00276013">
        <w:t>d</w:t>
      </w:r>
      <w:r w:rsidR="00D22CBE" w:rsidRPr="00183564">
        <w:t>isease.</w:t>
      </w:r>
      <w:r w:rsidR="001B3EDA" w:rsidRPr="00183564">
        <w:t xml:space="preserve"> Part 3 of Chapter 2 of the Act sets out a range of </w:t>
      </w:r>
      <w:r w:rsidR="004D3936">
        <w:t xml:space="preserve">biosecurity </w:t>
      </w:r>
      <w:r w:rsidR="001B3EDA" w:rsidRPr="00183564">
        <w:t>measures</w:t>
      </w:r>
      <w:r w:rsidR="00DA2F16">
        <w:t xml:space="preserve"> that may be imposed by a HBCO</w:t>
      </w:r>
      <w:r w:rsidR="001B3EDA" w:rsidRPr="00183564">
        <w:t>, including restricting the individual’s behaviour</w:t>
      </w:r>
      <w:r w:rsidR="002A7285">
        <w:t xml:space="preserve">, requiring an individual to undergo an </w:t>
      </w:r>
      <w:proofErr w:type="gramStart"/>
      <w:r w:rsidR="002A7285">
        <w:t>examination</w:t>
      </w:r>
      <w:proofErr w:type="gramEnd"/>
      <w:r w:rsidR="001B3EDA" w:rsidRPr="00183564">
        <w:t xml:space="preserve"> and</w:t>
      </w:r>
      <w:r w:rsidR="002A7285">
        <w:t xml:space="preserve"> wearing protective clothing and equipment</w:t>
      </w:r>
      <w:r w:rsidR="001B3EDA" w:rsidRPr="00183564">
        <w:t xml:space="preserve">. </w:t>
      </w:r>
      <w:r w:rsidR="00A324B5" w:rsidRPr="00183564">
        <w:t>Penalties apply for</w:t>
      </w:r>
      <w:r w:rsidR="00D608BC" w:rsidRPr="00183564">
        <w:t xml:space="preserve"> failing to comply with a HBCO. </w:t>
      </w:r>
      <w:r w:rsidR="00EA56C6">
        <w:t xml:space="preserve">As noted above, HBCOs apply to individuals and not to groups of people. </w:t>
      </w:r>
      <w:r w:rsidR="00D7458C" w:rsidRPr="00183564">
        <w:t xml:space="preserve">To date, no HBCOs have been </w:t>
      </w:r>
      <w:r w:rsidR="002A7285">
        <w:t xml:space="preserve">imposed </w:t>
      </w:r>
      <w:r w:rsidR="00D7458C" w:rsidRPr="00183564">
        <w:t>under the Biosecurity Act</w:t>
      </w:r>
      <w:r w:rsidR="000843AC" w:rsidRPr="00183564">
        <w:t>.</w:t>
      </w:r>
    </w:p>
    <w:p w14:paraId="1B2F06D0" w14:textId="75207770" w:rsidR="003A6E8D" w:rsidRPr="00183564" w:rsidRDefault="00D7458C" w:rsidP="00D7458C">
      <w:pPr>
        <w:pStyle w:val="BodyText"/>
      </w:pPr>
      <w:r w:rsidRPr="00183564">
        <w:t xml:space="preserve">The Act </w:t>
      </w:r>
      <w:r w:rsidR="00EB2661" w:rsidRPr="00183564">
        <w:t xml:space="preserve">only </w:t>
      </w:r>
      <w:r w:rsidRPr="00183564">
        <w:t xml:space="preserve">allows for HBCOs to be </w:t>
      </w:r>
      <w:r w:rsidR="002A7285">
        <w:t>imposed on</w:t>
      </w:r>
      <w:r w:rsidRPr="00183564">
        <w:t xml:space="preserve"> individuals. </w:t>
      </w:r>
      <w:r w:rsidR="002A7285">
        <w:t xml:space="preserve">It </w:t>
      </w:r>
      <w:r w:rsidRPr="00183564">
        <w:t xml:space="preserve">is feasible </w:t>
      </w:r>
      <w:r w:rsidR="002A7285">
        <w:t xml:space="preserve">to use this mechanism </w:t>
      </w:r>
      <w:r w:rsidRPr="00183564">
        <w:t>for a small number of arriving passengers and crew</w:t>
      </w:r>
      <w:r w:rsidR="005660A5" w:rsidRPr="00183564">
        <w:t xml:space="preserve"> but impractical </w:t>
      </w:r>
      <w:r w:rsidR="00CA2FEF" w:rsidRPr="00183564">
        <w:t xml:space="preserve">for larger </w:t>
      </w:r>
      <w:r w:rsidR="00DA2F16">
        <w:t>groups</w:t>
      </w:r>
      <w:r w:rsidR="00301C2D">
        <w:t xml:space="preserve"> of people</w:t>
      </w:r>
      <w:r w:rsidR="00CA2FEF" w:rsidRPr="00183564">
        <w:t xml:space="preserve">. </w:t>
      </w:r>
      <w:r w:rsidR="008820FE" w:rsidRPr="00183564">
        <w:t xml:space="preserve">The NSW Special Commissioner described the administrative processes </w:t>
      </w:r>
      <w:r w:rsidR="009B2301" w:rsidRPr="00183564">
        <w:t xml:space="preserve">for HCBOs </w:t>
      </w:r>
      <w:r w:rsidR="008820FE" w:rsidRPr="00183564">
        <w:t xml:space="preserve">as being </w:t>
      </w:r>
      <w:r w:rsidR="009002F3" w:rsidRPr="00183564">
        <w:t>‘</w:t>
      </w:r>
      <w:r w:rsidR="008820FE" w:rsidRPr="00183564">
        <w:t>fairly demanding</w:t>
      </w:r>
      <w:r w:rsidR="009002F3" w:rsidRPr="00183564">
        <w:t>’</w:t>
      </w:r>
      <w:r w:rsidR="00A35B1F" w:rsidRPr="00183564">
        <w:t xml:space="preserve"> and impractical to </w:t>
      </w:r>
      <w:r w:rsidR="000917D2" w:rsidRPr="00183564">
        <w:t xml:space="preserve">issue to </w:t>
      </w:r>
      <w:proofErr w:type="gramStart"/>
      <w:r w:rsidR="000917D2" w:rsidRPr="00183564">
        <w:t xml:space="preserve">a </w:t>
      </w:r>
      <w:r w:rsidR="00645E65" w:rsidRPr="00183564">
        <w:t>large number of</w:t>
      </w:r>
      <w:proofErr w:type="gramEnd"/>
      <w:r w:rsidR="00645E65" w:rsidRPr="00183564">
        <w:t xml:space="preserve"> people.</w:t>
      </w:r>
      <w:r w:rsidR="0008265C" w:rsidRPr="00183564">
        <w:t xml:space="preserve"> For example, the Ruby Princess cruise ship, which docked at the Port of Sydney on 19 March 2020, carried about 2,700 passengers and 1,000 crew onboard. As noted above, about 40% of the Australian passengers on the ship developed COVID-19.</w:t>
      </w:r>
      <w:r w:rsidR="003245D4" w:rsidRPr="00183564">
        <w:t xml:space="preserve"> The Inspector-General of Biosecurity</w:t>
      </w:r>
      <w:r w:rsidR="00916A01" w:rsidRPr="00183564">
        <w:t xml:space="preserve"> similarly stated that it would be impractical, if not impossible</w:t>
      </w:r>
      <w:r w:rsidR="00B30CA3" w:rsidRPr="00183564">
        <w:t xml:space="preserve">, to issue HBCOs </w:t>
      </w:r>
      <w:r w:rsidR="00203D2A" w:rsidRPr="00183564">
        <w:t xml:space="preserve">to every passenger </w:t>
      </w:r>
      <w:r w:rsidR="00FC5FC1" w:rsidRPr="00183564">
        <w:t>and crew member onboard</w:t>
      </w:r>
      <w:r w:rsidR="007B7641" w:rsidRPr="00183564">
        <w:t xml:space="preserve"> the Ruby Princess</w:t>
      </w:r>
      <w:r w:rsidR="00954611">
        <w:t xml:space="preserve">, leading to a higher </w:t>
      </w:r>
      <w:r w:rsidR="0049596C">
        <w:t>risk of disease transmission.</w:t>
      </w:r>
    </w:p>
    <w:p w14:paraId="0F9543B3" w14:textId="4F58AD22" w:rsidR="007C5482" w:rsidRPr="00183564" w:rsidRDefault="00A24834" w:rsidP="007C5482">
      <w:pPr>
        <w:pStyle w:val="BodyText"/>
      </w:pPr>
      <w:r w:rsidRPr="00183564">
        <w:t xml:space="preserve">Both the NSW </w:t>
      </w:r>
      <w:r w:rsidR="00F72197" w:rsidRPr="00183564">
        <w:t xml:space="preserve">Special </w:t>
      </w:r>
      <w:r w:rsidRPr="00183564">
        <w:t xml:space="preserve">Commissioner and the Inspector-General of Biosecurity recommended </w:t>
      </w:r>
      <w:r w:rsidR="00F3680B" w:rsidRPr="00183564">
        <w:t>that</w:t>
      </w:r>
      <w:r w:rsidR="008063AA">
        <w:t xml:space="preserve"> consideration be given to amending</w:t>
      </w:r>
      <w:r w:rsidR="00F3680B" w:rsidRPr="00183564">
        <w:t xml:space="preserve"> the Biosecurity Act to </w:t>
      </w:r>
      <w:r w:rsidR="00472308" w:rsidRPr="00183564">
        <w:t xml:space="preserve">enable </w:t>
      </w:r>
      <w:r w:rsidR="001115DB" w:rsidRPr="00183564">
        <w:t xml:space="preserve">HBCOs to </w:t>
      </w:r>
      <w:r w:rsidR="00EC5E0C">
        <w:t xml:space="preserve">be issued </w:t>
      </w:r>
      <w:r w:rsidR="00755578">
        <w:t xml:space="preserve">to </w:t>
      </w:r>
      <w:r w:rsidR="001115DB" w:rsidRPr="00183564">
        <w:t>a group of people.</w:t>
      </w:r>
    </w:p>
    <w:p w14:paraId="6C52E1EC" w14:textId="7CC087AB" w:rsidR="007C5482" w:rsidRPr="00183564" w:rsidRDefault="007508E4" w:rsidP="00101C1C">
      <w:pPr>
        <w:pStyle w:val="Heading3"/>
      </w:pPr>
      <w:bookmarkStart w:id="17" w:name="_Toc80965302"/>
      <w:r w:rsidRPr="00183564">
        <w:t xml:space="preserve">Affected </w:t>
      </w:r>
      <w:r w:rsidR="00661858" w:rsidRPr="00183564">
        <w:t>b</w:t>
      </w:r>
      <w:r w:rsidR="000B5D73" w:rsidRPr="00183564">
        <w:t>usinesses, community organisations or individuals</w:t>
      </w:r>
      <w:bookmarkEnd w:id="17"/>
      <w:r w:rsidR="000B5D73" w:rsidRPr="00183564">
        <w:t xml:space="preserve"> </w:t>
      </w:r>
    </w:p>
    <w:p w14:paraId="512D43C2" w14:textId="4AC8C9DE" w:rsidR="004A0EED" w:rsidRPr="00183564" w:rsidRDefault="00175D86" w:rsidP="004A0EED">
      <w:pPr>
        <w:pStyle w:val="BodyText"/>
      </w:pPr>
      <w:r w:rsidRPr="00183564">
        <w:t>The C</w:t>
      </w:r>
      <w:r w:rsidR="00127643" w:rsidRPr="00183564">
        <w:t>OVID-19 pandemic has effectively brought the cruise industry to a standstill in Australia</w:t>
      </w:r>
      <w:r w:rsidR="00EE3AE9" w:rsidRPr="00183564">
        <w:t xml:space="preserve"> with significant economic costs to cruise</w:t>
      </w:r>
      <w:r w:rsidR="006E508F" w:rsidRPr="00183564">
        <w:t xml:space="preserve"> ship companies and </w:t>
      </w:r>
      <w:r w:rsidR="00E87745" w:rsidRPr="00183564">
        <w:t>to the Australian economy</w:t>
      </w:r>
      <w:r w:rsidR="00127643" w:rsidRPr="00183564">
        <w:t>.</w:t>
      </w:r>
      <w:r w:rsidR="00CE4C93" w:rsidRPr="00183564">
        <w:t xml:space="preserve"> Addressing the problems outlined above will be a step towards allowing the resumption of cruise services in a COVID-19 safe manner.</w:t>
      </w:r>
    </w:p>
    <w:p w14:paraId="5992671C" w14:textId="77777777" w:rsidR="004A0EED" w:rsidRPr="00183564" w:rsidRDefault="004A0EED" w:rsidP="004D2613">
      <w:pPr>
        <w:pStyle w:val="BodyText"/>
        <w:rPr>
          <w:i/>
          <w:iCs/>
        </w:rPr>
      </w:pPr>
      <w:r w:rsidRPr="00183564">
        <w:rPr>
          <w:i/>
          <w:iCs/>
        </w:rPr>
        <w:t xml:space="preserve">Cruise Industry </w:t>
      </w:r>
    </w:p>
    <w:p w14:paraId="608A8133" w14:textId="53637255" w:rsidR="004A0EED" w:rsidRPr="00183564" w:rsidRDefault="00A75467" w:rsidP="00723439">
      <w:pPr>
        <w:pStyle w:val="BodyText"/>
      </w:pPr>
      <w:r w:rsidRPr="00183564">
        <w:t>C</w:t>
      </w:r>
      <w:r w:rsidR="008D2F60" w:rsidRPr="00183564">
        <w:t>ruise Lines International</w:t>
      </w:r>
      <w:r w:rsidR="00796A60" w:rsidRPr="00183564">
        <w:t xml:space="preserve"> Association, Australasia (CLIA)</w:t>
      </w:r>
      <w:r w:rsidR="00572479">
        <w:t xml:space="preserve"> </w:t>
      </w:r>
      <w:r w:rsidR="000779D6">
        <w:t>i</w:t>
      </w:r>
      <w:r w:rsidR="00572479" w:rsidRPr="00572479">
        <w:t>s composed of more than 60 of the world's major cruise lines and serves as a non-governmental consultative organisation to the International Maritime Organization (IMO), an agency of the United Nations.</w:t>
      </w:r>
      <w:r w:rsidR="00796A60" w:rsidRPr="00183564">
        <w:t xml:space="preserve"> </w:t>
      </w:r>
      <w:r w:rsidR="006610C6" w:rsidRPr="00183564">
        <w:t>According to</w:t>
      </w:r>
      <w:r w:rsidR="006610C6">
        <w:t xml:space="preserve"> CLIA, </w:t>
      </w:r>
      <w:r w:rsidR="00BF577B" w:rsidRPr="00183564">
        <w:t>Australia’s ongoing cruise suspension had cost the local economy an estimated $6 billion in losses and put more than 18,000 jobs in doubt.</w:t>
      </w:r>
      <w:r w:rsidR="007B66D7" w:rsidRPr="00183564">
        <w:t xml:space="preserve"> </w:t>
      </w:r>
      <w:r w:rsidR="00BC1ED2" w:rsidRPr="00183564">
        <w:t xml:space="preserve">(CLIA </w:t>
      </w:r>
      <w:r w:rsidR="00CD56A0" w:rsidRPr="00183564">
        <w:t>News</w:t>
      </w:r>
      <w:r w:rsidR="0080485F" w:rsidRPr="00183564">
        <w:t xml:space="preserve">, </w:t>
      </w:r>
      <w:r w:rsidR="0080485F" w:rsidRPr="00183564">
        <w:rPr>
          <w:i/>
          <w:iCs/>
        </w:rPr>
        <w:t>Australia’s plan needs to include cruising</w:t>
      </w:r>
      <w:r w:rsidR="0080485F" w:rsidRPr="00183564">
        <w:t xml:space="preserve">, </w:t>
      </w:r>
      <w:r w:rsidR="00B20C74" w:rsidRPr="00183564">
        <w:t xml:space="preserve">2 </w:t>
      </w:r>
      <w:r w:rsidR="00AA2486" w:rsidRPr="00183564">
        <w:t>July</w:t>
      </w:r>
      <w:r w:rsidR="00B20C74" w:rsidRPr="00183564">
        <w:t xml:space="preserve"> 2021).</w:t>
      </w:r>
    </w:p>
    <w:p w14:paraId="1F89D9CC" w14:textId="77777777" w:rsidR="004A0EED" w:rsidRPr="00183564" w:rsidRDefault="004A0EED" w:rsidP="008670B0">
      <w:pPr>
        <w:pStyle w:val="BodyText"/>
        <w:rPr>
          <w:i/>
          <w:iCs/>
        </w:rPr>
      </w:pPr>
      <w:r w:rsidRPr="00183564">
        <w:rPr>
          <w:i/>
          <w:iCs/>
        </w:rPr>
        <w:t>Tourism Industry</w:t>
      </w:r>
    </w:p>
    <w:p w14:paraId="06753CE8" w14:textId="77777777" w:rsidR="004A0EED" w:rsidRPr="00183564" w:rsidRDefault="004A0EED" w:rsidP="008670B0">
      <w:pPr>
        <w:pStyle w:val="BodyText"/>
      </w:pPr>
      <w:r w:rsidRPr="00183564">
        <w:t xml:space="preserve">A staged and safe resumption of the cruise sector will boost local economies, including those industries directly and indirectly involved with the cruise industry, such a suppliers, travel agents, and the hospitality sector. </w:t>
      </w:r>
    </w:p>
    <w:p w14:paraId="6A4A9C92" w14:textId="5FFAFC3E" w:rsidR="004A0EED" w:rsidRPr="00183564" w:rsidRDefault="004A0EED" w:rsidP="008670B0">
      <w:pPr>
        <w:pStyle w:val="BodyText"/>
        <w:rPr>
          <w:i/>
          <w:iCs/>
        </w:rPr>
      </w:pPr>
      <w:r w:rsidRPr="00183564">
        <w:rPr>
          <w:i/>
          <w:iCs/>
        </w:rPr>
        <w:lastRenderedPageBreak/>
        <w:t>Ports</w:t>
      </w:r>
    </w:p>
    <w:p w14:paraId="06336D07" w14:textId="1CD16851" w:rsidR="004A0EED" w:rsidRPr="00183564" w:rsidRDefault="004A0EED" w:rsidP="009B7AFE">
      <w:pPr>
        <w:pStyle w:val="BodyText"/>
      </w:pPr>
      <w:r w:rsidRPr="00183564">
        <w:t>Reducing potential exposure of port staff to COVID-19 is a key issue for the Maritime Union of Australia</w:t>
      </w:r>
      <w:r w:rsidR="00F010F1">
        <w:t>,</w:t>
      </w:r>
      <w:r w:rsidR="00F010F1" w:rsidRPr="00F010F1">
        <w:t xml:space="preserve"> </w:t>
      </w:r>
      <w:r w:rsidR="00F010F1">
        <w:t>who represent waterside workers, seafarers, port workers, professional divers and office workers associated with ports</w:t>
      </w:r>
      <w:r w:rsidRPr="00183564">
        <w:t>.</w:t>
      </w:r>
      <w:r w:rsidR="00AB0CC9" w:rsidRPr="00183564">
        <w:t xml:space="preserve"> Once cruises resume, c</w:t>
      </w:r>
      <w:r w:rsidRPr="00183564">
        <w:t>onsultation will be required with port authorities regarding the treatment of all cruise vessels arriving in</w:t>
      </w:r>
      <w:r w:rsidR="007D771D">
        <w:t xml:space="preserve"> </w:t>
      </w:r>
      <w:r w:rsidR="002A7285">
        <w:t>Australia</w:t>
      </w:r>
      <w:r w:rsidRPr="00183564">
        <w:t>.</w:t>
      </w:r>
      <w:r w:rsidR="009B7AFE" w:rsidRPr="00183564">
        <w:t xml:space="preserve"> </w:t>
      </w:r>
      <w:r w:rsidRPr="00183564">
        <w:t>There is potential for reduced berthing capacity for other vessels seeking to arrive in port, and for extended periods of time, when a cruise vessel is identified as having a potential</w:t>
      </w:r>
      <w:r w:rsidR="00C13A10">
        <w:t xml:space="preserve"> relevant</w:t>
      </w:r>
      <w:r w:rsidRPr="00183564">
        <w:t xml:space="preserve"> infectious disease risk on board.</w:t>
      </w:r>
    </w:p>
    <w:p w14:paraId="7F48F165" w14:textId="77777777" w:rsidR="004A0EED" w:rsidRPr="00183564" w:rsidRDefault="004A0EED" w:rsidP="00B35DFF">
      <w:pPr>
        <w:pStyle w:val="BodyText"/>
        <w:rPr>
          <w:i/>
          <w:iCs/>
        </w:rPr>
      </w:pPr>
      <w:r w:rsidRPr="00183564">
        <w:rPr>
          <w:i/>
          <w:iCs/>
        </w:rPr>
        <w:t>All Other Industries</w:t>
      </w:r>
    </w:p>
    <w:p w14:paraId="00B32E34" w14:textId="77777777" w:rsidR="00F13BCF" w:rsidRDefault="00B35DFF" w:rsidP="00E907A8">
      <w:pPr>
        <w:pStyle w:val="BodyText"/>
      </w:pPr>
      <w:r w:rsidRPr="00183564">
        <w:t>Addressing the id</w:t>
      </w:r>
      <w:r w:rsidR="00D669E1" w:rsidRPr="00183564">
        <w:t>entified problems</w:t>
      </w:r>
      <w:r w:rsidR="004A0EED" w:rsidRPr="00183564">
        <w:t xml:space="preserve"> will help protect Australia’s industries from being exposed to COVID-19 biosecurity risks, which will assist Australia’s economic recovery and support increased confidence in Australia’s business sector.</w:t>
      </w:r>
    </w:p>
    <w:p w14:paraId="2C103147" w14:textId="750025D4" w:rsidR="00716A5F" w:rsidRPr="00183564" w:rsidRDefault="00716A5F" w:rsidP="00E907A8">
      <w:pPr>
        <w:pStyle w:val="BodyText"/>
        <w:rPr>
          <w:rFonts w:asciiTheme="majorHAnsi" w:hAnsiTheme="majorHAnsi"/>
          <w:b/>
          <w:color w:val="014463" w:themeColor="text2"/>
          <w:sz w:val="60"/>
          <w:szCs w:val="60"/>
        </w:rPr>
      </w:pPr>
    </w:p>
    <w:p w14:paraId="043F2878" w14:textId="77777777" w:rsidR="00716A5F" w:rsidRPr="00183564" w:rsidRDefault="00716A5F" w:rsidP="00D55A67">
      <w:pPr>
        <w:pStyle w:val="Heading2"/>
      </w:pPr>
      <w:bookmarkStart w:id="18" w:name="_Toc80965303"/>
      <w:r w:rsidRPr="00183564">
        <w:t>2. Why is Government action needed?</w:t>
      </w:r>
      <w:bookmarkEnd w:id="18"/>
    </w:p>
    <w:p w14:paraId="21125D19" w14:textId="75E09262" w:rsidR="00974678" w:rsidRDefault="00974678" w:rsidP="008864AE">
      <w:pPr>
        <w:pStyle w:val="Heading3"/>
      </w:pPr>
      <w:bookmarkStart w:id="19" w:name="_Toc80965304"/>
      <w:r>
        <w:t>Objectives</w:t>
      </w:r>
      <w:bookmarkEnd w:id="19"/>
    </w:p>
    <w:p w14:paraId="7BB0904C" w14:textId="11C679F4" w:rsidR="006E67BF" w:rsidRDefault="00AB7748">
      <w:pPr>
        <w:pStyle w:val="BodyText"/>
      </w:pPr>
      <w:r>
        <w:t xml:space="preserve">The </w:t>
      </w:r>
      <w:r w:rsidR="00C45A92">
        <w:t>regulatory</w:t>
      </w:r>
      <w:r w:rsidR="00981DB9">
        <w:t xml:space="preserve"> action</w:t>
      </w:r>
      <w:r w:rsidR="00930528">
        <w:t>s</w:t>
      </w:r>
      <w:r w:rsidR="005F4BFC">
        <w:t xml:space="preserve"> </w:t>
      </w:r>
      <w:r w:rsidR="00E61772">
        <w:t>being assessed in</w:t>
      </w:r>
      <w:r w:rsidR="005F4BFC">
        <w:t xml:space="preserve"> th</w:t>
      </w:r>
      <w:r w:rsidR="00981DB9">
        <w:t>is</w:t>
      </w:r>
      <w:r w:rsidR="005F4BFC">
        <w:t xml:space="preserve"> RIS </w:t>
      </w:r>
      <w:r w:rsidR="00134A08" w:rsidRPr="00477236">
        <w:t xml:space="preserve">address the risk of listed human diseases entering Australian </w:t>
      </w:r>
      <w:r w:rsidR="00741E6A">
        <w:t>t</w:t>
      </w:r>
      <w:r w:rsidR="00134A08" w:rsidRPr="00477236">
        <w:t>erritory through international vessel</w:t>
      </w:r>
      <w:r w:rsidR="00134A08">
        <w:t xml:space="preserve"> and aircraft</w:t>
      </w:r>
      <w:r w:rsidR="00134A08" w:rsidRPr="00477236">
        <w:t xml:space="preserve"> arrivals and would apply in the context of the current COVID-19 pandemic, while also providing flexibility to manage infectious disease risks that Australia may face in the future</w:t>
      </w:r>
      <w:r w:rsidR="00134A08">
        <w:t>.</w:t>
      </w:r>
      <w:r w:rsidR="00CF5AB7">
        <w:t xml:space="preserve"> </w:t>
      </w:r>
      <w:r w:rsidR="006C45E1">
        <w:t>Specifically, t</w:t>
      </w:r>
      <w:r w:rsidR="00611A6D">
        <w:t xml:space="preserve">he </w:t>
      </w:r>
      <w:r w:rsidR="007A503F">
        <w:t xml:space="preserve">objectives of the </w:t>
      </w:r>
      <w:r w:rsidR="0079750D">
        <w:t>reform</w:t>
      </w:r>
      <w:r w:rsidR="005B4B74">
        <w:t>s</w:t>
      </w:r>
      <w:r w:rsidR="0079750D">
        <w:t xml:space="preserve"> </w:t>
      </w:r>
      <w:r w:rsidR="009923E2">
        <w:t xml:space="preserve">being assessed </w:t>
      </w:r>
      <w:r w:rsidR="007A503F">
        <w:t>are to</w:t>
      </w:r>
      <w:r w:rsidR="009923E2">
        <w:t>:</w:t>
      </w:r>
    </w:p>
    <w:p w14:paraId="52B48083" w14:textId="5D122828" w:rsidR="00AB7748" w:rsidRDefault="004B464C" w:rsidP="00B61BF7">
      <w:pPr>
        <w:pStyle w:val="BodyText"/>
        <w:numPr>
          <w:ilvl w:val="0"/>
          <w:numId w:val="12"/>
        </w:numPr>
      </w:pPr>
      <w:r w:rsidRPr="002A1AA4">
        <w:t xml:space="preserve">better support human health risk assessments and operational responses to the threat of COVID-19 and other </w:t>
      </w:r>
      <w:r>
        <w:t>l</w:t>
      </w:r>
      <w:r w:rsidRPr="002A1AA4">
        <w:t xml:space="preserve">isted </w:t>
      </w:r>
      <w:r>
        <w:t>h</w:t>
      </w:r>
      <w:r w:rsidRPr="002A1AA4">
        <w:t xml:space="preserve">uman </w:t>
      </w:r>
      <w:r>
        <w:t>d</w:t>
      </w:r>
      <w:r w:rsidRPr="002A1AA4">
        <w:t>iseases</w:t>
      </w:r>
      <w:r>
        <w:t xml:space="preserve"> </w:t>
      </w:r>
      <w:r w:rsidR="00AB2257">
        <w:t>o</w:t>
      </w:r>
      <w:r>
        <w:t>n conveyances (vessels and aircraft) entering Australian territory.</w:t>
      </w:r>
    </w:p>
    <w:p w14:paraId="1CC2A31A" w14:textId="1437BF8C" w:rsidR="00F16CEB" w:rsidRPr="00AB7748" w:rsidRDefault="009453D9" w:rsidP="00B61BF7">
      <w:pPr>
        <w:pStyle w:val="BodyText"/>
        <w:numPr>
          <w:ilvl w:val="0"/>
          <w:numId w:val="12"/>
        </w:numPr>
      </w:pPr>
      <w:r>
        <w:t>support</w:t>
      </w:r>
      <w:r w:rsidR="00F16CEB" w:rsidRPr="00F16CEB">
        <w:t xml:space="preserve"> the national COVID-19 economic recovery, including </w:t>
      </w:r>
      <w:r w:rsidR="0063299E">
        <w:t xml:space="preserve">steps </w:t>
      </w:r>
      <w:r w:rsidR="00F16CEB" w:rsidRPr="00F16CEB">
        <w:t>towards the resumption of the cruise ship industry</w:t>
      </w:r>
      <w:r w:rsidR="0097250F">
        <w:t xml:space="preserve"> in Australia</w:t>
      </w:r>
      <w:r w:rsidR="00F16CEB" w:rsidRPr="00F16CEB">
        <w:t>, and shoring up the human health biosecurity framework into the future.</w:t>
      </w:r>
    </w:p>
    <w:p w14:paraId="6F501C01" w14:textId="2C645B61" w:rsidR="00851604" w:rsidRPr="00183564" w:rsidRDefault="00974678" w:rsidP="008864AE">
      <w:pPr>
        <w:pStyle w:val="Heading3"/>
      </w:pPr>
      <w:bookmarkStart w:id="20" w:name="_Toc80965305"/>
      <w:r>
        <w:t>Human Health Risks</w:t>
      </w:r>
      <w:bookmarkEnd w:id="20"/>
    </w:p>
    <w:p w14:paraId="0EAE2283" w14:textId="02F133E1" w:rsidR="00630FF7" w:rsidRDefault="00B74DDB" w:rsidP="0059303F">
      <w:r w:rsidRPr="00183564">
        <w:t xml:space="preserve">The </w:t>
      </w:r>
      <w:r w:rsidRPr="002A7285">
        <w:t xml:space="preserve">Biosecurity Act </w:t>
      </w:r>
      <w:r w:rsidR="00F95FFA" w:rsidRPr="00183564">
        <w:t>strengthened and modernised Australia’s biosecurity system.</w:t>
      </w:r>
      <w:r w:rsidR="0059303F" w:rsidRPr="00183564">
        <w:t xml:space="preserve"> </w:t>
      </w:r>
      <w:r w:rsidR="0020335C">
        <w:t xml:space="preserve">The Biosecurity Act </w:t>
      </w:r>
      <w:r w:rsidR="007E0E14">
        <w:t xml:space="preserve">provides a framework to manage </w:t>
      </w:r>
      <w:r w:rsidR="006B39DF">
        <w:t>biosecurity threats to plant, animal and human health in Australia and its external territo</w:t>
      </w:r>
      <w:r w:rsidR="00787EBA">
        <w:t xml:space="preserve">ries. </w:t>
      </w:r>
      <w:r w:rsidR="0059303F" w:rsidRPr="00183564">
        <w:t>The objects of the Biosecurity Act relevant</w:t>
      </w:r>
      <w:r w:rsidR="00436233">
        <w:t xml:space="preserve"> to </w:t>
      </w:r>
      <w:r w:rsidR="00787EBA">
        <w:t>human health</w:t>
      </w:r>
      <w:r w:rsidR="0059303F" w:rsidRPr="00183564">
        <w:t xml:space="preserve"> </w:t>
      </w:r>
      <w:r w:rsidR="00937518">
        <w:t>include</w:t>
      </w:r>
      <w:r w:rsidR="00630FF7">
        <w:t>:</w:t>
      </w:r>
    </w:p>
    <w:p w14:paraId="14AA5C99" w14:textId="07220A9B" w:rsidR="001D752F" w:rsidRPr="004E4A49" w:rsidRDefault="002710A6" w:rsidP="00B61BF7">
      <w:pPr>
        <w:pStyle w:val="BodyText"/>
        <w:numPr>
          <w:ilvl w:val="0"/>
          <w:numId w:val="12"/>
        </w:numPr>
      </w:pPr>
      <w:r w:rsidRPr="002710A6">
        <w:t>managing</w:t>
      </w:r>
      <w:r w:rsidRPr="004E4A49">
        <w:t xml:space="preserve"> </w:t>
      </w:r>
      <w:r w:rsidR="00B42BDE" w:rsidRPr="004E4A49">
        <w:t>t</w:t>
      </w:r>
      <w:r w:rsidR="002843C7" w:rsidRPr="004E4A49">
        <w:t xml:space="preserve">he risk of contagion </w:t>
      </w:r>
      <w:r w:rsidR="003F3C10" w:rsidRPr="004E4A49">
        <w:t xml:space="preserve">of a listed human disease or </w:t>
      </w:r>
      <w:r w:rsidR="00C13A10">
        <w:t xml:space="preserve">certain </w:t>
      </w:r>
      <w:r w:rsidR="003F3C10" w:rsidRPr="004E4A49">
        <w:t xml:space="preserve">other </w:t>
      </w:r>
      <w:r w:rsidR="00C13A10">
        <w:t xml:space="preserve">serious </w:t>
      </w:r>
      <w:r w:rsidR="003F3C10" w:rsidRPr="004E4A49">
        <w:t>in</w:t>
      </w:r>
      <w:r w:rsidR="00C901AC" w:rsidRPr="004E4A49">
        <w:t>fectious human disease</w:t>
      </w:r>
      <w:r w:rsidR="00FF6BDE">
        <w:t>s</w:t>
      </w:r>
      <w:r w:rsidR="002A7285">
        <w:t>;</w:t>
      </w:r>
    </w:p>
    <w:p w14:paraId="2A317E49" w14:textId="7A5FE878" w:rsidR="00123744" w:rsidRPr="004E4A49" w:rsidRDefault="003463AE" w:rsidP="00B61BF7">
      <w:pPr>
        <w:pStyle w:val="BodyText"/>
        <w:numPr>
          <w:ilvl w:val="0"/>
          <w:numId w:val="12"/>
        </w:numPr>
      </w:pPr>
      <w:bookmarkStart w:id="21" w:name="_Hlk79592895"/>
      <w:r w:rsidRPr="004E4A49">
        <w:t>managing</w:t>
      </w:r>
      <w:r w:rsidR="0059303F" w:rsidRPr="004E4A49">
        <w:t xml:space="preserve"> </w:t>
      </w:r>
      <w:bookmarkEnd w:id="21"/>
      <w:r w:rsidR="0059303F" w:rsidRPr="004E4A49">
        <w:t xml:space="preserve">the risk of </w:t>
      </w:r>
      <w:r w:rsidR="000F7D18" w:rsidRPr="004E4A49">
        <w:t>l</w:t>
      </w:r>
      <w:r w:rsidR="0059303F" w:rsidRPr="004E4A49">
        <w:t xml:space="preserve">isted </w:t>
      </w:r>
      <w:r w:rsidR="000F7D18" w:rsidRPr="004E4A49">
        <w:t>h</w:t>
      </w:r>
      <w:r w:rsidR="0059303F" w:rsidRPr="004E4A49">
        <w:t xml:space="preserve">uman </w:t>
      </w:r>
      <w:r w:rsidR="000F7D18" w:rsidRPr="004E4A49">
        <w:t>d</w:t>
      </w:r>
      <w:r w:rsidR="0059303F" w:rsidRPr="004E4A49">
        <w:t xml:space="preserve">iseases or any other infectious human diseases entering </w:t>
      </w:r>
      <w:bookmarkStart w:id="22" w:name="_Hlk78991162"/>
      <w:r w:rsidR="0059303F" w:rsidRPr="004E4A49">
        <w:t>Australia</w:t>
      </w:r>
      <w:r w:rsidR="000F7D18" w:rsidRPr="004E4A49">
        <w:t xml:space="preserve">n territory or </w:t>
      </w:r>
      <w:r w:rsidR="003907AE" w:rsidRPr="004E4A49">
        <w:t>a part of Australian territory</w:t>
      </w:r>
      <w:bookmarkEnd w:id="22"/>
      <w:r w:rsidR="0059303F" w:rsidRPr="004E4A49">
        <w:t xml:space="preserve">, or emerging, establishing or spreading in </w:t>
      </w:r>
      <w:r w:rsidR="003907AE" w:rsidRPr="004E4A49">
        <w:t>Australian territory or a part of Australian territory</w:t>
      </w:r>
      <w:r w:rsidR="002A7285">
        <w:t>; and</w:t>
      </w:r>
    </w:p>
    <w:p w14:paraId="01E501A6" w14:textId="223BAB00" w:rsidR="003907AE" w:rsidRPr="004E4A49" w:rsidRDefault="002710A6" w:rsidP="00B61BF7">
      <w:pPr>
        <w:pStyle w:val="BodyText"/>
        <w:numPr>
          <w:ilvl w:val="0"/>
          <w:numId w:val="12"/>
        </w:numPr>
      </w:pPr>
      <w:r w:rsidRPr="004E4A49">
        <w:t xml:space="preserve">managing </w:t>
      </w:r>
      <w:r w:rsidR="00B42BDE" w:rsidRPr="004E4A49">
        <w:t>h</w:t>
      </w:r>
      <w:r w:rsidR="00CA059E" w:rsidRPr="004E4A49">
        <w:t>uman biosecurity emergencies</w:t>
      </w:r>
      <w:r w:rsidR="002A7285">
        <w:t>.</w:t>
      </w:r>
    </w:p>
    <w:p w14:paraId="6EA9BAD1" w14:textId="0F556D08" w:rsidR="0059303F" w:rsidRPr="00183564" w:rsidRDefault="0059303F" w:rsidP="0059303F">
      <w:r w:rsidRPr="00183564">
        <w:t xml:space="preserve">The Act provides a range of powers to manage unacceptable biosecurity risks on vessels and aircraft arriving </w:t>
      </w:r>
      <w:r w:rsidR="00DB428A">
        <w:t xml:space="preserve">at and </w:t>
      </w:r>
      <w:proofErr w:type="gramStart"/>
      <w:r w:rsidR="00DB428A">
        <w:t xml:space="preserve">entering </w:t>
      </w:r>
      <w:r w:rsidRPr="00183564">
        <w:t>into</w:t>
      </w:r>
      <w:proofErr w:type="gramEnd"/>
      <w:r w:rsidRPr="00183564">
        <w:t xml:space="preserve"> Australian territory for the protection of health of all Australians. These powers include entry and exit screening of international travellers, management of ill travellers, and flexible emergency and preventative powers.</w:t>
      </w:r>
    </w:p>
    <w:p w14:paraId="406E7676" w14:textId="4DB17C98" w:rsidR="00974678" w:rsidRDefault="00FB6EAE" w:rsidP="00E82CD6">
      <w:pPr>
        <w:pStyle w:val="Heading3"/>
      </w:pPr>
      <w:bookmarkStart w:id="23" w:name="_Toc80965306"/>
      <w:r>
        <w:t>Supporting Economic Recovery</w:t>
      </w:r>
      <w:bookmarkEnd w:id="23"/>
    </w:p>
    <w:p w14:paraId="7F5AF6F6" w14:textId="5F980B86" w:rsidR="00974678" w:rsidRPr="00183564" w:rsidRDefault="005D4395" w:rsidP="00BC6AFA">
      <w:pPr>
        <w:rPr>
          <w:rFonts w:eastAsiaTheme="majorEastAsia" w:cs="Arial"/>
          <w:bCs/>
        </w:rPr>
      </w:pPr>
      <w:r w:rsidRPr="00183564">
        <w:t xml:space="preserve">Australia receives a significant economic gain from the cruise industry. In the 2018-19 financial year, the industry generated a net economic output into the Australian economy of about $5.2 billion from indirect revenue and direct spending. This </w:t>
      </w:r>
      <w:r w:rsidRPr="00183564">
        <w:lastRenderedPageBreak/>
        <w:t>economic uplift, in turn, created 18,135 jobs (both direct and indirect) for Australians.</w:t>
      </w:r>
      <w:r w:rsidR="00114C52">
        <w:t xml:space="preserve"> </w:t>
      </w:r>
      <w:r w:rsidR="00C765A2">
        <w:t>There are significant benefits to the cruise industry if it can resume business in a ‘COVID-safe’ manner</w:t>
      </w:r>
      <w:r w:rsidR="00C765A2" w:rsidDel="009C1954">
        <w:t>, aligned with the reduction in public health risk</w:t>
      </w:r>
      <w:r w:rsidR="00C765A2">
        <w:t xml:space="preserve">. </w:t>
      </w:r>
      <w:r w:rsidR="00114C52">
        <w:t>T</w:t>
      </w:r>
      <w:r w:rsidR="00C765A2">
        <w:t xml:space="preserve">here would also be benefits to Australia’s economy and the health and safety of its inhabitants and travellers to Australia through a strengthened human biosecurity risk framework. </w:t>
      </w:r>
    </w:p>
    <w:p w14:paraId="50A18D6C" w14:textId="77777777" w:rsidR="007D771D" w:rsidRPr="00183564" w:rsidRDefault="007D771D" w:rsidP="007D771D">
      <w:pPr>
        <w:pStyle w:val="BodyText"/>
        <w:rPr>
          <w:rFonts w:asciiTheme="majorHAnsi" w:hAnsiTheme="majorHAnsi"/>
          <w:b/>
          <w:color w:val="014463" w:themeColor="text2"/>
          <w:sz w:val="60"/>
          <w:szCs w:val="60"/>
        </w:rPr>
      </w:pPr>
    </w:p>
    <w:p w14:paraId="6079AA17" w14:textId="77777777" w:rsidR="00651F89" w:rsidRPr="00183564" w:rsidRDefault="00651F89" w:rsidP="00D55A67">
      <w:pPr>
        <w:pStyle w:val="Heading2"/>
      </w:pPr>
      <w:bookmarkStart w:id="24" w:name="_Toc80965307"/>
      <w:r w:rsidRPr="00183564">
        <w:t>3. What policy options are you considering?</w:t>
      </w:r>
      <w:bookmarkEnd w:id="24"/>
    </w:p>
    <w:p w14:paraId="234115A2" w14:textId="77777777" w:rsidR="00651F89" w:rsidRPr="00183564" w:rsidRDefault="00651F89" w:rsidP="00D55A67">
      <w:pPr>
        <w:pStyle w:val="Heading3"/>
      </w:pPr>
      <w:bookmarkStart w:id="25" w:name="_Toc80965308"/>
      <w:r w:rsidRPr="00183564">
        <w:t>3.1 Option 1 – Status Quo</w:t>
      </w:r>
      <w:bookmarkEnd w:id="25"/>
    </w:p>
    <w:p w14:paraId="5CCD2E86" w14:textId="0B43A65A" w:rsidR="00104611" w:rsidRDefault="00C30455" w:rsidP="003A1F5B">
      <w:pPr>
        <w:pStyle w:val="BodyText"/>
      </w:pPr>
      <w:r w:rsidRPr="00183564">
        <w:t>The Biosecurity Act includes an existing scheme for mana</w:t>
      </w:r>
      <w:r w:rsidR="00351D0F" w:rsidRPr="00183564">
        <w:t xml:space="preserve">ging human biosecurity risks. </w:t>
      </w:r>
      <w:r w:rsidR="00FD701A" w:rsidRPr="00183564">
        <w:t xml:space="preserve">The </w:t>
      </w:r>
      <w:r w:rsidR="00CF1407" w:rsidRPr="00183564">
        <w:t>scheme</w:t>
      </w:r>
      <w:r w:rsidR="00FD701A" w:rsidRPr="00183564">
        <w:t xml:space="preserve"> allows </w:t>
      </w:r>
      <w:r w:rsidR="00760CBD" w:rsidRPr="00183564">
        <w:t>Biosecurity Officers</w:t>
      </w:r>
      <w:r w:rsidR="00FD701A" w:rsidRPr="00183564">
        <w:t xml:space="preserve"> to refuse to grant pratique </w:t>
      </w:r>
      <w:r w:rsidR="00E1282F">
        <w:t xml:space="preserve">under Chapter 2 of the Act (relating to the human health biosecurity risk management) </w:t>
      </w:r>
      <w:r w:rsidR="00FD701A" w:rsidRPr="00183564">
        <w:t xml:space="preserve">where </w:t>
      </w:r>
      <w:r w:rsidR="00E1282F">
        <w:t xml:space="preserve">risks of </w:t>
      </w:r>
      <w:r w:rsidR="00276013">
        <w:t>l</w:t>
      </w:r>
      <w:r w:rsidR="0077338B" w:rsidRPr="00183564">
        <w:t xml:space="preserve">isted </w:t>
      </w:r>
      <w:r w:rsidR="00276013">
        <w:t>h</w:t>
      </w:r>
      <w:r w:rsidR="0077338B" w:rsidRPr="00183564">
        <w:t xml:space="preserve">uman </w:t>
      </w:r>
      <w:r w:rsidR="00276013">
        <w:t>d</w:t>
      </w:r>
      <w:r w:rsidR="00C1492A" w:rsidRPr="00183564">
        <w:t>iseases</w:t>
      </w:r>
      <w:r w:rsidR="00E1282F">
        <w:t xml:space="preserve"> are not suitably managed</w:t>
      </w:r>
      <w:r w:rsidR="0034603F" w:rsidRPr="00183564">
        <w:t xml:space="preserve">, </w:t>
      </w:r>
      <w:r w:rsidR="00CF1407" w:rsidRPr="00183564">
        <w:t>and</w:t>
      </w:r>
      <w:r w:rsidR="0034603F" w:rsidRPr="00183564">
        <w:t xml:space="preserve"> to </w:t>
      </w:r>
      <w:r w:rsidR="00E1282F">
        <w:t xml:space="preserve">impose human biosecurity orders </w:t>
      </w:r>
      <w:r w:rsidR="00197BA2">
        <w:t>(</w:t>
      </w:r>
      <w:r w:rsidR="0034603F" w:rsidRPr="00183564">
        <w:t>HBCOs</w:t>
      </w:r>
      <w:r w:rsidR="00197BA2">
        <w:t>)</w:t>
      </w:r>
      <w:r w:rsidR="0034603F" w:rsidRPr="00183564">
        <w:t xml:space="preserve"> </w:t>
      </w:r>
      <w:r w:rsidR="00CF1407" w:rsidRPr="00183564">
        <w:t xml:space="preserve">to manage </w:t>
      </w:r>
      <w:r w:rsidR="00E655A0" w:rsidRPr="00183564">
        <w:t xml:space="preserve">individuals with </w:t>
      </w:r>
      <w:r w:rsidR="00D076A6">
        <w:t xml:space="preserve">signs or </w:t>
      </w:r>
      <w:r w:rsidR="00E655A0" w:rsidRPr="00183564">
        <w:t>symptoms of or exposure to listed diseases</w:t>
      </w:r>
      <w:r w:rsidR="00E1282F">
        <w:t xml:space="preserve"> in certain circumstances</w:t>
      </w:r>
      <w:r w:rsidR="00E655A0" w:rsidRPr="00183564">
        <w:t>.</w:t>
      </w:r>
      <w:r w:rsidR="00D92586" w:rsidRPr="00183564">
        <w:t xml:space="preserve"> </w:t>
      </w:r>
      <w:r w:rsidR="00D92586" w:rsidRPr="00183564" w:rsidDel="007A1836">
        <w:t>Option 1 is to continue to administer the scheme set out the Biosecurity Act</w:t>
      </w:r>
      <w:r w:rsidR="0022197D" w:rsidRPr="00183564" w:rsidDel="007A1836">
        <w:t xml:space="preserve"> without legislative changes</w:t>
      </w:r>
      <w:r w:rsidR="00E1282F">
        <w:t>, including changes to delegated legislation</w:t>
      </w:r>
      <w:r w:rsidR="0022197D" w:rsidRPr="00183564" w:rsidDel="007A1836">
        <w:t>.</w:t>
      </w:r>
    </w:p>
    <w:p w14:paraId="27850C33" w14:textId="096E5F68" w:rsidR="002C2D01" w:rsidRDefault="00104611" w:rsidP="003A1F5B">
      <w:pPr>
        <w:pStyle w:val="BodyText"/>
      </w:pPr>
      <w:r>
        <w:t>The key features of the scheme (set out in detail in the Current Settings section above) include:</w:t>
      </w:r>
    </w:p>
    <w:p w14:paraId="30C5B416" w14:textId="6A541A89" w:rsidR="000E4638" w:rsidRDefault="00242489" w:rsidP="000E4638">
      <w:pPr>
        <w:pStyle w:val="BodyText"/>
        <w:numPr>
          <w:ilvl w:val="0"/>
          <w:numId w:val="38"/>
        </w:numPr>
      </w:pPr>
      <w:r w:rsidRPr="00242489">
        <w:t>Pratique allows things to be unloaded from</w:t>
      </w:r>
      <w:r w:rsidR="00E1282F">
        <w:t xml:space="preserve"> or loaded </w:t>
      </w:r>
      <w:r w:rsidR="00197BA2">
        <w:t xml:space="preserve">on </w:t>
      </w:r>
      <w:r w:rsidR="00E1282F">
        <w:t>to</w:t>
      </w:r>
      <w:r w:rsidRPr="00242489">
        <w:t>, and persons to disembark from</w:t>
      </w:r>
      <w:r w:rsidR="00E1282F">
        <w:t xml:space="preserve"> or embark</w:t>
      </w:r>
      <w:r w:rsidRPr="00242489">
        <w:t xml:space="preserve">, aircraft or vessels. </w:t>
      </w:r>
      <w:r w:rsidR="00843D1E">
        <w:t xml:space="preserve">Once granted, pratique cannot be revoked. </w:t>
      </w:r>
      <w:r w:rsidRPr="00242489">
        <w:t>Pratique can be granted by force of th</w:t>
      </w:r>
      <w:r>
        <w:t>e Biosecurity</w:t>
      </w:r>
      <w:r w:rsidRPr="00242489">
        <w:t xml:space="preserve"> Act (positive pratique) </w:t>
      </w:r>
      <w:r w:rsidR="00843D1E">
        <w:t xml:space="preserve">unless the vessel or aircraft is in a class specified by the Director of Human Biosecurity under the powers in subsection 49(1) of the Act </w:t>
      </w:r>
      <w:r w:rsidRPr="00242489">
        <w:t>(negative pratique).</w:t>
      </w:r>
      <w:r w:rsidR="00843D1E">
        <w:t xml:space="preserve"> Where negative pratique applies, the vessel or aircraft must be assessed as complying with specified requirements before a biosecurity officer will grant pratique.</w:t>
      </w:r>
    </w:p>
    <w:p w14:paraId="77A76139" w14:textId="6594EF79" w:rsidR="00843D1E" w:rsidRDefault="00843D1E" w:rsidP="000E4638">
      <w:pPr>
        <w:pStyle w:val="BodyText"/>
        <w:numPr>
          <w:ilvl w:val="0"/>
          <w:numId w:val="38"/>
        </w:numPr>
      </w:pPr>
      <w:r>
        <w:t xml:space="preserve">Current settings for negative pratique are set out in the Biosecurity (Negative Pratique) Instrument 2016 administered by the Department of Health. </w:t>
      </w:r>
    </w:p>
    <w:p w14:paraId="23EDB112" w14:textId="7C0F7278" w:rsidR="000E4638" w:rsidRPr="00183564" w:rsidRDefault="006421D4" w:rsidP="000E4638">
      <w:pPr>
        <w:pStyle w:val="BodyText"/>
        <w:numPr>
          <w:ilvl w:val="0"/>
          <w:numId w:val="38"/>
        </w:numPr>
      </w:pPr>
      <w:r>
        <w:t xml:space="preserve">Human </w:t>
      </w:r>
      <w:r w:rsidR="001D5698">
        <w:t>Biosecurity</w:t>
      </w:r>
      <w:r w:rsidR="00ED0A6C">
        <w:t xml:space="preserve"> Control Orders</w:t>
      </w:r>
      <w:r w:rsidR="00E223B0">
        <w:t xml:space="preserve"> </w:t>
      </w:r>
      <w:r w:rsidR="00DC5E17">
        <w:t>may be put</w:t>
      </w:r>
      <w:r w:rsidR="00E223B0" w:rsidRPr="00E223B0">
        <w:t xml:space="preserve"> in force in relation to an individual </w:t>
      </w:r>
      <w:r w:rsidR="00DC5E17">
        <w:t xml:space="preserve">and </w:t>
      </w:r>
      <w:r w:rsidR="00E223B0" w:rsidRPr="00E223B0">
        <w:t>may require the individual to comply with certain biosecurity measures.</w:t>
      </w:r>
    </w:p>
    <w:p w14:paraId="34987D89" w14:textId="21077481" w:rsidR="00544EF7" w:rsidRDefault="00662873" w:rsidP="000E4638">
      <w:pPr>
        <w:pStyle w:val="BodyText"/>
        <w:numPr>
          <w:ilvl w:val="0"/>
          <w:numId w:val="38"/>
        </w:numPr>
      </w:pPr>
      <w:r>
        <w:t>Requirements for p</w:t>
      </w:r>
      <w:r w:rsidR="00544EF7">
        <w:t xml:space="preserve">re-arrival </w:t>
      </w:r>
      <w:r w:rsidR="006C32C4">
        <w:t xml:space="preserve">reports </w:t>
      </w:r>
      <w:r w:rsidRPr="00662873">
        <w:t>to be given in relation to aircraft or vessels that enter or intend to enter Australian territory from outside Australian territory</w:t>
      </w:r>
      <w:r w:rsidR="003C2CEC">
        <w:t xml:space="preserve">. The reports include information </w:t>
      </w:r>
      <w:r w:rsidR="00897050" w:rsidRPr="00897050">
        <w:t>for the purpose of assessing the level of biosecurity risk associated with</w:t>
      </w:r>
      <w:r w:rsidR="00897050">
        <w:t xml:space="preserve"> the aircraft or vessel</w:t>
      </w:r>
      <w:r w:rsidR="00843D1E">
        <w:t>, including to human health</w:t>
      </w:r>
      <w:r w:rsidR="00897050">
        <w:t>.</w:t>
      </w:r>
    </w:p>
    <w:p w14:paraId="0451D1EC" w14:textId="490AFAA0" w:rsidR="00843D1E" w:rsidRDefault="00843D1E" w:rsidP="00843D1E">
      <w:pPr>
        <w:pStyle w:val="BodyText"/>
        <w:numPr>
          <w:ilvl w:val="0"/>
          <w:numId w:val="38"/>
        </w:numPr>
      </w:pPr>
      <w:bookmarkStart w:id="26" w:name="_Hlk80951396"/>
      <w:r>
        <w:t>Human biosecurity control orders may be imposed on a person</w:t>
      </w:r>
      <w:r w:rsidRPr="00E223B0">
        <w:t xml:space="preserve"> </w:t>
      </w:r>
      <w:r>
        <w:t xml:space="preserve">where an individual assessment indicates that they have signs or symptoms of a listed human </w:t>
      </w:r>
      <w:proofErr w:type="gramStart"/>
      <w:r>
        <w:t>disease, and</w:t>
      </w:r>
      <w:proofErr w:type="gramEnd"/>
      <w:r>
        <w:t xml:space="preserve"> </w:t>
      </w:r>
      <w:r w:rsidRPr="00E223B0">
        <w:t>may require the individual to comply with certain biosecurity measures.</w:t>
      </w:r>
      <w:bookmarkEnd w:id="26"/>
    </w:p>
    <w:p w14:paraId="7420635D" w14:textId="71D14505" w:rsidR="00544EF7" w:rsidRDefault="00DC5E17" w:rsidP="000E4638">
      <w:pPr>
        <w:pStyle w:val="BodyText"/>
        <w:numPr>
          <w:ilvl w:val="0"/>
          <w:numId w:val="38"/>
        </w:numPr>
      </w:pPr>
      <w:r>
        <w:t xml:space="preserve">A range of </w:t>
      </w:r>
      <w:r w:rsidR="00843D1E">
        <w:t xml:space="preserve">compliance and enforcement power, and </w:t>
      </w:r>
      <w:r>
        <w:t>criminal and civil p</w:t>
      </w:r>
      <w:r w:rsidR="00E02F74">
        <w:t>enalties for non-compliance with pratique and pre-arrival reporting requirements</w:t>
      </w:r>
      <w:r w:rsidR="00843D1E">
        <w:t xml:space="preserve"> and human biosecurity control orders</w:t>
      </w:r>
      <w:r w:rsidR="00E3135E">
        <w:t>.</w:t>
      </w:r>
    </w:p>
    <w:p w14:paraId="5AB24529" w14:textId="1AFEEC2F" w:rsidR="00E02F74" w:rsidRPr="00183564" w:rsidRDefault="00CC553C" w:rsidP="000E4638">
      <w:pPr>
        <w:pStyle w:val="BodyText"/>
        <w:numPr>
          <w:ilvl w:val="0"/>
          <w:numId w:val="38"/>
        </w:numPr>
      </w:pPr>
      <w:r w:rsidRPr="00CC553C">
        <w:t xml:space="preserve">The Governor-General may make a human biosecurity emergency declaration if the Health Minister is satisfied that the special powers </w:t>
      </w:r>
      <w:r>
        <w:t xml:space="preserve">applying to emergencies in the </w:t>
      </w:r>
      <w:r w:rsidR="00F65E84">
        <w:t>B</w:t>
      </w:r>
      <w:r>
        <w:t>iosecurity Act</w:t>
      </w:r>
      <w:r w:rsidRPr="00CC553C">
        <w:t xml:space="preserve"> are needed to deal with a human biosecurity emergency.</w:t>
      </w:r>
    </w:p>
    <w:p w14:paraId="2138AB7C" w14:textId="76984B29" w:rsidR="00E06037" w:rsidRDefault="006655C9" w:rsidP="003A1F5B">
      <w:pPr>
        <w:pStyle w:val="BodyText"/>
      </w:pPr>
      <w:bookmarkStart w:id="27" w:name="_Hlk79513109"/>
      <w:r w:rsidRPr="00183564">
        <w:t xml:space="preserve">Under present arrangements, </w:t>
      </w:r>
      <w:proofErr w:type="gramStart"/>
      <w:r w:rsidRPr="00183564">
        <w:t>state</w:t>
      </w:r>
      <w:proofErr w:type="gramEnd"/>
      <w:r w:rsidRPr="00183564">
        <w:t xml:space="preserve"> </w:t>
      </w:r>
      <w:r w:rsidR="00A15A89">
        <w:t xml:space="preserve">and territory public health </w:t>
      </w:r>
      <w:r w:rsidRPr="00183564">
        <w:t xml:space="preserve">emergency powers, rather than </w:t>
      </w:r>
      <w:r w:rsidR="00A15A89">
        <w:t>individual h</w:t>
      </w:r>
      <w:r w:rsidRPr="00183564">
        <w:t xml:space="preserve">uman </w:t>
      </w:r>
      <w:r w:rsidR="00A15A89">
        <w:t>b</w:t>
      </w:r>
      <w:r w:rsidRPr="00183564">
        <w:t xml:space="preserve">iosecurity </w:t>
      </w:r>
      <w:r w:rsidR="00A15A89">
        <w:t>c</w:t>
      </w:r>
      <w:r w:rsidRPr="00183564">
        <w:t xml:space="preserve">ontrol </w:t>
      </w:r>
      <w:r w:rsidR="00A15A89">
        <w:t>o</w:t>
      </w:r>
      <w:r w:rsidRPr="00183564">
        <w:t xml:space="preserve">rders, are being utilised to </w:t>
      </w:r>
      <w:r w:rsidR="00A15A89">
        <w:t xml:space="preserve">deal with large numbers of </w:t>
      </w:r>
      <w:r w:rsidRPr="00183564">
        <w:t xml:space="preserve">crew or passengers </w:t>
      </w:r>
      <w:r w:rsidR="00A15A89">
        <w:t xml:space="preserve">seeking to </w:t>
      </w:r>
      <w:r w:rsidRPr="00183564">
        <w:t xml:space="preserve">disembark </w:t>
      </w:r>
      <w:r w:rsidR="00A15A89">
        <w:t xml:space="preserve">from </w:t>
      </w:r>
      <w:r w:rsidRPr="00183564">
        <w:t xml:space="preserve">arriving </w:t>
      </w:r>
      <w:r w:rsidR="00A15A89">
        <w:t xml:space="preserve">international </w:t>
      </w:r>
      <w:r w:rsidRPr="00183564">
        <w:t>vessels.</w:t>
      </w:r>
    </w:p>
    <w:bookmarkEnd w:id="27"/>
    <w:p w14:paraId="16418896" w14:textId="66FF1035" w:rsidR="009C1B3B" w:rsidRDefault="00595F5A" w:rsidP="009C1B3B">
      <w:r>
        <w:t xml:space="preserve">The status quo includes </w:t>
      </w:r>
      <w:r w:rsidR="00D53D9F">
        <w:t>reforms</w:t>
      </w:r>
      <w:r w:rsidR="007862FA">
        <w:t xml:space="preserve"> to processes and procedures</w:t>
      </w:r>
      <w:r w:rsidR="00D53D9F">
        <w:t xml:space="preserve"> that </w:t>
      </w:r>
      <w:r w:rsidR="00EE4ED6">
        <w:t xml:space="preserve">have and are being implemented </w:t>
      </w:r>
      <w:r w:rsidR="00C944C1">
        <w:t xml:space="preserve">based on learnings </w:t>
      </w:r>
      <w:r w:rsidR="009D3E22">
        <w:t xml:space="preserve">from the COVID-19 pandemic. </w:t>
      </w:r>
      <w:r w:rsidR="002D5068" w:rsidRPr="00183564">
        <w:t xml:space="preserve">The reviews arising from the Ruby Princess incident made recommendations relating to the policies, </w:t>
      </w:r>
      <w:r w:rsidR="002D5068" w:rsidRPr="00183564">
        <w:lastRenderedPageBreak/>
        <w:t>procedure</w:t>
      </w:r>
      <w:r w:rsidR="002D5068">
        <w:t>s</w:t>
      </w:r>
      <w:r w:rsidR="002D5068" w:rsidRPr="00183564">
        <w:t xml:space="preserve"> and responsibilities of relevant Federal and State agencies</w:t>
      </w:r>
      <w:r w:rsidR="002D5068">
        <w:t xml:space="preserve"> </w:t>
      </w:r>
      <w:r w:rsidR="00D36248">
        <w:t xml:space="preserve">that do not require regulatory change and </w:t>
      </w:r>
      <w:r w:rsidR="00D56002">
        <w:t xml:space="preserve">in some </w:t>
      </w:r>
      <w:r w:rsidR="007C31C8">
        <w:t>cases</w:t>
      </w:r>
      <w:r w:rsidR="00D56002">
        <w:t xml:space="preserve"> have already been implemented</w:t>
      </w:r>
      <w:r w:rsidR="009C1B3B" w:rsidRPr="00183564">
        <w:t xml:space="preserve">. </w:t>
      </w:r>
      <w:r w:rsidR="002D5068" w:rsidRPr="00183564">
        <w:t xml:space="preserve">For example, the Inspector-General of Biosecurity’s report made 42 recommendations of which the department accepted 38 and noted 4. Many of these recommendations </w:t>
      </w:r>
      <w:r w:rsidR="008840C1">
        <w:t xml:space="preserve">accord with changes </w:t>
      </w:r>
      <w:r w:rsidR="004F060B">
        <w:t xml:space="preserve">and reforms </w:t>
      </w:r>
      <w:r w:rsidR="008840C1">
        <w:t xml:space="preserve">the Government has </w:t>
      </w:r>
      <w:r w:rsidR="00817858">
        <w:t>undertaken during 2020 and 2021</w:t>
      </w:r>
      <w:r w:rsidR="00A054F9">
        <w:t xml:space="preserve"> (Agency response to Inspector-General of Biosecurity)</w:t>
      </w:r>
      <w:r w:rsidR="00817858">
        <w:t>.</w:t>
      </w:r>
      <w:r w:rsidR="009C1B3B" w:rsidRPr="00183564">
        <w:t xml:space="preserve"> </w:t>
      </w:r>
      <w:r w:rsidR="00C43205">
        <w:t>Reform actions taken to date include:</w:t>
      </w:r>
    </w:p>
    <w:p w14:paraId="665F9D08" w14:textId="7F3BBEA5" w:rsidR="001F5505" w:rsidRDefault="00C43205" w:rsidP="001F5505">
      <w:pPr>
        <w:pStyle w:val="ListParagraph"/>
        <w:numPr>
          <w:ilvl w:val="0"/>
          <w:numId w:val="44"/>
        </w:numPr>
      </w:pPr>
      <w:r>
        <w:t xml:space="preserve">Institution of regular meetings at ports around Australia </w:t>
      </w:r>
      <w:r w:rsidR="00C7616D">
        <w:t>with port stakeholders</w:t>
      </w:r>
      <w:r w:rsidR="00DB163A">
        <w:t xml:space="preserve">, including state and territory health departments, to improve awareness of roles and </w:t>
      </w:r>
      <w:r w:rsidR="001F5505">
        <w:t>responsibilities</w:t>
      </w:r>
      <w:r w:rsidR="00C35808">
        <w:t>.</w:t>
      </w:r>
    </w:p>
    <w:p w14:paraId="075D6A0A" w14:textId="320DC8C3" w:rsidR="001F5505" w:rsidRDefault="00B41694" w:rsidP="001F5505">
      <w:pPr>
        <w:pStyle w:val="ListParagraph"/>
        <w:numPr>
          <w:ilvl w:val="0"/>
          <w:numId w:val="44"/>
        </w:numPr>
      </w:pPr>
      <w:r>
        <w:t>Engagement of experts to r</w:t>
      </w:r>
      <w:r w:rsidR="003A654A">
        <w:t xml:space="preserve">edevelop the </w:t>
      </w:r>
      <w:r>
        <w:t>department’s maritime human health instructional materials</w:t>
      </w:r>
      <w:r w:rsidR="00C35808">
        <w:t>.</w:t>
      </w:r>
    </w:p>
    <w:p w14:paraId="2CCF89EA" w14:textId="55DBAE64" w:rsidR="008A5EB1" w:rsidRDefault="008A5EB1" w:rsidP="001F5505">
      <w:pPr>
        <w:pStyle w:val="ListParagraph"/>
        <w:numPr>
          <w:ilvl w:val="0"/>
          <w:numId w:val="44"/>
        </w:numPr>
      </w:pPr>
      <w:r>
        <w:t>A regulatory design assessment</w:t>
      </w:r>
      <w:r w:rsidR="00E7449C">
        <w:t xml:space="preserve"> </w:t>
      </w:r>
      <w:r>
        <w:t>of pratique</w:t>
      </w:r>
      <w:r w:rsidR="00C35808">
        <w:t>.</w:t>
      </w:r>
    </w:p>
    <w:p w14:paraId="285EDCF7" w14:textId="6FDBA4F8" w:rsidR="00020597" w:rsidRDefault="00816D12" w:rsidP="001F5505">
      <w:pPr>
        <w:pStyle w:val="ListParagraph"/>
        <w:numPr>
          <w:ilvl w:val="0"/>
          <w:numId w:val="44"/>
        </w:numPr>
      </w:pPr>
      <w:r>
        <w:t>Adjustment</w:t>
      </w:r>
      <w:r w:rsidR="001171B9">
        <w:t xml:space="preserve"> to human health reporting </w:t>
      </w:r>
      <w:r>
        <w:t xml:space="preserve">questions within the </w:t>
      </w:r>
      <w:bookmarkStart w:id="28" w:name="_Hlk80887209"/>
      <w:r w:rsidR="000E6AB2">
        <w:t>M</w:t>
      </w:r>
      <w:r>
        <w:t>aritime Arrivals Reporting System</w:t>
      </w:r>
      <w:bookmarkEnd w:id="28"/>
      <w:r w:rsidR="00C35808">
        <w:t>.</w:t>
      </w:r>
    </w:p>
    <w:p w14:paraId="15D66FBF" w14:textId="1C0EA906" w:rsidR="00C35808" w:rsidRPr="00183564" w:rsidRDefault="002C171A" w:rsidP="001F5505">
      <w:pPr>
        <w:pStyle w:val="ListParagraph"/>
        <w:numPr>
          <w:ilvl w:val="0"/>
          <w:numId w:val="44"/>
        </w:numPr>
      </w:pPr>
      <w:r>
        <w:t>Establishing formal protocols for communicating with human biosecurity officers and port stakeholders about human health risks and pratique.</w:t>
      </w:r>
    </w:p>
    <w:p w14:paraId="5DFBEC1F" w14:textId="45CAED51" w:rsidR="00651F89" w:rsidRPr="00183564" w:rsidRDefault="00651F89" w:rsidP="00D55A67">
      <w:pPr>
        <w:pStyle w:val="Heading3"/>
      </w:pPr>
      <w:bookmarkStart w:id="29" w:name="_Toc80965309"/>
      <w:r w:rsidRPr="00183564">
        <w:t xml:space="preserve">3.2 Option 2 – </w:t>
      </w:r>
      <w:r w:rsidR="006B5804" w:rsidRPr="00183564">
        <w:t>Emergency powers and legislative instruments</w:t>
      </w:r>
      <w:bookmarkEnd w:id="29"/>
    </w:p>
    <w:p w14:paraId="7DCA537C" w14:textId="77777777" w:rsidR="00862F54" w:rsidRDefault="00B35A0E" w:rsidP="00607D95">
      <w:pPr>
        <w:pStyle w:val="BodyText"/>
      </w:pPr>
      <w:r w:rsidRPr="00183564">
        <w:t xml:space="preserve">Option 2 </w:t>
      </w:r>
      <w:r w:rsidR="000E7587" w:rsidRPr="00183564">
        <w:t>would seek to u</w:t>
      </w:r>
      <w:r w:rsidR="00677551" w:rsidRPr="00183564">
        <w:t xml:space="preserve">se existing legislative authority to manage relevant human biosecurity risk, including legislative instruments and the </w:t>
      </w:r>
      <w:r w:rsidR="00677551" w:rsidRPr="00183564">
        <w:rPr>
          <w:i/>
        </w:rPr>
        <w:t>Biosecurity Regulation 2016</w:t>
      </w:r>
      <w:r w:rsidR="00677551" w:rsidRPr="00183564">
        <w:t xml:space="preserve"> and the </w:t>
      </w:r>
      <w:r w:rsidR="00677551" w:rsidRPr="007D771D">
        <w:rPr>
          <w:i/>
          <w:iCs/>
        </w:rPr>
        <w:t>Biosecurity Human Health Regulation 2016</w:t>
      </w:r>
      <w:r w:rsidR="00677551" w:rsidRPr="00183564">
        <w:t>.</w:t>
      </w:r>
      <w:r w:rsidR="0030444F" w:rsidRPr="00183564">
        <w:t xml:space="preserve"> </w:t>
      </w:r>
    </w:p>
    <w:p w14:paraId="0E5BF10F" w14:textId="5F57944D" w:rsidR="00677551" w:rsidRPr="00183564" w:rsidRDefault="00607D95" w:rsidP="00607D95">
      <w:pPr>
        <w:pStyle w:val="BodyText"/>
        <w:rPr>
          <w:b/>
        </w:rPr>
      </w:pPr>
      <w:r w:rsidRPr="00183564">
        <w:t>A s</w:t>
      </w:r>
      <w:r w:rsidR="008D3631" w:rsidRPr="00183564">
        <w:t xml:space="preserve">hort-term solution could include </w:t>
      </w:r>
      <w:r w:rsidR="00862F54">
        <w:t xml:space="preserve">the appropriate </w:t>
      </w:r>
      <w:r w:rsidR="008D3631" w:rsidRPr="00183564">
        <w:t>use of emergency powers while the human biosecurity emergency is still declared</w:t>
      </w:r>
      <w:r w:rsidR="0030444F" w:rsidRPr="00183564">
        <w:rPr>
          <w:b/>
          <w:bCs/>
        </w:rPr>
        <w:t>.</w:t>
      </w:r>
    </w:p>
    <w:p w14:paraId="4F502372" w14:textId="404CA89F" w:rsidR="002847B6" w:rsidRDefault="00862F54" w:rsidP="00607D95">
      <w:pPr>
        <w:pStyle w:val="BodyText"/>
      </w:pPr>
      <w:r>
        <w:t xml:space="preserve">The </w:t>
      </w:r>
      <w:r w:rsidR="005F7888" w:rsidRPr="00183564">
        <w:t>Biosecurity Act provides special powers</w:t>
      </w:r>
      <w:r>
        <w:t xml:space="preserve"> in Part 2 of Chapter 8</w:t>
      </w:r>
      <w:r w:rsidR="005F7888" w:rsidRPr="00183564">
        <w:t xml:space="preserve"> for dealing with emergencies involving threats or harm to human health on a nationally significant scale. These are called human biosecurity emergencies. The Governor-General may make a human biosecurity emergency declaration </w:t>
      </w:r>
      <w:r>
        <w:t xml:space="preserve">for a specified period of time </w:t>
      </w:r>
      <w:r w:rsidR="005F7888" w:rsidRPr="00183564">
        <w:t xml:space="preserve">if the </w:t>
      </w:r>
      <w:proofErr w:type="gramStart"/>
      <w:r w:rsidR="005F7888" w:rsidRPr="00183564">
        <w:t>Health Minister</w:t>
      </w:r>
      <w:proofErr w:type="gramEnd"/>
      <w:r w:rsidR="005F7888" w:rsidRPr="00183564">
        <w:t xml:space="preserve"> is satisfied that the special powers in this Part are needed to deal with a human biosecurity emergency. </w:t>
      </w:r>
    </w:p>
    <w:p w14:paraId="5DFA186D" w14:textId="5B42178F" w:rsidR="00862F54" w:rsidRDefault="002847B6" w:rsidP="00607D95">
      <w:pPr>
        <w:pStyle w:val="BodyText"/>
      </w:pPr>
      <w:r>
        <w:t>If the Governor-General declares a human biosecurity emergency, t</w:t>
      </w:r>
      <w:r w:rsidR="005F7888" w:rsidRPr="00183564">
        <w:t>he Health Minister may exercise special powers under this Part to deal with a human biosecurity emergency, subject to limits and protections</w:t>
      </w:r>
      <w:r w:rsidR="00532807">
        <w:t>,</w:t>
      </w:r>
      <w:r w:rsidR="00862F54">
        <w:t xml:space="preserve"> including to give directions or determine requirements under the powers of sections 477 and 478</w:t>
      </w:r>
      <w:r w:rsidR="005F7888" w:rsidRPr="00183564">
        <w:t xml:space="preserve">. </w:t>
      </w:r>
      <w:r w:rsidR="00532807">
        <w:t>The exceptional powers are enlivened by the Governor-General declaring an emergency and allow the Health Minister to determine requirements and give directions during the emergency period to manage human biosecurity risks where it is considered necessary under the relevant provisions of the Act.</w:t>
      </w:r>
    </w:p>
    <w:p w14:paraId="08637247" w14:textId="687D938B" w:rsidR="00B23B17" w:rsidRDefault="00AA2A9C" w:rsidP="0029184E">
      <w:pPr>
        <w:pStyle w:val="BodyText"/>
      </w:pPr>
      <w:r w:rsidRPr="00AA2A9C">
        <w:t xml:space="preserve"> </w:t>
      </w:r>
      <w:r>
        <w:t xml:space="preserve">Under Option 2, emergency determinations could be made, to the extent necessary and appropriate to appropriately manage the risk of contagion of listed human diseases and the risk that such a disease might enter, emerge, </w:t>
      </w:r>
      <w:proofErr w:type="gramStart"/>
      <w:r>
        <w:t>establish</w:t>
      </w:r>
      <w:proofErr w:type="gramEnd"/>
      <w:r>
        <w:t xml:space="preserve"> or spread in Australian territory. However, this option is limited to the context of a declared human biosecurity emergency. It would not provide the framework for the Government’s COVID-19 recovery plan that would support long-term </w:t>
      </w:r>
      <w:r w:rsidR="00B23B17">
        <w:t>management of human health risks that may arise from the</w:t>
      </w:r>
      <w:r>
        <w:t xml:space="preserve"> cruise vessel industry</w:t>
      </w:r>
      <w:r w:rsidR="00B23B17">
        <w:t>, in a manner that provides certainty and consistency for industry.</w:t>
      </w:r>
    </w:p>
    <w:p w14:paraId="668D37C3" w14:textId="61C56EC9" w:rsidR="00651F89" w:rsidRPr="00183564" w:rsidRDefault="00651F89" w:rsidP="00D55A67">
      <w:pPr>
        <w:pStyle w:val="Heading3"/>
      </w:pPr>
      <w:bookmarkStart w:id="30" w:name="_Toc80965310"/>
      <w:r w:rsidRPr="00183564">
        <w:t xml:space="preserve">3.3 Option 3 – </w:t>
      </w:r>
      <w:r w:rsidR="009505C9" w:rsidRPr="00183564">
        <w:t>Amendments to the Biosecurity Act</w:t>
      </w:r>
      <w:bookmarkEnd w:id="30"/>
    </w:p>
    <w:p w14:paraId="0338B13F" w14:textId="77777777" w:rsidR="00D720F6" w:rsidRDefault="008D33E7" w:rsidP="00390CCF">
      <w:pPr>
        <w:pStyle w:val="BodyText"/>
      </w:pPr>
      <w:r w:rsidRPr="00183564">
        <w:t>Option 3 would seek to a</w:t>
      </w:r>
      <w:r w:rsidR="001C085F" w:rsidRPr="00183564">
        <w:t xml:space="preserve">mend the </w:t>
      </w:r>
      <w:r w:rsidR="009C3050" w:rsidRPr="00183564">
        <w:t xml:space="preserve">Biosecurity </w:t>
      </w:r>
      <w:r w:rsidR="001C085F" w:rsidRPr="00183564">
        <w:t>Act</w:t>
      </w:r>
      <w:r w:rsidR="006358C0" w:rsidRPr="00183564">
        <w:t xml:space="preserve"> and associated </w:t>
      </w:r>
      <w:r w:rsidR="00362A8F" w:rsidRPr="00183564">
        <w:t>legislative instruments</w:t>
      </w:r>
      <w:r w:rsidR="001C085F" w:rsidRPr="00183564">
        <w:t xml:space="preserve"> to address the identified risk of </w:t>
      </w:r>
      <w:r w:rsidR="00276013">
        <w:t>l</w:t>
      </w:r>
      <w:r w:rsidR="001C085F" w:rsidRPr="00183564">
        <w:t xml:space="preserve">isted </w:t>
      </w:r>
      <w:r w:rsidR="00276013">
        <w:t>h</w:t>
      </w:r>
      <w:r w:rsidR="001C085F" w:rsidRPr="00183564">
        <w:t xml:space="preserve">uman </w:t>
      </w:r>
      <w:r w:rsidR="00276013">
        <w:t>d</w:t>
      </w:r>
      <w:r w:rsidR="001C085F" w:rsidRPr="00183564">
        <w:t xml:space="preserve">iseases entering Australia through international vessel arrivals. </w:t>
      </w:r>
    </w:p>
    <w:p w14:paraId="11992D38" w14:textId="6E098BAD" w:rsidR="00D720F6" w:rsidRPr="00183564" w:rsidRDefault="00D720F6" w:rsidP="00390CCF">
      <w:pPr>
        <w:pStyle w:val="Heading4"/>
        <w:keepNext/>
      </w:pPr>
      <w:r w:rsidRPr="00183564">
        <w:t>Independent reviews recommend change to the Biosecurity Act</w:t>
      </w:r>
    </w:p>
    <w:p w14:paraId="3C686E33" w14:textId="6B98A25B" w:rsidR="00D720F6" w:rsidRPr="00183564" w:rsidRDefault="00D720F6" w:rsidP="00D720F6">
      <w:pPr>
        <w:pStyle w:val="BodyText"/>
      </w:pPr>
      <w:r w:rsidRPr="00183564">
        <w:t>The proposals</w:t>
      </w:r>
      <w:r w:rsidR="002B0842">
        <w:t xml:space="preserve"> </w:t>
      </w:r>
      <w:r w:rsidR="00287704">
        <w:t xml:space="preserve">in </w:t>
      </w:r>
      <w:r w:rsidR="00A162B4">
        <w:t>Option</w:t>
      </w:r>
      <w:r w:rsidR="00287704">
        <w:t xml:space="preserve"> 3</w:t>
      </w:r>
      <w:r w:rsidRPr="00183564">
        <w:t xml:space="preserve"> </w:t>
      </w:r>
      <w:r>
        <w:t>are informed</w:t>
      </w:r>
      <w:r w:rsidRPr="00183564">
        <w:t xml:space="preserve"> </w:t>
      </w:r>
      <w:r w:rsidR="00536BE2">
        <w:t>b</w:t>
      </w:r>
      <w:r w:rsidRPr="00183564">
        <w:t>y recommendations arising from several reviews:</w:t>
      </w:r>
    </w:p>
    <w:p w14:paraId="0D585E7E" w14:textId="7D90B9E1" w:rsidR="00D720F6" w:rsidRPr="00183564" w:rsidRDefault="00D720F6" w:rsidP="00D720F6">
      <w:pPr>
        <w:pStyle w:val="BodyText"/>
        <w:numPr>
          <w:ilvl w:val="0"/>
          <w:numId w:val="8"/>
        </w:numPr>
      </w:pPr>
      <w:r w:rsidRPr="00183564">
        <w:t>On 15 April 2020</w:t>
      </w:r>
      <w:r w:rsidR="00B23B17">
        <w:t>,</w:t>
      </w:r>
      <w:r w:rsidRPr="00183564">
        <w:t xml:space="preserve"> the Governor of New South Wales referred a Special Commission of Inquiry into the voyage of the Ruby Princess. The report included recommendations to amend the Biosecurity Act- specifically recommendations at para 2.22 – 2.23 (See Appendix A).</w:t>
      </w:r>
    </w:p>
    <w:p w14:paraId="122DB196" w14:textId="5E9E2156" w:rsidR="00D720F6" w:rsidRPr="00183564" w:rsidRDefault="00D720F6" w:rsidP="00D720F6">
      <w:pPr>
        <w:pStyle w:val="BodyText"/>
        <w:numPr>
          <w:ilvl w:val="0"/>
          <w:numId w:val="8"/>
        </w:numPr>
      </w:pPr>
      <w:r w:rsidRPr="00183564">
        <w:lastRenderedPageBreak/>
        <w:t xml:space="preserve">The Inspector General of Biosecurity’s report </w:t>
      </w:r>
      <w:r w:rsidRPr="00183564">
        <w:rPr>
          <w:i/>
          <w:iCs/>
        </w:rPr>
        <w:t>Confidence testing for at-border delivery of human biosecurity functions- Ruby Princess cruise ship incident</w:t>
      </w:r>
      <w:r w:rsidRPr="00183564">
        <w:t xml:space="preserve"> published on 29 April 2021 - specifically recommendations 19 - 22 and 24 (see Appendix B)</w:t>
      </w:r>
      <w:r w:rsidR="00B23B17">
        <w:t>.</w:t>
      </w:r>
    </w:p>
    <w:p w14:paraId="7E02889A" w14:textId="3437E021" w:rsidR="00D720F6" w:rsidRPr="00183564" w:rsidRDefault="00D720F6" w:rsidP="00D720F6">
      <w:pPr>
        <w:pStyle w:val="BodyText"/>
        <w:numPr>
          <w:ilvl w:val="0"/>
          <w:numId w:val="8"/>
        </w:numPr>
      </w:pPr>
      <w:r w:rsidRPr="00183564">
        <w:t>The Department of Agriculture, Water and the Environment commissioned an independent regulatory design assessment into pratique which was finalised in November 2020</w:t>
      </w:r>
      <w:r w:rsidR="00B23B17">
        <w:t>.</w:t>
      </w:r>
    </w:p>
    <w:p w14:paraId="423F763A" w14:textId="03047E16" w:rsidR="00D720F6" w:rsidRPr="00183564" w:rsidRDefault="00D720F6" w:rsidP="00D720F6">
      <w:pPr>
        <w:pStyle w:val="BodyText"/>
      </w:pPr>
      <w:r w:rsidRPr="00183564">
        <w:t>These reviews raise concerns that issues identified through the arrival of the Ruby Princess could apply to other cruise ships, in other ports, or for entirely different biosecurity risk pathways. Of particular concern are circumstances where the probability of occurrence may be low, but the consequences of biosecurity failure are potentially large or extreme.</w:t>
      </w:r>
    </w:p>
    <w:p w14:paraId="04378AE5" w14:textId="38B7A2E2" w:rsidR="001C085F" w:rsidRPr="00183564" w:rsidRDefault="007107D2" w:rsidP="00637363">
      <w:pPr>
        <w:pStyle w:val="BodyText"/>
        <w:keepNext/>
      </w:pPr>
      <w:r>
        <w:t xml:space="preserve">Option 3 includes a package of changes to the Biosecurity Act </w:t>
      </w:r>
      <w:r w:rsidR="00E457D8">
        <w:t xml:space="preserve">developed following </w:t>
      </w:r>
      <w:r w:rsidR="0024253D">
        <w:t xml:space="preserve">analysis </w:t>
      </w:r>
      <w:r w:rsidR="007A6F7F">
        <w:t xml:space="preserve">of the </w:t>
      </w:r>
      <w:r w:rsidR="00D0050E">
        <w:t>issues and recommendations raised by these reviews</w:t>
      </w:r>
      <w:r w:rsidR="00C0707C">
        <w:t>.</w:t>
      </w:r>
      <w:r w:rsidR="00D0050E">
        <w:t xml:space="preserve"> </w:t>
      </w:r>
      <w:r w:rsidR="001C085F" w:rsidRPr="00183564">
        <w:t>The specific amendment proposals are as follows:</w:t>
      </w:r>
    </w:p>
    <w:p w14:paraId="27D5D034" w14:textId="24FDD174" w:rsidR="001C085F" w:rsidRPr="00183564" w:rsidRDefault="001C085F" w:rsidP="00D8473C">
      <w:pPr>
        <w:pStyle w:val="Heading4"/>
        <w:keepNext/>
        <w:rPr>
          <w:rStyle w:val="normaltextrun"/>
          <w:bCs/>
        </w:rPr>
      </w:pPr>
      <w:r w:rsidRPr="00183564">
        <w:rPr>
          <w:rStyle w:val="normaltextrun"/>
          <w:bCs/>
        </w:rPr>
        <w:t>Multiple pre-arrival reporting requirements</w:t>
      </w:r>
    </w:p>
    <w:p w14:paraId="50A115DC" w14:textId="2DFA7DB3" w:rsidR="001C085F" w:rsidRPr="00183564" w:rsidRDefault="00321041" w:rsidP="00085E43">
      <w:pPr>
        <w:pStyle w:val="BodyText"/>
        <w:numPr>
          <w:ilvl w:val="0"/>
          <w:numId w:val="10"/>
        </w:numPr>
      </w:pPr>
      <w:r w:rsidRPr="00321041">
        <w:t xml:space="preserve">Amend </w:t>
      </w:r>
      <w:r w:rsidR="00B23B17">
        <w:t xml:space="preserve">section 193 of </w:t>
      </w:r>
      <w:r w:rsidRPr="00321041">
        <w:t xml:space="preserve">the Act to insert a regulation making power </w:t>
      </w:r>
      <w:r w:rsidR="001C085F" w:rsidRPr="00183564">
        <w:t>to require</w:t>
      </w:r>
      <w:r w:rsidR="00AF3ECF" w:rsidRPr="00183564">
        <w:t xml:space="preserve"> </w:t>
      </w:r>
      <w:r w:rsidR="00B23B17">
        <w:t xml:space="preserve">other </w:t>
      </w:r>
      <w:r w:rsidR="001C085F" w:rsidRPr="00183564">
        <w:t>pre-arrival report</w:t>
      </w:r>
      <w:r w:rsidR="00B23B17">
        <w:t>s</w:t>
      </w:r>
      <w:r w:rsidR="001C085F" w:rsidRPr="00183564">
        <w:t xml:space="preserve"> to be submitted by </w:t>
      </w:r>
      <w:r w:rsidR="00D70963" w:rsidRPr="00D70963">
        <w:t>an aircraft or vessel as prescribed by the regulations. The regulations may then prescribe different circumstances for giving other reports by different classes of aircraft or vessel</w:t>
      </w:r>
      <w:r w:rsidR="001C085F" w:rsidRPr="00183564">
        <w:t>.</w:t>
      </w:r>
      <w:r w:rsidR="00B23B17" w:rsidRPr="00B23B17">
        <w:t xml:space="preserve"> </w:t>
      </w:r>
      <w:r w:rsidR="00B23B17">
        <w:t xml:space="preserve">This will </w:t>
      </w:r>
      <w:bookmarkStart w:id="31" w:name="_Hlk80787772"/>
      <w:r w:rsidR="00B23B17">
        <w:t>provide flexibility to respond to risks based on the class of conveyance and the circumstances relating to human health</w:t>
      </w:r>
      <w:bookmarkEnd w:id="31"/>
      <w:r w:rsidR="00B23B17">
        <w:t>.</w:t>
      </w:r>
    </w:p>
    <w:p w14:paraId="2D8797BF" w14:textId="7219652C" w:rsidR="001C085F" w:rsidRPr="00183564" w:rsidRDefault="00B23B17" w:rsidP="00085E43">
      <w:pPr>
        <w:pStyle w:val="BodyText"/>
        <w:numPr>
          <w:ilvl w:val="0"/>
          <w:numId w:val="10"/>
        </w:numPr>
      </w:pPr>
      <w:r>
        <w:t xml:space="preserve">For example, </w:t>
      </w:r>
      <w:r w:rsidR="0053637B" w:rsidRPr="0053637B">
        <w:t xml:space="preserve">the </w:t>
      </w:r>
      <w:r>
        <w:t>r</w:t>
      </w:r>
      <w:r w:rsidR="0053637B" w:rsidRPr="0053637B">
        <w:t xml:space="preserve">egulations </w:t>
      </w:r>
      <w:r>
        <w:t xml:space="preserve">could </w:t>
      </w:r>
      <w:r w:rsidR="0053637B" w:rsidRPr="0053637B">
        <w:t>provide for cruise vessels to submit two pre-arrival report</w:t>
      </w:r>
      <w:r w:rsidR="00B70173">
        <w:t>s</w:t>
      </w:r>
      <w:r w:rsidR="0029084E">
        <w:t>, with the second</w:t>
      </w:r>
      <w:r>
        <w:t xml:space="preserve"> report</w:t>
      </w:r>
      <w:r w:rsidR="0029084E">
        <w:t xml:space="preserve"> </w:t>
      </w:r>
      <w:r w:rsidR="00BC1781">
        <w:t>being</w:t>
      </w:r>
      <w:r w:rsidR="0029084E">
        <w:t xml:space="preserve"> </w:t>
      </w:r>
      <w:r>
        <w:t xml:space="preserve">submitted </w:t>
      </w:r>
      <w:r w:rsidR="0029084E">
        <w:t>closer to the time of arrival</w:t>
      </w:r>
      <w:r w:rsidR="001C085F" w:rsidRPr="00183564">
        <w:t xml:space="preserve">. </w:t>
      </w:r>
      <w:r>
        <w:t xml:space="preserve">This will allow for a more accurate and timely </w:t>
      </w:r>
      <w:r w:rsidR="001C085F" w:rsidRPr="00183564">
        <w:t>assessment of</w:t>
      </w:r>
      <w:r>
        <w:t xml:space="preserve"> biosecurity risks to be conducted</w:t>
      </w:r>
      <w:r w:rsidR="001C085F" w:rsidRPr="00183564">
        <w:t>.</w:t>
      </w:r>
    </w:p>
    <w:p w14:paraId="39B4E96E" w14:textId="0BB7072E" w:rsidR="001C085F" w:rsidRPr="00183564" w:rsidRDefault="001C085F" w:rsidP="00D55A67">
      <w:pPr>
        <w:pStyle w:val="Heading4"/>
        <w:rPr>
          <w:rStyle w:val="normaltextrun"/>
          <w:bCs/>
        </w:rPr>
      </w:pPr>
      <w:r w:rsidRPr="00183564">
        <w:rPr>
          <w:rStyle w:val="normaltextrun"/>
          <w:bCs/>
        </w:rPr>
        <w:t>Requirements</w:t>
      </w:r>
      <w:r w:rsidR="00417B30" w:rsidRPr="00183564">
        <w:rPr>
          <w:rStyle w:val="normaltextrun"/>
          <w:bCs/>
        </w:rPr>
        <w:t xml:space="preserve"> </w:t>
      </w:r>
      <w:r w:rsidRPr="00183564">
        <w:rPr>
          <w:rStyle w:val="normaltextrun"/>
          <w:bCs/>
        </w:rPr>
        <w:t>to update</w:t>
      </w:r>
      <w:r w:rsidR="00417B30" w:rsidRPr="00183564">
        <w:rPr>
          <w:rStyle w:val="normaltextrun"/>
          <w:bCs/>
        </w:rPr>
        <w:t xml:space="preserve"> </w:t>
      </w:r>
      <w:r w:rsidRPr="00183564">
        <w:rPr>
          <w:rStyle w:val="normaltextrun"/>
          <w:bCs/>
        </w:rPr>
        <w:t>pre-arrival reporting</w:t>
      </w:r>
    </w:p>
    <w:p w14:paraId="6C6BE152" w14:textId="2C7AC6C6" w:rsidR="001C085F" w:rsidRPr="00183564" w:rsidRDefault="001C085F" w:rsidP="00085E43">
      <w:pPr>
        <w:pStyle w:val="BodyText"/>
        <w:numPr>
          <w:ilvl w:val="0"/>
          <w:numId w:val="10"/>
        </w:numPr>
      </w:pPr>
      <w:r w:rsidRPr="00183564">
        <w:t>Amend section 194</w:t>
      </w:r>
      <w:r w:rsidR="00417B30" w:rsidRPr="00183564">
        <w:t xml:space="preserve"> </w:t>
      </w:r>
      <w:r w:rsidR="00B23B17">
        <w:t xml:space="preserve">of the Act </w:t>
      </w:r>
      <w:r w:rsidRPr="00183564">
        <w:t>so</w:t>
      </w:r>
      <w:r w:rsidR="00300C4E" w:rsidRPr="00183564">
        <w:t xml:space="preserve"> </w:t>
      </w:r>
      <w:r w:rsidRPr="00183564">
        <w:t>that,</w:t>
      </w:r>
      <w:r w:rsidR="00300C4E" w:rsidRPr="00183564">
        <w:t xml:space="preserve"> </w:t>
      </w:r>
      <w:r w:rsidRPr="00183564">
        <w:t>in addition to</w:t>
      </w:r>
      <w:r w:rsidR="00300C4E" w:rsidRPr="00183564">
        <w:t xml:space="preserve"> </w:t>
      </w:r>
      <w:r w:rsidRPr="00183564">
        <w:t xml:space="preserve">the requirement to update the </w:t>
      </w:r>
      <w:r w:rsidR="00B23B17">
        <w:t xml:space="preserve">pre-arrival </w:t>
      </w:r>
      <w:r w:rsidRPr="00183564">
        <w:t>report</w:t>
      </w:r>
      <w:r w:rsidR="00300C4E" w:rsidRPr="00183564">
        <w:t xml:space="preserve"> </w:t>
      </w:r>
      <w:r w:rsidRPr="00183564">
        <w:t>if</w:t>
      </w:r>
      <w:r w:rsidR="00300C4E" w:rsidRPr="00183564">
        <w:t xml:space="preserve"> </w:t>
      </w:r>
      <w:r w:rsidRPr="00183564">
        <w:t>the report was incorrect or incomplete</w:t>
      </w:r>
      <w:r w:rsidR="00C939FF">
        <w:t xml:space="preserve"> </w:t>
      </w:r>
      <w:r w:rsidRPr="00183564">
        <w:t xml:space="preserve">at the time it was submitted, </w:t>
      </w:r>
      <w:r w:rsidR="00B23B17">
        <w:t xml:space="preserve">further information </w:t>
      </w:r>
      <w:r w:rsidR="004E71F7">
        <w:t>would</w:t>
      </w:r>
      <w:r w:rsidR="004E71F7" w:rsidRPr="00183564">
        <w:t xml:space="preserve"> </w:t>
      </w:r>
      <w:r w:rsidRPr="00183564">
        <w:t xml:space="preserve">also be required </w:t>
      </w:r>
      <w:r w:rsidR="00B23B17">
        <w:t xml:space="preserve">to be given </w:t>
      </w:r>
      <w:r w:rsidRPr="00183564">
        <w:t>in circumstances prescribed by the regulations.</w:t>
      </w:r>
    </w:p>
    <w:p w14:paraId="01B0081F" w14:textId="3283D268" w:rsidR="001C085F" w:rsidRPr="00183564" w:rsidRDefault="003A6003" w:rsidP="00111953">
      <w:pPr>
        <w:pStyle w:val="BodyText"/>
        <w:numPr>
          <w:ilvl w:val="0"/>
          <w:numId w:val="10"/>
        </w:numPr>
      </w:pPr>
      <w:r w:rsidRPr="00183564">
        <w:t xml:space="preserve">Making provision for this in the regulations will offer appropriate flexibility to configure pre-arrival reporting to respond to </w:t>
      </w:r>
      <w:r w:rsidR="00EE1A46">
        <w:t>the evolving and dynamic context o</w:t>
      </w:r>
      <w:r w:rsidR="00B123BE">
        <w:t xml:space="preserve">f human </w:t>
      </w:r>
      <w:r w:rsidRPr="00183564">
        <w:t>biosecurity risks in the future.</w:t>
      </w:r>
    </w:p>
    <w:p w14:paraId="1D736C64" w14:textId="61FB3737" w:rsidR="001C085F" w:rsidRPr="000B5C52" w:rsidRDefault="001C085F" w:rsidP="000B5C52">
      <w:pPr>
        <w:pStyle w:val="Heading4"/>
        <w:rPr>
          <w:rStyle w:val="normaltextrun"/>
          <w:bCs/>
        </w:rPr>
      </w:pPr>
      <w:r w:rsidRPr="00911861">
        <w:rPr>
          <w:rStyle w:val="normaltextrun"/>
          <w:bCs/>
        </w:rPr>
        <w:t>Expand negative pratique obligations</w:t>
      </w:r>
    </w:p>
    <w:p w14:paraId="7011ED4D" w14:textId="6F96C3E5" w:rsidR="001C085F" w:rsidRPr="00183564" w:rsidRDefault="001C085F" w:rsidP="00085E43">
      <w:pPr>
        <w:pStyle w:val="BodyText"/>
        <w:numPr>
          <w:ilvl w:val="0"/>
          <w:numId w:val="10"/>
        </w:numPr>
      </w:pPr>
      <w:r w:rsidRPr="00183564">
        <w:t>Extend</w:t>
      </w:r>
      <w:r w:rsidR="00097294" w:rsidRPr="00183564">
        <w:t xml:space="preserve"> </w:t>
      </w:r>
      <w:r w:rsidRPr="00183564">
        <w:t>the application of requirements to comply with negative pratique obligations</w:t>
      </w:r>
      <w:r w:rsidR="00097294" w:rsidRPr="00183564">
        <w:t xml:space="preserve"> </w:t>
      </w:r>
      <w:r w:rsidRPr="00183564">
        <w:t xml:space="preserve">to the person in charge of a vessel or aircraft. This </w:t>
      </w:r>
      <w:r w:rsidR="00016097">
        <w:t>would</w:t>
      </w:r>
      <w:r w:rsidR="00016097" w:rsidRPr="00183564">
        <w:t xml:space="preserve"> </w:t>
      </w:r>
      <w:r w:rsidRPr="00183564">
        <w:t xml:space="preserve">more appropriately reflect responsibility </w:t>
      </w:r>
      <w:r w:rsidR="009C3299">
        <w:t xml:space="preserve">for the vessel </w:t>
      </w:r>
      <w:r w:rsidR="00E02811">
        <w:t xml:space="preserve">or aircraft </w:t>
      </w:r>
      <w:r w:rsidRPr="00183564">
        <w:t>and</w:t>
      </w:r>
      <w:r w:rsidR="0004751D">
        <w:t xml:space="preserve"> more effectively target</w:t>
      </w:r>
      <w:r w:rsidRPr="00183564">
        <w:t xml:space="preserve"> obligations for compliance.</w:t>
      </w:r>
    </w:p>
    <w:p w14:paraId="21300D95" w14:textId="4A38FC6F" w:rsidR="001C085F" w:rsidRPr="00183564" w:rsidRDefault="001C085F" w:rsidP="00085E43">
      <w:pPr>
        <w:pStyle w:val="BodyText"/>
        <w:numPr>
          <w:ilvl w:val="0"/>
          <w:numId w:val="10"/>
        </w:numPr>
      </w:pPr>
      <w:r w:rsidRPr="00183564">
        <w:t>To deter non-compliance with the requirements,</w:t>
      </w:r>
      <w:r w:rsidR="00D14662" w:rsidRPr="00183564">
        <w:t xml:space="preserve"> </w:t>
      </w:r>
      <w:r w:rsidRPr="00183564">
        <w:t>increase the</w:t>
      </w:r>
      <w:r w:rsidR="00D7208D" w:rsidRPr="00183564">
        <w:t xml:space="preserve"> </w:t>
      </w:r>
      <w:r w:rsidRPr="00183564">
        <w:t>existing</w:t>
      </w:r>
      <w:r w:rsidR="00D7208D" w:rsidRPr="00183564">
        <w:t xml:space="preserve"> </w:t>
      </w:r>
      <w:r w:rsidRPr="00183564">
        <w:t>civil penalty that applies to a vessel operator and insert a new</w:t>
      </w:r>
      <w:r w:rsidR="00D7208D" w:rsidRPr="00183564">
        <w:t xml:space="preserve"> </w:t>
      </w:r>
      <w:r w:rsidRPr="00183564">
        <w:t>civil penalty provision</w:t>
      </w:r>
      <w:r w:rsidR="00D7208D" w:rsidRPr="00183564">
        <w:t xml:space="preserve"> </w:t>
      </w:r>
      <w:r w:rsidRPr="00183564">
        <w:t>for the</w:t>
      </w:r>
      <w:r w:rsidR="00D7208D" w:rsidRPr="00183564">
        <w:t xml:space="preserve"> </w:t>
      </w:r>
      <w:r w:rsidRPr="00183564">
        <w:t>person in charge of the vessel or aircraft.</w:t>
      </w:r>
    </w:p>
    <w:p w14:paraId="4B85CA7F" w14:textId="3859223D" w:rsidR="001C085F" w:rsidRPr="00183564" w:rsidRDefault="001C085F" w:rsidP="00637363">
      <w:pPr>
        <w:pStyle w:val="Heading4"/>
        <w:keepNext/>
        <w:rPr>
          <w:rStyle w:val="normaltextrun"/>
          <w:bCs/>
        </w:rPr>
      </w:pPr>
      <w:r w:rsidRPr="00183564">
        <w:rPr>
          <w:rStyle w:val="normaltextrun"/>
          <w:bCs/>
        </w:rPr>
        <w:t>Create a power to issue directions to apply to a group of persons</w:t>
      </w:r>
    </w:p>
    <w:p w14:paraId="66B63AE8" w14:textId="49E2EE4C" w:rsidR="001C085F" w:rsidRPr="00183564" w:rsidRDefault="001C085F" w:rsidP="000711EE">
      <w:pPr>
        <w:pStyle w:val="BodyText"/>
        <w:numPr>
          <w:ilvl w:val="0"/>
          <w:numId w:val="10"/>
        </w:numPr>
      </w:pPr>
      <w:r w:rsidRPr="00183564">
        <w:t>Create a</w:t>
      </w:r>
      <w:r w:rsidR="00D7208D" w:rsidRPr="00183564">
        <w:t xml:space="preserve"> </w:t>
      </w:r>
      <w:r w:rsidR="000711EE">
        <w:t>h</w:t>
      </w:r>
      <w:r w:rsidRPr="00183564">
        <w:t xml:space="preserve">uman </w:t>
      </w:r>
      <w:r w:rsidR="000711EE">
        <w:t>b</w:t>
      </w:r>
      <w:r w:rsidRPr="00183564">
        <w:t xml:space="preserve">iosecurity </w:t>
      </w:r>
      <w:r w:rsidR="000711EE">
        <w:t>g</w:t>
      </w:r>
      <w:r w:rsidRPr="00183564">
        <w:t xml:space="preserve">roup </w:t>
      </w:r>
      <w:r w:rsidR="000711EE">
        <w:t>d</w:t>
      </w:r>
      <w:r w:rsidRPr="00183564">
        <w:t xml:space="preserve">irection (HBGD) </w:t>
      </w:r>
      <w:r w:rsidR="001548A1">
        <w:t xml:space="preserve">mechanism </w:t>
      </w:r>
      <w:r w:rsidRPr="00183564">
        <w:t>that</w:t>
      </w:r>
      <w:r w:rsidR="00D7208D" w:rsidRPr="00183564">
        <w:t xml:space="preserve"> </w:t>
      </w:r>
      <w:r w:rsidRPr="00183564">
        <w:t>permits</w:t>
      </w:r>
      <w:r w:rsidR="00D7208D" w:rsidRPr="00183564">
        <w:t xml:space="preserve"> </w:t>
      </w:r>
      <w:r w:rsidRPr="00183564">
        <w:t>a Human Biosecurity Officer</w:t>
      </w:r>
      <w:r w:rsidR="00D7208D" w:rsidRPr="00183564">
        <w:t xml:space="preserve"> </w:t>
      </w:r>
      <w:r w:rsidRPr="00183564">
        <w:t>or Chief Human Biosecurity Officer</w:t>
      </w:r>
      <w:r w:rsidR="00D7208D" w:rsidRPr="00183564">
        <w:t xml:space="preserve"> </w:t>
      </w:r>
      <w:r w:rsidRPr="00183564">
        <w:t>to issue directions to a class of people</w:t>
      </w:r>
      <w:r w:rsidR="00D7208D" w:rsidRPr="00183564">
        <w:t xml:space="preserve"> </w:t>
      </w:r>
      <w:r w:rsidR="000711EE">
        <w:t xml:space="preserve">arriving in </w:t>
      </w:r>
      <w:r w:rsidRPr="00183564">
        <w:t>Australian territory</w:t>
      </w:r>
      <w:r w:rsidR="00D7208D" w:rsidRPr="00183564">
        <w:t xml:space="preserve"> </w:t>
      </w:r>
      <w:r w:rsidRPr="00183564">
        <w:t>where the officer is</w:t>
      </w:r>
      <w:r w:rsidR="00D7208D" w:rsidRPr="00183564">
        <w:t xml:space="preserve"> </w:t>
      </w:r>
      <w:r w:rsidRPr="00183564">
        <w:t>satisfied</w:t>
      </w:r>
      <w:r w:rsidR="00D7208D" w:rsidRPr="00183564">
        <w:t xml:space="preserve"> </w:t>
      </w:r>
      <w:r w:rsidRPr="00183564">
        <w:t>one or more persons in that class has</w:t>
      </w:r>
      <w:r w:rsidR="00D7208D" w:rsidRPr="00183564">
        <w:t xml:space="preserve"> </w:t>
      </w:r>
      <w:r w:rsidRPr="00183564">
        <w:t>signs or symptoms of, or may have been exposed to,</w:t>
      </w:r>
      <w:r w:rsidR="00D7208D" w:rsidRPr="00183564">
        <w:t xml:space="preserve"> </w:t>
      </w:r>
      <w:r w:rsidRPr="00183564">
        <w:t xml:space="preserve">a </w:t>
      </w:r>
      <w:r w:rsidR="00276013">
        <w:t>l</w:t>
      </w:r>
      <w:r w:rsidRPr="00183564">
        <w:t xml:space="preserve">isted </w:t>
      </w:r>
      <w:r w:rsidR="00276013">
        <w:t>h</w:t>
      </w:r>
      <w:r w:rsidRPr="00183564">
        <w:t xml:space="preserve">uman </w:t>
      </w:r>
      <w:r w:rsidR="00276013">
        <w:t>d</w:t>
      </w:r>
      <w:r w:rsidRPr="00183564">
        <w:t>isease.</w:t>
      </w:r>
      <w:r w:rsidR="00D7208D" w:rsidRPr="00183564">
        <w:t xml:space="preserve"> </w:t>
      </w:r>
      <w:r w:rsidRPr="00183564">
        <w:t>The direction could be applied to</w:t>
      </w:r>
      <w:r w:rsidR="00D7208D" w:rsidRPr="00183564">
        <w:t xml:space="preserve"> </w:t>
      </w:r>
      <w:r w:rsidRPr="00183564">
        <w:t>passengers and crew arriving by either</w:t>
      </w:r>
      <w:r w:rsidR="00D7208D" w:rsidRPr="00183564">
        <w:t xml:space="preserve"> </w:t>
      </w:r>
      <w:r w:rsidRPr="00183564">
        <w:t>maritime or air</w:t>
      </w:r>
      <w:r w:rsidR="00D7208D" w:rsidRPr="00183564">
        <w:t xml:space="preserve"> </w:t>
      </w:r>
      <w:r w:rsidRPr="00183564">
        <w:t>pathways.</w:t>
      </w:r>
      <w:r w:rsidR="00871D9C" w:rsidRPr="00871D9C">
        <w:t xml:space="preserve"> The concept of being ‘exposed to’ a listed human disease is </w:t>
      </w:r>
      <w:r w:rsidR="00363CD8">
        <w:t>already defined</w:t>
      </w:r>
      <w:r w:rsidR="00871D9C" w:rsidRPr="00871D9C">
        <w:t xml:space="preserve"> in section 17 of the Act</w:t>
      </w:r>
      <w:r w:rsidR="006D3B26">
        <w:t>.</w:t>
      </w:r>
    </w:p>
    <w:p w14:paraId="4CD8012F" w14:textId="10B96BFA" w:rsidR="007514BB" w:rsidRPr="00730AFB" w:rsidRDefault="007514BB" w:rsidP="007514BB">
      <w:pPr>
        <w:pStyle w:val="BodyText"/>
        <w:numPr>
          <w:ilvl w:val="0"/>
          <w:numId w:val="10"/>
        </w:numPr>
      </w:pPr>
      <w:r w:rsidRPr="00730AFB">
        <w:t>The direction could be applied to</w:t>
      </w:r>
      <w:r>
        <w:t xml:space="preserve"> individuals in a specified group, including individuals who are or were on a vessel or aircraft in</w:t>
      </w:r>
      <w:r w:rsidRPr="00730AFB">
        <w:t xml:space="preserve"> either</w:t>
      </w:r>
      <w:r>
        <w:t xml:space="preserve"> </w:t>
      </w:r>
      <w:r w:rsidRPr="00730AFB">
        <w:t>maritime or air</w:t>
      </w:r>
      <w:r>
        <w:t xml:space="preserve"> </w:t>
      </w:r>
      <w:r w:rsidRPr="00730AFB">
        <w:t>pathways</w:t>
      </w:r>
      <w:r>
        <w:t xml:space="preserve"> or </w:t>
      </w:r>
      <w:proofErr w:type="gramStart"/>
      <w:r>
        <w:t>in close proximity to</w:t>
      </w:r>
      <w:proofErr w:type="gramEnd"/>
      <w:r>
        <w:t xml:space="preserve"> the place where it landed or moored</w:t>
      </w:r>
      <w:r w:rsidRPr="00730AFB">
        <w:t>.</w:t>
      </w:r>
    </w:p>
    <w:p w14:paraId="77FECF23" w14:textId="6CCBE029" w:rsidR="001C085F" w:rsidRPr="00183564" w:rsidRDefault="001C085F" w:rsidP="00085E43">
      <w:pPr>
        <w:pStyle w:val="BodyText"/>
        <w:numPr>
          <w:ilvl w:val="0"/>
          <w:numId w:val="10"/>
        </w:numPr>
      </w:pPr>
      <w:r w:rsidRPr="00183564">
        <w:t xml:space="preserve">The </w:t>
      </w:r>
      <w:r w:rsidR="001548A1">
        <w:t xml:space="preserve">HBGD </w:t>
      </w:r>
      <w:r w:rsidRPr="00183564">
        <w:t>is</w:t>
      </w:r>
      <w:r w:rsidR="00D7208D" w:rsidRPr="00183564">
        <w:t xml:space="preserve"> </w:t>
      </w:r>
      <w:r w:rsidRPr="00183564">
        <w:t xml:space="preserve">intended to </w:t>
      </w:r>
      <w:r w:rsidR="00AE1FDA" w:rsidRPr="00AE1FDA">
        <w:t xml:space="preserve">provide an effective and efficient Commonwealth </w:t>
      </w:r>
      <w:r w:rsidR="001548A1">
        <w:t xml:space="preserve">mechanism </w:t>
      </w:r>
      <w:r w:rsidR="00AE1FDA" w:rsidRPr="00AE1FDA">
        <w:t xml:space="preserve">for the preliminary assessment and management of human biosecurity risk. It </w:t>
      </w:r>
      <w:r w:rsidR="00363CD8">
        <w:t>would</w:t>
      </w:r>
      <w:r w:rsidR="00363CD8" w:rsidRPr="00AE1FDA">
        <w:t xml:space="preserve"> </w:t>
      </w:r>
      <w:r w:rsidR="00AE1FDA" w:rsidRPr="00AE1FDA">
        <w:t xml:space="preserve">also address the lack of Commonwealth power to </w:t>
      </w:r>
      <w:r w:rsidR="00AE1FDA" w:rsidRPr="00AE1FDA">
        <w:lastRenderedPageBreak/>
        <w:t xml:space="preserve">prevent the embarkation or disembarkation of passengers or the loading or unloading of goods </w:t>
      </w:r>
      <w:r w:rsidRPr="00183564">
        <w:t>after pratique has been granted</w:t>
      </w:r>
      <w:r w:rsidR="001E2D92">
        <w:t>.</w:t>
      </w:r>
    </w:p>
    <w:p w14:paraId="055D7166" w14:textId="2FEF5888" w:rsidR="001C085F" w:rsidRPr="00183564" w:rsidDel="00874DE0" w:rsidRDefault="001C085F" w:rsidP="007D771D">
      <w:pPr>
        <w:pStyle w:val="BodyText"/>
        <w:numPr>
          <w:ilvl w:val="0"/>
          <w:numId w:val="10"/>
        </w:numPr>
        <w:ind w:left="714" w:hanging="357"/>
      </w:pPr>
      <w:r w:rsidRPr="00183564" w:rsidDel="00874DE0">
        <w:t>The</w:t>
      </w:r>
      <w:r w:rsidR="00270FEB" w:rsidRPr="00183564" w:rsidDel="00874DE0">
        <w:t xml:space="preserve"> </w:t>
      </w:r>
      <w:r w:rsidRPr="00183564" w:rsidDel="00874DE0">
        <w:t>measures</w:t>
      </w:r>
      <w:r w:rsidR="00270FEB" w:rsidRPr="00183564" w:rsidDel="00874DE0">
        <w:t xml:space="preserve"> </w:t>
      </w:r>
      <w:r w:rsidRPr="00183564" w:rsidDel="00874DE0">
        <w:t>the</w:t>
      </w:r>
      <w:r w:rsidR="00270FEB" w:rsidRPr="00183564" w:rsidDel="00874DE0">
        <w:t xml:space="preserve"> </w:t>
      </w:r>
      <w:r w:rsidRPr="00183564" w:rsidDel="00874DE0">
        <w:t>Chief</w:t>
      </w:r>
      <w:r w:rsidR="00270FEB" w:rsidRPr="00183564" w:rsidDel="00874DE0">
        <w:t xml:space="preserve"> </w:t>
      </w:r>
      <w:r w:rsidRPr="00183564" w:rsidDel="00874DE0">
        <w:t>Human Biosecurity Officer and</w:t>
      </w:r>
      <w:r w:rsidR="00270FEB" w:rsidRPr="00183564" w:rsidDel="00874DE0">
        <w:t xml:space="preserve"> </w:t>
      </w:r>
      <w:r w:rsidRPr="00183564" w:rsidDel="00874DE0">
        <w:t xml:space="preserve">Human Biosecurity Officer would be able to </w:t>
      </w:r>
      <w:r w:rsidR="00AC7E71" w:rsidDel="00874DE0">
        <w:t>require individuals within</w:t>
      </w:r>
      <w:r w:rsidRPr="00183564" w:rsidDel="00874DE0">
        <w:t xml:space="preserve"> the</w:t>
      </w:r>
      <w:r w:rsidR="00270FEB" w:rsidRPr="00183564" w:rsidDel="00874DE0">
        <w:t xml:space="preserve"> </w:t>
      </w:r>
      <w:r w:rsidRPr="00183564" w:rsidDel="00874DE0">
        <w:t>class of persons</w:t>
      </w:r>
      <w:r w:rsidR="00270FEB" w:rsidRPr="00183564" w:rsidDel="00874DE0">
        <w:t xml:space="preserve"> </w:t>
      </w:r>
      <w:r w:rsidR="000711EE">
        <w:t xml:space="preserve">to comply with </w:t>
      </w:r>
      <w:r w:rsidR="00D33F30">
        <w:t>c</w:t>
      </w:r>
      <w:r w:rsidR="000C3B54">
        <w:t xml:space="preserve">ould </w:t>
      </w:r>
      <w:r w:rsidRPr="00183564">
        <w:t>include</w:t>
      </w:r>
      <w:r w:rsidR="000C3B54">
        <w:t xml:space="preserve"> similar measures to those available </w:t>
      </w:r>
      <w:r w:rsidR="00206B50">
        <w:t>for human biosecurity control orders</w:t>
      </w:r>
      <w:r w:rsidR="00E53308">
        <w:t xml:space="preserve"> in Division 3 </w:t>
      </w:r>
      <w:r w:rsidR="004B2488">
        <w:t>of Part 2 of Chapter 2 of the Biosecurity Act</w:t>
      </w:r>
      <w:r w:rsidR="00E665FF">
        <w:t xml:space="preserve"> and measures relating to disembarking passengers or crew and unloading or loading goods</w:t>
      </w:r>
      <w:r w:rsidR="00141E95">
        <w:t>.</w:t>
      </w:r>
    </w:p>
    <w:p w14:paraId="1BE2EE73" w14:textId="2A0234B0" w:rsidR="001C085F" w:rsidRPr="00183564" w:rsidRDefault="001C085F" w:rsidP="000711EE">
      <w:pPr>
        <w:pStyle w:val="BodyText"/>
        <w:numPr>
          <w:ilvl w:val="0"/>
          <w:numId w:val="10"/>
        </w:numPr>
      </w:pPr>
      <w:r w:rsidRPr="00183564">
        <w:t xml:space="preserve">Individuals within the class </w:t>
      </w:r>
      <w:r w:rsidR="00E703F6">
        <w:t>would</w:t>
      </w:r>
      <w:r w:rsidR="00E703F6" w:rsidRPr="00183564">
        <w:t xml:space="preserve"> </w:t>
      </w:r>
      <w:r w:rsidRPr="00183564">
        <w:t xml:space="preserve">be provided with notice of the </w:t>
      </w:r>
      <w:r w:rsidR="001548A1">
        <w:t>HBGD</w:t>
      </w:r>
      <w:r w:rsidRPr="00183564">
        <w:t xml:space="preserve"> in the manner prescribed by the regulations</w:t>
      </w:r>
      <w:r w:rsidR="00EE5B99">
        <w:t xml:space="preserve"> so that it can be best tailored to the circumstances of the aircraft or vessel</w:t>
      </w:r>
      <w:r w:rsidRPr="00183564">
        <w:t>. It is also proposed to insert a</w:t>
      </w:r>
      <w:r w:rsidR="00864E32" w:rsidRPr="00183564">
        <w:t xml:space="preserve"> </w:t>
      </w:r>
      <w:r w:rsidR="001548A1">
        <w:t xml:space="preserve">mechanism </w:t>
      </w:r>
      <w:r w:rsidRPr="00183564">
        <w:t xml:space="preserve">for a </w:t>
      </w:r>
      <w:r w:rsidR="004900FA" w:rsidRPr="001E2D92">
        <w:t>Human Biosecurity Officer</w:t>
      </w:r>
      <w:r w:rsidR="001548A1">
        <w:t>,</w:t>
      </w:r>
      <w:r w:rsidRPr="00183564">
        <w:t xml:space="preserve"> </w:t>
      </w:r>
      <w:r w:rsidR="004900FA" w:rsidRPr="001E2D92">
        <w:t>Chief Human Biosecurity Officer</w:t>
      </w:r>
      <w:r w:rsidRPr="00183564">
        <w:t xml:space="preserve"> </w:t>
      </w:r>
      <w:r w:rsidR="001548A1">
        <w:t xml:space="preserve">or Biosecurity Officer </w:t>
      </w:r>
      <w:r w:rsidRPr="00183564">
        <w:t>to require the person in charge of the aircraft or vessel to provide notice of the group direction to the class of individuals on board.</w:t>
      </w:r>
    </w:p>
    <w:p w14:paraId="7B52391B" w14:textId="31AC1D67" w:rsidR="001100F2" w:rsidRPr="00183564" w:rsidRDefault="001C085F" w:rsidP="00085E43">
      <w:pPr>
        <w:pStyle w:val="BodyText"/>
        <w:numPr>
          <w:ilvl w:val="0"/>
          <w:numId w:val="10"/>
        </w:numPr>
      </w:pPr>
      <w:r w:rsidRPr="00183564">
        <w:t>Careful consideration</w:t>
      </w:r>
      <w:r w:rsidR="007A2648" w:rsidRPr="00183564">
        <w:t xml:space="preserve"> </w:t>
      </w:r>
      <w:r w:rsidRPr="00183564">
        <w:t>of</w:t>
      </w:r>
      <w:r w:rsidR="007A2648" w:rsidRPr="00183564">
        <w:t xml:space="preserve"> </w:t>
      </w:r>
      <w:r w:rsidRPr="00183564">
        <w:t>potential implications to human rights and other relevant legal obligations and issues</w:t>
      </w:r>
      <w:r w:rsidR="007A2648" w:rsidRPr="00183564">
        <w:t xml:space="preserve"> </w:t>
      </w:r>
      <w:r w:rsidRPr="00183564">
        <w:t xml:space="preserve">will be </w:t>
      </w:r>
      <w:r w:rsidR="0090162C">
        <w:t>given</w:t>
      </w:r>
      <w:r w:rsidR="0090162C" w:rsidRPr="00183564">
        <w:t xml:space="preserve"> </w:t>
      </w:r>
      <w:r w:rsidRPr="00183564">
        <w:t xml:space="preserve">to ensure the </w:t>
      </w:r>
      <w:r w:rsidR="001548A1">
        <w:t xml:space="preserve">new mechanism </w:t>
      </w:r>
      <w:r w:rsidRPr="00183564">
        <w:t>is appropriate and proportionate</w:t>
      </w:r>
      <w:r w:rsidR="007A2648" w:rsidRPr="00183564">
        <w:t xml:space="preserve"> </w:t>
      </w:r>
      <w:r w:rsidRPr="00183564">
        <w:t>to the risk.</w:t>
      </w:r>
    </w:p>
    <w:p w14:paraId="60BB569A" w14:textId="77777777" w:rsidR="007D771D" w:rsidRPr="00183564" w:rsidRDefault="007D771D" w:rsidP="007D771D">
      <w:pPr>
        <w:pStyle w:val="BodyText"/>
        <w:rPr>
          <w:rFonts w:asciiTheme="majorHAnsi" w:hAnsiTheme="majorHAnsi"/>
          <w:b/>
          <w:color w:val="014463" w:themeColor="text2"/>
          <w:sz w:val="60"/>
          <w:szCs w:val="60"/>
        </w:rPr>
      </w:pPr>
    </w:p>
    <w:p w14:paraId="2142C6B1" w14:textId="1DE0372B" w:rsidR="00651F89" w:rsidRPr="00183564" w:rsidRDefault="00651F89" w:rsidP="00D55A67">
      <w:pPr>
        <w:pStyle w:val="Heading2"/>
      </w:pPr>
      <w:bookmarkStart w:id="32" w:name="_Toc80965311"/>
      <w:r w:rsidRPr="00183564">
        <w:t>4. What is the likely net benefit of each option?</w:t>
      </w:r>
      <w:bookmarkEnd w:id="32"/>
    </w:p>
    <w:p w14:paraId="3F7FF571" w14:textId="7AF98EA2" w:rsidR="00791B7C" w:rsidRDefault="00896AC9" w:rsidP="00896AC9">
      <w:r w:rsidRPr="00183564">
        <w:t xml:space="preserve">This section of the RIS </w:t>
      </w:r>
      <w:r w:rsidR="0048736F">
        <w:t xml:space="preserve">discusses the </w:t>
      </w:r>
      <w:r w:rsidR="00EC3724">
        <w:t xml:space="preserve">benefits and costs </w:t>
      </w:r>
      <w:r w:rsidRPr="00183564">
        <w:t>for each of the three policy options</w:t>
      </w:r>
      <w:r w:rsidR="000F7B4B">
        <w:t xml:space="preserve"> being considered</w:t>
      </w:r>
      <w:r w:rsidRPr="00183564">
        <w:t xml:space="preserve">. </w:t>
      </w:r>
      <w:r w:rsidR="0075575D">
        <w:t>The</w:t>
      </w:r>
      <w:r w:rsidR="00AC16FD">
        <w:t>se</w:t>
      </w:r>
      <w:r w:rsidR="0075575D">
        <w:t xml:space="preserve"> costs include the</w:t>
      </w:r>
      <w:r w:rsidR="0075575D" w:rsidRPr="00183564">
        <w:t xml:space="preserve"> estimated regulatory cost burdens</w:t>
      </w:r>
      <w:r w:rsidR="00DC61B1">
        <w:t xml:space="preserve">, </w:t>
      </w:r>
      <w:r w:rsidR="00BB3499" w:rsidRPr="00C11299">
        <w:t>with the estimate</w:t>
      </w:r>
      <w:r w:rsidRPr="00183564">
        <w:t xml:space="preserve"> based on anticipated actions taken by </w:t>
      </w:r>
      <w:r w:rsidR="002334E6" w:rsidRPr="00183564">
        <w:t xml:space="preserve">businesses, </w:t>
      </w:r>
      <w:r w:rsidR="00DC61B1" w:rsidRPr="00183564">
        <w:t>individuals,</w:t>
      </w:r>
      <w:r w:rsidR="002334E6" w:rsidRPr="00183564">
        <w:t xml:space="preserve"> and </w:t>
      </w:r>
      <w:r w:rsidR="0073673D" w:rsidRPr="00183564">
        <w:t>community organisations</w:t>
      </w:r>
      <w:r w:rsidRPr="00183564">
        <w:t xml:space="preserve"> to comply with each of the </w:t>
      </w:r>
      <w:r w:rsidR="001E73D4" w:rsidRPr="00183564">
        <w:t xml:space="preserve">proposed </w:t>
      </w:r>
      <w:r w:rsidR="007A2648" w:rsidRPr="00183564">
        <w:t>policies</w:t>
      </w:r>
      <w:r w:rsidR="00DC61B1">
        <w:t xml:space="preserve">. The </w:t>
      </w:r>
      <w:r w:rsidR="00657C80">
        <w:t>regulatory cost burden</w:t>
      </w:r>
      <w:r w:rsidR="00791B7C">
        <w:t xml:space="preserve"> estimates</w:t>
      </w:r>
      <w:r w:rsidR="00657C80">
        <w:t xml:space="preserve"> </w:t>
      </w:r>
      <w:r w:rsidRPr="00183564">
        <w:t>have been developed using the guidance and tools of the Office of Best Practice Regulation.</w:t>
      </w:r>
    </w:p>
    <w:p w14:paraId="3F26E017" w14:textId="70DF15E0" w:rsidR="00AC3E83" w:rsidRPr="00743181" w:rsidRDefault="00AC3E83" w:rsidP="00AC3E83">
      <w:r>
        <w:t xml:space="preserve">This section further discusses relevant qualitative </w:t>
      </w:r>
      <w:r w:rsidR="009C0A3D">
        <w:t xml:space="preserve">benefits and impacts, such as </w:t>
      </w:r>
      <w:r>
        <w:t>how well each option manages risks to human health</w:t>
      </w:r>
      <w:r w:rsidR="00A76ED0" w:rsidRPr="00C11299">
        <w:t xml:space="preserve"> and the anticipated benefit</w:t>
      </w:r>
      <w:r w:rsidR="009448D7" w:rsidRPr="00C11299">
        <w:t xml:space="preserve"> to the broader Australian economy</w:t>
      </w:r>
      <w:r w:rsidR="00765FBD" w:rsidRPr="00C11299">
        <w:t>, where relevant</w:t>
      </w:r>
      <w:r>
        <w:t>.</w:t>
      </w:r>
    </w:p>
    <w:p w14:paraId="1BD4DB9F" w14:textId="308329D4" w:rsidR="002F65EE" w:rsidRDefault="00896AC9" w:rsidP="0019332C">
      <w:pPr>
        <w:widowControl w:val="0"/>
      </w:pPr>
      <w:r w:rsidRPr="00183564">
        <w:t>The cost of not complying with regulations, also known as enforcement costs, are not factored into regulatory cost burden estimates.</w:t>
      </w:r>
      <w:r w:rsidR="00791B7C">
        <w:t xml:space="preserve"> </w:t>
      </w:r>
      <w:r w:rsidRPr="00183564">
        <w:t xml:space="preserve">The costs included in this RIS are in Australian dollars </w:t>
      </w:r>
      <w:r w:rsidR="00C14FA1" w:rsidRPr="00183564">
        <w:t>unless indicated otherwise</w:t>
      </w:r>
      <w:r w:rsidRPr="00183564">
        <w:t xml:space="preserve"> and represent present value.</w:t>
      </w:r>
    </w:p>
    <w:p w14:paraId="2DFD9AC4" w14:textId="438BECF3" w:rsidR="00651F89" w:rsidRPr="00183564" w:rsidRDefault="00651F89" w:rsidP="0019332C">
      <w:pPr>
        <w:pStyle w:val="Heading3"/>
      </w:pPr>
      <w:bookmarkStart w:id="33" w:name="_Toc80965312"/>
      <w:r w:rsidRPr="00183564">
        <w:t>4.1 Option 1 – Status Quo</w:t>
      </w:r>
      <w:bookmarkEnd w:id="33"/>
    </w:p>
    <w:p w14:paraId="75271742" w14:textId="24CC2288" w:rsidR="007C5FA7" w:rsidRPr="00183564" w:rsidRDefault="00792C33" w:rsidP="00D55A67">
      <w:pPr>
        <w:pStyle w:val="Heading4"/>
      </w:pPr>
      <w:r w:rsidRPr="00183564">
        <w:t>4.1.</w:t>
      </w:r>
      <w:r w:rsidR="00240832" w:rsidRPr="00183564">
        <w:t>1</w:t>
      </w:r>
      <w:r w:rsidR="00240832" w:rsidRPr="00183564">
        <w:tab/>
      </w:r>
      <w:r w:rsidR="00FA2589" w:rsidRPr="00183564">
        <w:t>Benefit</w:t>
      </w:r>
      <w:r w:rsidR="006F3143" w:rsidRPr="00183564">
        <w:t>s</w:t>
      </w:r>
    </w:p>
    <w:p w14:paraId="356C99BB" w14:textId="32F0CD9D" w:rsidR="002C3D35" w:rsidRDefault="00E508F4" w:rsidP="00E508F4">
      <w:pPr>
        <w:pStyle w:val="BodyText"/>
      </w:pPr>
      <w:r w:rsidRPr="00183564">
        <w:t xml:space="preserve">Option </w:t>
      </w:r>
      <w:r w:rsidR="004522ED" w:rsidRPr="00183564">
        <w:t xml:space="preserve">1 </w:t>
      </w:r>
      <w:r w:rsidRPr="00183564">
        <w:t xml:space="preserve">would continue to provide a regulatory framework </w:t>
      </w:r>
      <w:r w:rsidR="00CE143A" w:rsidRPr="00183564">
        <w:t>for Australia’s management of biosecurity risk</w:t>
      </w:r>
      <w:r w:rsidR="009E58C5">
        <w:t>, i</w:t>
      </w:r>
      <w:r w:rsidR="00CE143A" w:rsidRPr="00183564">
        <w:t xml:space="preserve">n accordance with the objects of the </w:t>
      </w:r>
      <w:r w:rsidR="00386108">
        <w:t xml:space="preserve">Biosecurity </w:t>
      </w:r>
      <w:r w:rsidR="00CE143A" w:rsidRPr="00183564">
        <w:t>Act</w:t>
      </w:r>
      <w:r w:rsidR="00446EAE">
        <w:t>.</w:t>
      </w:r>
      <w:r w:rsidR="00CE143A" w:rsidRPr="00183564">
        <w:t xml:space="preserve"> </w:t>
      </w:r>
      <w:r w:rsidR="00446EAE">
        <w:t>T</w:t>
      </w:r>
      <w:r w:rsidR="00CE143A" w:rsidRPr="00183564">
        <w:t>his includes pre-arrival and at-border powers for managing what is referred to in practice as ‘human biosecurity’</w:t>
      </w:r>
      <w:r w:rsidR="004B2690">
        <w:t>, that is</w:t>
      </w:r>
      <w:r w:rsidR="00CE143A" w:rsidRPr="00183564">
        <w:t xml:space="preserve"> protecting human health from the risks posed by the entry, emergence, establishment or spread of infectious human diseases in Australia.</w:t>
      </w:r>
    </w:p>
    <w:p w14:paraId="3688DD82" w14:textId="1E2BAC52" w:rsidR="009C44AD" w:rsidRDefault="00214239" w:rsidP="00970E1C">
      <w:pPr>
        <w:pStyle w:val="BodyText"/>
      </w:pPr>
      <w:r w:rsidRPr="008D6BB9">
        <w:t>The</w:t>
      </w:r>
      <w:r w:rsidR="001A00C6">
        <w:t xml:space="preserve"> Biosecurity</w:t>
      </w:r>
      <w:r w:rsidRPr="008D6BB9">
        <w:t xml:space="preserve"> Act </w:t>
      </w:r>
      <w:r w:rsidR="00FA0403">
        <w:t>provides a modern framework</w:t>
      </w:r>
      <w:r w:rsidR="009F6CB1" w:rsidRPr="008D6BB9">
        <w:t xml:space="preserve"> </w:t>
      </w:r>
      <w:r w:rsidR="00C85A63" w:rsidRPr="008D6BB9">
        <w:t xml:space="preserve">to </w:t>
      </w:r>
      <w:r w:rsidR="00164C09" w:rsidRPr="00F30BEC">
        <w:t xml:space="preserve">address the </w:t>
      </w:r>
      <w:r w:rsidR="00647F8E" w:rsidRPr="007023A5">
        <w:t xml:space="preserve">increasingly challenging and complex biosecurity risks </w:t>
      </w:r>
      <w:r w:rsidR="001941EC" w:rsidRPr="007023A5">
        <w:t xml:space="preserve">due to </w:t>
      </w:r>
      <w:r w:rsidR="0053041D" w:rsidRPr="007023A5">
        <w:t xml:space="preserve">increasing </w:t>
      </w:r>
      <w:r w:rsidR="000F7EB2" w:rsidRPr="007023A5">
        <w:t>number of pass</w:t>
      </w:r>
      <w:r w:rsidR="00A00DF1" w:rsidRPr="007023A5">
        <w:t xml:space="preserve">engers and cargo entering </w:t>
      </w:r>
      <w:r w:rsidR="00260B43" w:rsidRPr="007023A5">
        <w:t>Australia</w:t>
      </w:r>
      <w:r w:rsidR="00572744" w:rsidRPr="008D6BB9">
        <w:t xml:space="preserve"> (Biosecurity Bill 2014 Explanatory Memorandum). </w:t>
      </w:r>
      <w:r w:rsidR="00AA32C5" w:rsidRPr="008D6BB9">
        <w:t xml:space="preserve"> </w:t>
      </w:r>
      <w:r w:rsidR="003E2200">
        <w:t>The benefits of the current framework a</w:t>
      </w:r>
      <w:r w:rsidR="00EE32CF">
        <w:t>re</w:t>
      </w:r>
      <w:r w:rsidR="003E2200">
        <w:t xml:space="preserve"> stated</w:t>
      </w:r>
      <w:r w:rsidR="00CF16EF">
        <w:t xml:space="preserve"> </w:t>
      </w:r>
      <w:r w:rsidR="003E2200">
        <w:t xml:space="preserve">broadly </w:t>
      </w:r>
      <w:r w:rsidR="00CF16EF">
        <w:t>in</w:t>
      </w:r>
      <w:r w:rsidR="00FE65D6">
        <w:t xml:space="preserve"> the </w:t>
      </w:r>
      <w:r w:rsidR="00793A92">
        <w:t xml:space="preserve">former </w:t>
      </w:r>
      <w:r w:rsidR="00DC0C68">
        <w:t>D</w:t>
      </w:r>
      <w:r w:rsidR="00FE65D6">
        <w:t>epartment</w:t>
      </w:r>
      <w:r w:rsidR="00DC0C68">
        <w:t xml:space="preserve"> of Agriculture’s</w:t>
      </w:r>
      <w:r w:rsidR="00FE65D6">
        <w:t xml:space="preserve"> </w:t>
      </w:r>
      <w:r w:rsidR="005D62AD">
        <w:t>Regulatory Performance Framework 2018-19:</w:t>
      </w:r>
    </w:p>
    <w:p w14:paraId="195592DD" w14:textId="7C4E16CF" w:rsidR="00E95079" w:rsidRPr="008407CC" w:rsidRDefault="009C44AD" w:rsidP="00FE65D6">
      <w:pPr>
        <w:pStyle w:val="Quote"/>
      </w:pPr>
      <w:r>
        <w:t>The legislation is designed to be flexible and responsive to changes in technology and future challenges. It promotes a shared responsibility between government and industry, provides a modern regulatory framework, reduces duplication and regulatory impacts, and allows for current and future trading environments</w:t>
      </w:r>
      <w:r w:rsidR="007D3CCC" w:rsidRPr="008407CC">
        <w:t xml:space="preserve">. </w:t>
      </w:r>
    </w:p>
    <w:p w14:paraId="10A550C9" w14:textId="1454B77A" w:rsidR="00970E1C" w:rsidRPr="007D771D" w:rsidRDefault="002770E7" w:rsidP="00E508F4">
      <w:pPr>
        <w:pStyle w:val="BodyText"/>
      </w:pPr>
      <w:r w:rsidRPr="007D771D">
        <w:lastRenderedPageBreak/>
        <w:t>As outlined in the Current Settings section, t</w:t>
      </w:r>
      <w:r w:rsidR="008045FD" w:rsidRPr="007D771D">
        <w:t xml:space="preserve">he status quo provides </w:t>
      </w:r>
      <w:r w:rsidR="00A145B9" w:rsidRPr="007D771D">
        <w:t>for a pratique mechanism and pre-arrival reporting that provides some level of protection for managing human health risks</w:t>
      </w:r>
      <w:r w:rsidR="0085570F" w:rsidRPr="007D771D">
        <w:t>.</w:t>
      </w:r>
      <w:r w:rsidR="0086082C" w:rsidRPr="007D771D">
        <w:t xml:space="preserve"> </w:t>
      </w:r>
      <w:r w:rsidR="00FE2E42" w:rsidRPr="007D771D">
        <w:t xml:space="preserve">The positive pratique mechanism continues to provide an efficient means for managing arrivals of aircraft and vessels where no public health issues are identified. </w:t>
      </w:r>
    </w:p>
    <w:p w14:paraId="268CC922" w14:textId="5DC7E997" w:rsidR="008C0BAB" w:rsidDel="00F049EC" w:rsidRDefault="00727A15" w:rsidP="008C0BAB">
      <w:pPr>
        <w:pStyle w:val="BodyText"/>
      </w:pPr>
      <w:r w:rsidRPr="007D771D">
        <w:t xml:space="preserve">The status quo includes changes </w:t>
      </w:r>
      <w:r w:rsidR="00F16915" w:rsidRPr="007D771D">
        <w:t xml:space="preserve">and reforms </w:t>
      </w:r>
      <w:r w:rsidR="002542FA" w:rsidRPr="007D771D">
        <w:t xml:space="preserve">to </w:t>
      </w:r>
      <w:r w:rsidR="00627E11" w:rsidRPr="007D771D">
        <w:t xml:space="preserve">operational policies, </w:t>
      </w:r>
      <w:proofErr w:type="gramStart"/>
      <w:r w:rsidR="002542FA" w:rsidRPr="007D771D">
        <w:t>practices</w:t>
      </w:r>
      <w:proofErr w:type="gramEnd"/>
      <w:r w:rsidR="002542FA" w:rsidRPr="007D771D">
        <w:t xml:space="preserve"> and processes </w:t>
      </w:r>
      <w:r w:rsidR="00F16915" w:rsidRPr="007D771D">
        <w:t xml:space="preserve">that the </w:t>
      </w:r>
      <w:r w:rsidR="00AA09D6" w:rsidRPr="007D771D">
        <w:t>Australian G</w:t>
      </w:r>
      <w:r w:rsidR="00F16915" w:rsidRPr="007D771D">
        <w:t xml:space="preserve">overnment has implemented during 2020 and 2021. These changes are </w:t>
      </w:r>
      <w:r w:rsidR="008C0BAB" w:rsidRPr="007D771D" w:rsidDel="00F049EC">
        <w:t>expected to bring about improvement in the process</w:t>
      </w:r>
      <w:r w:rsidR="00627E11" w:rsidRPr="007D771D">
        <w:t xml:space="preserve"> for managing biosecurity risks at the border</w:t>
      </w:r>
      <w:r w:rsidR="008C0BAB" w:rsidRPr="007D771D" w:rsidDel="00F049EC">
        <w:t xml:space="preserve">, even absent legislative change. </w:t>
      </w:r>
      <w:r w:rsidR="00F522AD" w:rsidRPr="007D771D">
        <w:t>For example, t</w:t>
      </w:r>
      <w:r w:rsidR="00E741FE" w:rsidRPr="007D771D">
        <w:t xml:space="preserve">hese </w:t>
      </w:r>
      <w:r w:rsidR="00B52817" w:rsidRPr="007D771D">
        <w:t xml:space="preserve">changes </w:t>
      </w:r>
      <w:r w:rsidR="00CE3F57" w:rsidRPr="007D771D">
        <w:t xml:space="preserve">will </w:t>
      </w:r>
      <w:r w:rsidR="00E37088" w:rsidRPr="007D771D">
        <w:t xml:space="preserve">provide increased understanding of the roles and responsibilities of </w:t>
      </w:r>
      <w:r w:rsidR="00627E11" w:rsidRPr="007D771D">
        <w:t xml:space="preserve">Commonwealth </w:t>
      </w:r>
      <w:r w:rsidR="00E37088" w:rsidRPr="007D771D">
        <w:t xml:space="preserve">and </w:t>
      </w:r>
      <w:r w:rsidR="00151F79" w:rsidRPr="007D771D">
        <w:t>state and territory</w:t>
      </w:r>
      <w:r w:rsidR="00627E11" w:rsidRPr="007D771D">
        <w:t xml:space="preserve"> agencies</w:t>
      </w:r>
      <w:r w:rsidR="00151F79" w:rsidRPr="007D771D">
        <w:t xml:space="preserve">, </w:t>
      </w:r>
      <w:r w:rsidR="00284B63" w:rsidRPr="007D771D">
        <w:t>improved training material for Biosecurity Officers</w:t>
      </w:r>
      <w:r w:rsidR="007A38DB" w:rsidRPr="007D771D">
        <w:t xml:space="preserve"> and </w:t>
      </w:r>
      <w:r w:rsidR="00627E11" w:rsidRPr="007D771D">
        <w:t xml:space="preserve">enhanced </w:t>
      </w:r>
      <w:r w:rsidR="007A38DB" w:rsidRPr="007D771D">
        <w:t xml:space="preserve">health reporting </w:t>
      </w:r>
      <w:r w:rsidR="00CC46A9" w:rsidRPr="007D771D">
        <w:t xml:space="preserve">through </w:t>
      </w:r>
      <w:r w:rsidR="008E3880" w:rsidRPr="007D771D">
        <w:t xml:space="preserve">the </w:t>
      </w:r>
      <w:r w:rsidR="000E6AB2" w:rsidRPr="007D771D">
        <w:t>Maritime Arrivals Reporting System</w:t>
      </w:r>
      <w:r w:rsidR="00AA43C5" w:rsidRPr="007D771D">
        <w:t>.</w:t>
      </w:r>
    </w:p>
    <w:p w14:paraId="5514265C" w14:textId="1EC76EAF" w:rsidR="00E508F4" w:rsidRDefault="00E508F4" w:rsidP="00E508F4">
      <w:pPr>
        <w:pStyle w:val="BodyText"/>
      </w:pPr>
      <w:r w:rsidRPr="00183564">
        <w:t xml:space="preserve">As </w:t>
      </w:r>
      <w:r w:rsidR="000C6EF5">
        <w:t>Option 1 does not involve any change to regulation, there is</w:t>
      </w:r>
      <w:r w:rsidR="000C6EF5" w:rsidRPr="00183564">
        <w:t xml:space="preserve"> </w:t>
      </w:r>
      <w:r w:rsidRPr="00183564">
        <w:t>no change to the regulatory burden on businesses, community organisations or individuals is anticipated.</w:t>
      </w:r>
    </w:p>
    <w:p w14:paraId="66321B19" w14:textId="3EDCC72E" w:rsidR="00B031A1" w:rsidRDefault="00692CBA" w:rsidP="00D55A67">
      <w:pPr>
        <w:pStyle w:val="Heading4"/>
      </w:pPr>
      <w:r w:rsidRPr="00183564">
        <w:t xml:space="preserve">4.1.2 </w:t>
      </w:r>
      <w:r w:rsidR="004E5F66">
        <w:t>I</w:t>
      </w:r>
      <w:r w:rsidR="000E54C9">
        <w:t>mpacts</w:t>
      </w:r>
    </w:p>
    <w:p w14:paraId="4F28ED8B" w14:textId="59591F78" w:rsidR="004E5F66" w:rsidRPr="00183564" w:rsidRDefault="00B4378B" w:rsidP="000F79A8">
      <w:pPr>
        <w:pStyle w:val="BodyText"/>
      </w:pPr>
      <w:r w:rsidRPr="00183564">
        <w:t xml:space="preserve">Under </w:t>
      </w:r>
      <w:r w:rsidR="00AE01D7">
        <w:t>O</w:t>
      </w:r>
      <w:r w:rsidRPr="00183564">
        <w:t>ption</w:t>
      </w:r>
      <w:r>
        <w:t xml:space="preserve"> 1</w:t>
      </w:r>
      <w:r w:rsidRPr="00183564">
        <w:t xml:space="preserve">, the shortcomings in the existing regulatory framework </w:t>
      </w:r>
      <w:r w:rsidR="006678BA">
        <w:t xml:space="preserve">identified </w:t>
      </w:r>
      <w:r w:rsidR="00857129">
        <w:t>in the problems section</w:t>
      </w:r>
      <w:r w:rsidR="00AF04EB" w:rsidRPr="00AF04EB">
        <w:t xml:space="preserve"> </w:t>
      </w:r>
      <w:r w:rsidRPr="00183564">
        <w:t>would remain.</w:t>
      </w:r>
      <w:r w:rsidR="00755A41">
        <w:t xml:space="preserve"> </w:t>
      </w:r>
      <w:r w:rsidR="00A80756">
        <w:t>The binary nature of pratique</w:t>
      </w:r>
      <w:r w:rsidR="00594E1B">
        <w:t>, lack of up</w:t>
      </w:r>
      <w:r w:rsidR="00400CDC">
        <w:t xml:space="preserve">-to-date health reporting, and </w:t>
      </w:r>
      <w:r w:rsidR="001F57D5">
        <w:t xml:space="preserve">inability to provide </w:t>
      </w:r>
      <w:r w:rsidR="004B2690">
        <w:t xml:space="preserve">directions </w:t>
      </w:r>
      <w:r w:rsidR="001F57D5">
        <w:t xml:space="preserve">to large groups of people </w:t>
      </w:r>
      <w:r w:rsidR="0021339F">
        <w:t xml:space="preserve">results </w:t>
      </w:r>
      <w:r w:rsidR="00E43377">
        <w:t xml:space="preserve">in </w:t>
      </w:r>
      <w:r w:rsidR="0021339F">
        <w:t>the system lacking the</w:t>
      </w:r>
      <w:r w:rsidR="00073BB6">
        <w:t xml:space="preserve"> </w:t>
      </w:r>
      <w:r w:rsidR="004E5F66" w:rsidRPr="00183564">
        <w:t xml:space="preserve">flexibility </w:t>
      </w:r>
      <w:r w:rsidR="0025159E">
        <w:t>to</w:t>
      </w:r>
      <w:r w:rsidR="004E5F66" w:rsidRPr="00183564">
        <w:t xml:space="preserve"> manag</w:t>
      </w:r>
      <w:r w:rsidR="0025159E">
        <w:t>e</w:t>
      </w:r>
      <w:r w:rsidR="004E5F66" w:rsidRPr="00183564">
        <w:t xml:space="preserve"> large numbers of passengers and crew with potential </w:t>
      </w:r>
      <w:r w:rsidR="004E5F66">
        <w:t>l</w:t>
      </w:r>
      <w:r w:rsidR="004E5F66" w:rsidRPr="00183564">
        <w:t xml:space="preserve">isted </w:t>
      </w:r>
      <w:r w:rsidR="004E5F66">
        <w:t>h</w:t>
      </w:r>
      <w:r w:rsidR="004E5F66" w:rsidRPr="00183564">
        <w:t xml:space="preserve">uman </w:t>
      </w:r>
      <w:r w:rsidR="004E5F66">
        <w:t>d</w:t>
      </w:r>
      <w:r w:rsidR="004E5F66" w:rsidRPr="00183564">
        <w:t>iseases onboard foreign commercial vessels seeking permission to enter Australia.</w:t>
      </w:r>
      <w:r w:rsidR="00720183">
        <w:t xml:space="preserve"> </w:t>
      </w:r>
      <w:r w:rsidR="00DA3558">
        <w:t xml:space="preserve">These impacts are </w:t>
      </w:r>
      <w:r w:rsidR="00720183">
        <w:t>discussed further below.</w:t>
      </w:r>
    </w:p>
    <w:p w14:paraId="702DC948" w14:textId="2D83802B" w:rsidR="004E5F66" w:rsidRPr="007D771D" w:rsidRDefault="00627E11" w:rsidP="004E5F66">
      <w:r w:rsidRPr="007D771D">
        <w:t xml:space="preserve">During the COVID-19 pandemic, </w:t>
      </w:r>
      <w:proofErr w:type="gramStart"/>
      <w:r w:rsidRPr="007D771D">
        <w:t>a number of</w:t>
      </w:r>
      <w:proofErr w:type="gramEnd"/>
      <w:r w:rsidRPr="007D771D">
        <w:t xml:space="preserve"> </w:t>
      </w:r>
      <w:r w:rsidR="004E5F66" w:rsidRPr="007D771D">
        <w:t>commercial vessels in Australian waters hav</w:t>
      </w:r>
      <w:r w:rsidRPr="007D771D">
        <w:t>e had</w:t>
      </w:r>
      <w:r w:rsidR="004E5F66" w:rsidRPr="007D771D">
        <w:t xml:space="preserve"> crew with COVID-19 onboard. These have included cargo vessels, livestock carriers and tankers. </w:t>
      </w:r>
      <w:r w:rsidR="004E5F66" w:rsidRPr="007D771D" w:rsidDel="007975C5">
        <w:t>In many cases state and territory public health emergency powers have been used to restrict crew movement.</w:t>
      </w:r>
    </w:p>
    <w:p w14:paraId="278FBC8E" w14:textId="77777777" w:rsidR="004E5F66" w:rsidRPr="007D771D" w:rsidRDefault="004E5F66" w:rsidP="004E5F66">
      <w:r w:rsidRPr="007D771D">
        <w:t>According to the Inspector-General of Biosecurity:</w:t>
      </w:r>
    </w:p>
    <w:p w14:paraId="50414E8E" w14:textId="38F4DD29" w:rsidR="004E5F66" w:rsidRPr="007D771D" w:rsidRDefault="004E5F66" w:rsidP="004E5F66">
      <w:pPr>
        <w:ind w:left="720"/>
        <w:jc w:val="both"/>
        <w:rPr>
          <w:i/>
          <w:iCs/>
        </w:rPr>
      </w:pPr>
      <w:r w:rsidRPr="007D771D">
        <w:rPr>
          <w:i/>
          <w:iCs/>
        </w:rPr>
        <w:t xml:space="preserve">Currently, state emergency powers, rather than pratique or Human Biosecurity Control Orders, are being utilised to prevent crew or passengers from disembarking arriving overseas vessels. In assessing the effectiveness of the management of arriving vessels using pratique, we must consider an environment without reliance on state and territory emergency powers. </w:t>
      </w:r>
      <w:r w:rsidR="00627E11" w:rsidRPr="007D771D">
        <w:t>[Inspector-General of Biosecurity, p. 86]</w:t>
      </w:r>
    </w:p>
    <w:p w14:paraId="6B02CD97" w14:textId="16DA648A" w:rsidR="006E5956" w:rsidRPr="006E5956" w:rsidRDefault="00592156" w:rsidP="006E5956">
      <w:pPr>
        <w:pStyle w:val="BodyText"/>
      </w:pPr>
      <w:r w:rsidRPr="007D771D">
        <w:t xml:space="preserve">While these emergency powers are being used during the COVID-19 pandemic, the reliance on state </w:t>
      </w:r>
      <w:r w:rsidR="004B2690" w:rsidRPr="007D771D">
        <w:t xml:space="preserve">or territory </w:t>
      </w:r>
      <w:r w:rsidRPr="007D771D">
        <w:t>emergency</w:t>
      </w:r>
      <w:r w:rsidRPr="00FD3514">
        <w:t xml:space="preserve"> powers leaves a gap in managing human biosecurity risk at times when the state emergency powers are not in operation.</w:t>
      </w:r>
      <w:r>
        <w:t xml:space="preserve"> </w:t>
      </w:r>
      <w:r w:rsidR="00740C9C">
        <w:t xml:space="preserve">Under </w:t>
      </w:r>
      <w:r w:rsidR="000476F3">
        <w:t>O</w:t>
      </w:r>
      <w:r w:rsidR="00740C9C">
        <w:t xml:space="preserve">ption </w:t>
      </w:r>
      <w:r w:rsidR="00FF6F0E">
        <w:t xml:space="preserve">1, this gap </w:t>
      </w:r>
      <w:r w:rsidR="001973CE">
        <w:t>in managing</w:t>
      </w:r>
      <w:r w:rsidR="004E5F66" w:rsidRPr="00183564">
        <w:t xml:space="preserve"> human biosecurity risk when the state </w:t>
      </w:r>
      <w:r w:rsidR="004B2690">
        <w:t xml:space="preserve">or territory </w:t>
      </w:r>
      <w:r w:rsidR="004E5F66" w:rsidRPr="00183564">
        <w:t>emergency powers are not in operation</w:t>
      </w:r>
      <w:r w:rsidR="001973CE">
        <w:t xml:space="preserve"> would remain</w:t>
      </w:r>
      <w:r w:rsidR="004E5F66" w:rsidRPr="00183564">
        <w:t>.</w:t>
      </w:r>
      <w:r w:rsidR="00A15680">
        <w:t xml:space="preserve"> </w:t>
      </w:r>
      <w:r w:rsidR="00FD3514" w:rsidRPr="00FD3514" w:rsidDel="00592156">
        <w:t xml:space="preserve">While these emergency powers are being used during the COVID-19 pandemic, the reliance on state </w:t>
      </w:r>
      <w:r w:rsidR="004B2690">
        <w:t xml:space="preserve">or territory </w:t>
      </w:r>
      <w:r w:rsidR="00FD3514" w:rsidRPr="00FD3514" w:rsidDel="00592156">
        <w:t>emergency powers leaves a gap in managing human biosecurity risk at times when the state</w:t>
      </w:r>
      <w:r w:rsidR="004B2690">
        <w:t xml:space="preserve"> or territory </w:t>
      </w:r>
      <w:r w:rsidR="00FD3514" w:rsidRPr="00FD3514" w:rsidDel="00592156">
        <w:t xml:space="preserve"> emergency powers are not in operation.</w:t>
      </w:r>
      <w:r w:rsidR="0070498B">
        <w:t xml:space="preserve"> Emergency</w:t>
      </w:r>
      <w:r w:rsidR="001671BA">
        <w:t xml:space="preserve"> powers also vary across jurisdictions, potentially </w:t>
      </w:r>
      <w:r w:rsidR="002B7D4A">
        <w:t>creating</w:t>
      </w:r>
      <w:r w:rsidR="00925E05">
        <w:t xml:space="preserve"> some</w:t>
      </w:r>
      <w:r w:rsidR="001671BA">
        <w:t xml:space="preserve"> inconsist</w:t>
      </w:r>
      <w:r w:rsidR="009C6BA3">
        <w:t>enc</w:t>
      </w:r>
      <w:r w:rsidR="00B164E7">
        <w:t>y</w:t>
      </w:r>
      <w:r w:rsidR="002B7D4A">
        <w:t>.</w:t>
      </w:r>
    </w:p>
    <w:p w14:paraId="0E276CED" w14:textId="25F2113F" w:rsidR="000B0899" w:rsidRPr="00183564" w:rsidRDefault="002E7F11" w:rsidP="00BE3176">
      <w:pPr>
        <w:rPr>
          <w:b/>
          <w:bCs/>
        </w:rPr>
      </w:pPr>
      <w:r w:rsidRPr="00183564">
        <w:rPr>
          <w:b/>
          <w:bCs/>
        </w:rPr>
        <w:t>Negative Pratique</w:t>
      </w:r>
    </w:p>
    <w:p w14:paraId="43AB6FA2" w14:textId="534FB981" w:rsidR="00692CBA" w:rsidRPr="00183564" w:rsidRDefault="0028324D" w:rsidP="00692CBA">
      <w:r w:rsidRPr="0028324D">
        <w:t>Under the current legislation</w:t>
      </w:r>
      <w:r w:rsidR="004B2690">
        <w:t>,</w:t>
      </w:r>
      <w:r w:rsidRPr="0028324D">
        <w:t xml:space="preserve"> a vessel which has negative pratique status is not able to disembark individuals unless given permission to do so.</w:t>
      </w:r>
      <w:r w:rsidR="003B11E5" w:rsidRPr="00183564">
        <w:t xml:space="preserve"> This </w:t>
      </w:r>
      <w:r w:rsidR="00A23E3D" w:rsidRPr="00183564">
        <w:t>result</w:t>
      </w:r>
      <w:r w:rsidR="003B11E5" w:rsidRPr="00183564">
        <w:t>s</w:t>
      </w:r>
      <w:r w:rsidR="00A23E3D" w:rsidRPr="00183564">
        <w:t xml:space="preserve"> in </w:t>
      </w:r>
      <w:r w:rsidR="005A041E" w:rsidRPr="00183564">
        <w:t>all passengers</w:t>
      </w:r>
      <w:r w:rsidR="00023F82">
        <w:t xml:space="preserve"> and crew</w:t>
      </w:r>
      <w:r w:rsidR="005A041E" w:rsidRPr="00183564">
        <w:t xml:space="preserve"> not being allowed to disembark</w:t>
      </w:r>
      <w:r w:rsidR="0035517A">
        <w:t xml:space="preserve"> until the biosecurity risks are appropriately managed</w:t>
      </w:r>
      <w:r w:rsidR="005A041E" w:rsidRPr="00183564">
        <w:t xml:space="preserve">, regardless of whether </w:t>
      </w:r>
      <w:r w:rsidR="001B7F4E">
        <w:t>the issue</w:t>
      </w:r>
      <w:r w:rsidR="005A1A84">
        <w:t xml:space="preserve"> </w:t>
      </w:r>
      <w:r w:rsidR="005A041E" w:rsidRPr="00183564">
        <w:t xml:space="preserve">was due to an isolated </w:t>
      </w:r>
      <w:r w:rsidR="00EB096E" w:rsidRPr="00183564">
        <w:t xml:space="preserve">or containable </w:t>
      </w:r>
      <w:r w:rsidR="005A041E" w:rsidRPr="00183564">
        <w:t>incident</w:t>
      </w:r>
      <w:r w:rsidR="007741E9" w:rsidRPr="00183564">
        <w:t xml:space="preserve">. </w:t>
      </w:r>
      <w:r w:rsidR="00053730" w:rsidRPr="00183564">
        <w:t xml:space="preserve">The costs associated with </w:t>
      </w:r>
      <w:r w:rsidR="006B14BE" w:rsidRPr="00183564">
        <w:t>negative pratique under the current legislation include costs for both individuals aboard the vessel and businesses onshore. These include the following:</w:t>
      </w:r>
    </w:p>
    <w:p w14:paraId="00EA3C81" w14:textId="2BB4D1BB" w:rsidR="00053730" w:rsidRPr="00183564" w:rsidRDefault="00053730" w:rsidP="002618EA">
      <w:pPr>
        <w:pStyle w:val="BodyText"/>
        <w:numPr>
          <w:ilvl w:val="0"/>
          <w:numId w:val="47"/>
        </w:numPr>
      </w:pPr>
      <w:r w:rsidRPr="00183564">
        <w:t xml:space="preserve">Individuals: personal cost to </w:t>
      </w:r>
      <w:r w:rsidR="009E5A36" w:rsidRPr="00183564">
        <w:t xml:space="preserve">passengers </w:t>
      </w:r>
      <w:r w:rsidR="009325C0" w:rsidRPr="00183564">
        <w:t xml:space="preserve">(and in some instances crew) </w:t>
      </w:r>
      <w:r w:rsidR="004B0C41">
        <w:t>required to remain</w:t>
      </w:r>
      <w:r w:rsidR="004B0C41" w:rsidRPr="00183564">
        <w:t xml:space="preserve"> </w:t>
      </w:r>
      <w:r w:rsidRPr="00183564">
        <w:t xml:space="preserve">on </w:t>
      </w:r>
      <w:r w:rsidR="00612FF6" w:rsidRPr="00183564">
        <w:t>the vessel</w:t>
      </w:r>
      <w:r w:rsidRPr="00183564">
        <w:t xml:space="preserve"> for longer than anticipated, e.g</w:t>
      </w:r>
      <w:r w:rsidR="00612FF6" w:rsidRPr="00183564">
        <w:t>.,</w:t>
      </w:r>
      <w:r w:rsidRPr="00183564">
        <w:t xml:space="preserve"> loss of wages, reorganising travel, travel cancellation costs</w:t>
      </w:r>
      <w:r w:rsidR="009A7434">
        <w:t xml:space="preserve"> and</w:t>
      </w:r>
      <w:r w:rsidRPr="00183564">
        <w:t xml:space="preserve"> missed </w:t>
      </w:r>
      <w:r w:rsidR="00171C14" w:rsidRPr="00183564">
        <w:t>connections</w:t>
      </w:r>
      <w:r w:rsidR="009A7434">
        <w:t>.</w:t>
      </w:r>
    </w:p>
    <w:p w14:paraId="351FD683" w14:textId="51AEBBC2" w:rsidR="00053730" w:rsidRDefault="00053730" w:rsidP="002618EA">
      <w:pPr>
        <w:pStyle w:val="BodyText"/>
        <w:numPr>
          <w:ilvl w:val="0"/>
          <w:numId w:val="47"/>
        </w:numPr>
      </w:pPr>
      <w:r w:rsidRPr="00183564">
        <w:t xml:space="preserve">Business: </w:t>
      </w:r>
      <w:proofErr w:type="gramStart"/>
      <w:r w:rsidRPr="00183564">
        <w:t>on-shore</w:t>
      </w:r>
      <w:proofErr w:type="gramEnd"/>
      <w:r w:rsidRPr="00183564">
        <w:t xml:space="preserve"> businesses who rely on tourism dollars </w:t>
      </w:r>
      <w:r w:rsidR="008F0C4F">
        <w:t>are</w:t>
      </w:r>
      <w:r w:rsidR="009E70D0">
        <w:t xml:space="preserve"> negatively affected </w:t>
      </w:r>
      <w:r w:rsidR="00A24E32">
        <w:t xml:space="preserve">when negative pratique occurs, </w:t>
      </w:r>
      <w:r w:rsidR="00827BEB">
        <w:t xml:space="preserve">through loss of income, </w:t>
      </w:r>
      <w:r w:rsidR="004B67C7">
        <w:t xml:space="preserve">for </w:t>
      </w:r>
      <w:r w:rsidR="00A171DE">
        <w:t xml:space="preserve">as long as </w:t>
      </w:r>
      <w:r w:rsidR="004F1323">
        <w:t>the vessel has negative pratique status</w:t>
      </w:r>
      <w:r w:rsidR="00827BEB">
        <w:t>.</w:t>
      </w:r>
    </w:p>
    <w:p w14:paraId="5D227694" w14:textId="4483AE97" w:rsidR="007D4F8B" w:rsidRDefault="007D4F8B" w:rsidP="002618EA">
      <w:pPr>
        <w:pStyle w:val="BodyText"/>
        <w:numPr>
          <w:ilvl w:val="0"/>
          <w:numId w:val="47"/>
        </w:numPr>
      </w:pPr>
      <w:r>
        <w:t xml:space="preserve">The cost of delays to </w:t>
      </w:r>
      <w:r w:rsidR="00DB637E">
        <w:t>cargo</w:t>
      </w:r>
      <w:r>
        <w:t xml:space="preserve"> being unloaded from the vessel.</w:t>
      </w:r>
    </w:p>
    <w:p w14:paraId="0ACDA802" w14:textId="28D8AE64" w:rsidR="00AE4144" w:rsidRPr="00183564" w:rsidRDefault="004B2690" w:rsidP="002618EA">
      <w:pPr>
        <w:pStyle w:val="BodyText"/>
        <w:numPr>
          <w:ilvl w:val="0"/>
          <w:numId w:val="47"/>
        </w:numPr>
      </w:pPr>
      <w:r>
        <w:lastRenderedPageBreak/>
        <w:t>C</w:t>
      </w:r>
      <w:r w:rsidR="00AE4144">
        <w:t>osts to ship owners and other business due to delays resulting from the period in which a vessel remains in negative pratique</w:t>
      </w:r>
      <w:r w:rsidR="009C7743">
        <w:t>, along with delays to other ships waiting to dock in part.</w:t>
      </w:r>
    </w:p>
    <w:p w14:paraId="24805204" w14:textId="1BA6F1B8" w:rsidR="00C273A1" w:rsidRPr="00183564" w:rsidRDefault="00C273A1" w:rsidP="00C56DC6">
      <w:r w:rsidRPr="00183564">
        <w:t xml:space="preserve">The above costs are not reliably quantifiable as the actual dollar cost would be reliant on </w:t>
      </w:r>
      <w:r w:rsidR="00B0268A" w:rsidRPr="00183564">
        <w:t xml:space="preserve">a </w:t>
      </w:r>
      <w:r w:rsidR="00D90EE7" w:rsidRPr="00183564">
        <w:t>variety</w:t>
      </w:r>
      <w:r w:rsidRPr="00183564">
        <w:t xml:space="preserve"> of factors</w:t>
      </w:r>
      <w:r w:rsidR="00873228" w:rsidRPr="00183564">
        <w:t>,</w:t>
      </w:r>
      <w:r w:rsidRPr="00183564">
        <w:t xml:space="preserve"> such as how </w:t>
      </w:r>
      <w:r w:rsidR="00D33E1F" w:rsidRPr="00183564">
        <w:t xml:space="preserve">frequently </w:t>
      </w:r>
      <w:r w:rsidR="0070298B" w:rsidRPr="00183564">
        <w:t xml:space="preserve">vessels are subject to </w:t>
      </w:r>
      <w:r w:rsidR="00B16A17" w:rsidRPr="00183564">
        <w:t xml:space="preserve">negative pratique, </w:t>
      </w:r>
      <w:r w:rsidR="00D33E1F" w:rsidRPr="00183564">
        <w:t xml:space="preserve">the </w:t>
      </w:r>
      <w:r w:rsidR="00B16A17" w:rsidRPr="00183564">
        <w:t>number of passengers</w:t>
      </w:r>
      <w:r w:rsidR="00D33E1F" w:rsidRPr="00183564">
        <w:t xml:space="preserve"> affected and the </w:t>
      </w:r>
      <w:r w:rsidR="00B16A17" w:rsidRPr="00183564">
        <w:t xml:space="preserve">length of delay onboard. The </w:t>
      </w:r>
      <w:r w:rsidR="0038153F" w:rsidRPr="00183564">
        <w:t xml:space="preserve">range of businesses affected by passengers not being allowed to disembark </w:t>
      </w:r>
      <w:r w:rsidR="007F4650" w:rsidRPr="00183564">
        <w:t>could include hospitality, retail, accommodation, tourist attractions and this is hence also not reliably quantifiable.</w:t>
      </w:r>
    </w:p>
    <w:p w14:paraId="045A55FE" w14:textId="2B7604B4" w:rsidR="005A7A16" w:rsidRDefault="0096048D" w:rsidP="00C56DC6">
      <w:r>
        <w:t xml:space="preserve">The </w:t>
      </w:r>
      <w:r w:rsidR="002D40F6">
        <w:t xml:space="preserve">magnitude of the </w:t>
      </w:r>
      <w:r>
        <w:t xml:space="preserve">regulatory burden </w:t>
      </w:r>
      <w:r w:rsidR="00111149">
        <w:t xml:space="preserve">imposed </w:t>
      </w:r>
      <w:r w:rsidR="005C0C5A">
        <w:t>by</w:t>
      </w:r>
      <w:r w:rsidR="00B91D42">
        <w:t xml:space="preserve"> negative pratique </w:t>
      </w:r>
      <w:r w:rsidR="001655D8">
        <w:t xml:space="preserve">is </w:t>
      </w:r>
      <w:r w:rsidR="00D953FD" w:rsidRPr="00183564">
        <w:t xml:space="preserve">driven by the fact that the entire vessel is </w:t>
      </w:r>
      <w:r w:rsidR="00F50963" w:rsidRPr="00183564">
        <w:t>subject to</w:t>
      </w:r>
      <w:r w:rsidR="00D953FD" w:rsidRPr="00183564">
        <w:t xml:space="preserve"> </w:t>
      </w:r>
      <w:r w:rsidR="008B6E0F">
        <w:t>negative pratique</w:t>
      </w:r>
      <w:r w:rsidR="008F1BDA">
        <w:t>,</w:t>
      </w:r>
      <w:r w:rsidR="0043794E">
        <w:t xml:space="preserve"> </w:t>
      </w:r>
      <w:r w:rsidR="00D45376">
        <w:t>i.e.,</w:t>
      </w:r>
      <w:r w:rsidR="0043794E">
        <w:t xml:space="preserve"> no passengers</w:t>
      </w:r>
      <w:r w:rsidR="002F2C93">
        <w:t xml:space="preserve"> are allowed to be disembarked</w:t>
      </w:r>
      <w:r w:rsidR="002D40F6">
        <w:t>,</w:t>
      </w:r>
      <w:r w:rsidR="002D4A6D">
        <w:t xml:space="preserve"> </w:t>
      </w:r>
      <w:r w:rsidR="003E636B">
        <w:t xml:space="preserve">even </w:t>
      </w:r>
      <w:r w:rsidR="002D40F6">
        <w:t xml:space="preserve">in cases where </w:t>
      </w:r>
      <w:r w:rsidR="003E636B">
        <w:t xml:space="preserve">the disembarkation of </w:t>
      </w:r>
      <w:proofErr w:type="gramStart"/>
      <w:r w:rsidR="003E636B">
        <w:t>the majority of</w:t>
      </w:r>
      <w:proofErr w:type="gramEnd"/>
      <w:r w:rsidR="003E636B">
        <w:t xml:space="preserve"> the</w:t>
      </w:r>
      <w:r w:rsidR="005572E7">
        <w:t xml:space="preserve"> passengers would pose no </w:t>
      </w:r>
      <w:r w:rsidR="008B6E0F">
        <w:t xml:space="preserve">significant </w:t>
      </w:r>
      <w:r w:rsidR="005572E7">
        <w:t>risk</w:t>
      </w:r>
      <w:r w:rsidR="00D64D85">
        <w:t xml:space="preserve"> of transmission of </w:t>
      </w:r>
      <w:r w:rsidR="00C069B1">
        <w:t xml:space="preserve">a </w:t>
      </w:r>
      <w:r w:rsidR="00D64D85">
        <w:t>listed human disease</w:t>
      </w:r>
      <w:r w:rsidR="00786DFD">
        <w:t>.</w:t>
      </w:r>
      <w:r w:rsidR="00BF7A69" w:rsidRPr="00183564" w:rsidDel="00BF7A69">
        <w:t xml:space="preserve"> </w:t>
      </w:r>
    </w:p>
    <w:p w14:paraId="3E04D673" w14:textId="25E25E96" w:rsidR="0075634B" w:rsidRPr="00183564" w:rsidRDefault="00540104" w:rsidP="00104B90">
      <w:pPr>
        <w:keepNext/>
        <w:rPr>
          <w:b/>
          <w:bCs/>
        </w:rPr>
      </w:pPr>
      <w:r w:rsidRPr="00183564">
        <w:rPr>
          <w:b/>
          <w:bCs/>
        </w:rPr>
        <w:t>Pre-Arrival Reporting</w:t>
      </w:r>
      <w:r w:rsidR="00B47043" w:rsidRPr="00183564">
        <w:rPr>
          <w:b/>
          <w:bCs/>
        </w:rPr>
        <w:t xml:space="preserve"> (PAR)</w:t>
      </w:r>
    </w:p>
    <w:p w14:paraId="163CCE3B" w14:textId="0A2FD2AD" w:rsidR="00DD11EF" w:rsidRDefault="009762F7" w:rsidP="00692CBA">
      <w:r w:rsidRPr="00183564">
        <w:t>Under the current legislation</w:t>
      </w:r>
      <w:r w:rsidR="004B2690">
        <w:t>,</w:t>
      </w:r>
      <w:r w:rsidRPr="00183564">
        <w:t xml:space="preserve"> </w:t>
      </w:r>
      <w:r w:rsidR="00B47043" w:rsidRPr="00183564">
        <w:t>the time at which a PAR must be submitted for a cruise vessel</w:t>
      </w:r>
      <w:r w:rsidRPr="00183564">
        <w:t xml:space="preserve"> </w:t>
      </w:r>
      <w:r w:rsidR="00C37B70">
        <w:t xml:space="preserve">is </w:t>
      </w:r>
      <w:r w:rsidRPr="00183564">
        <w:t>96-</w:t>
      </w:r>
      <w:r w:rsidR="00535EB2" w:rsidRPr="00183564">
        <w:t>12</w:t>
      </w:r>
      <w:r w:rsidRPr="00183564">
        <w:t xml:space="preserve"> hours prior to </w:t>
      </w:r>
      <w:r w:rsidR="00B653C1">
        <w:t xml:space="preserve">the </w:t>
      </w:r>
      <w:r w:rsidR="007B25EF">
        <w:t xml:space="preserve">estimated time of </w:t>
      </w:r>
      <w:r w:rsidRPr="00183564">
        <w:t>arrival</w:t>
      </w:r>
      <w:r w:rsidR="007B25EF">
        <w:t xml:space="preserve"> at the first point of entry</w:t>
      </w:r>
      <w:r w:rsidR="00B47043" w:rsidRPr="00183564">
        <w:t>.</w:t>
      </w:r>
      <w:r w:rsidR="00C37B70">
        <w:t xml:space="preserve"> </w:t>
      </w:r>
      <w:r w:rsidR="00B47043" w:rsidRPr="00183564">
        <w:t>Given the large numbers of passengers and crew on board a cruise vessel, it is possible</w:t>
      </w:r>
      <w:r w:rsidR="005342E1" w:rsidRPr="00183564">
        <w:t xml:space="preserve"> </w:t>
      </w:r>
      <w:r w:rsidR="00B47043" w:rsidRPr="00183564">
        <w:t xml:space="preserve">for there to be significant increases in the number of persons with a </w:t>
      </w:r>
      <w:r w:rsidR="0070298B" w:rsidRPr="00183564">
        <w:t>listed human disease</w:t>
      </w:r>
      <w:r w:rsidR="00B47043" w:rsidRPr="00183564">
        <w:t xml:space="preserve"> risk or</w:t>
      </w:r>
      <w:r w:rsidR="005401BF" w:rsidRPr="00183564">
        <w:t xml:space="preserve"> </w:t>
      </w:r>
      <w:r w:rsidR="00B47043" w:rsidRPr="00183564">
        <w:t xml:space="preserve">significant changes in the types of reported </w:t>
      </w:r>
      <w:r w:rsidR="00116B3F">
        <w:t xml:space="preserve">signs or </w:t>
      </w:r>
      <w:r w:rsidR="00B47043" w:rsidRPr="00183564">
        <w:t>symptoms, from the time at which a PAR</w:t>
      </w:r>
      <w:r w:rsidR="005401BF" w:rsidRPr="00183564">
        <w:t xml:space="preserve"> </w:t>
      </w:r>
      <w:r w:rsidR="00B47043" w:rsidRPr="00183564">
        <w:t>must currently be submitted (up to 96 hours before arrival) to when</w:t>
      </w:r>
      <w:r w:rsidR="005401BF" w:rsidRPr="00183564">
        <w:t xml:space="preserve"> </w:t>
      </w:r>
      <w:r w:rsidR="00B47043" w:rsidRPr="00183564">
        <w:t>the cruise vessel arrives in Australian territory.</w:t>
      </w:r>
    </w:p>
    <w:p w14:paraId="4E9915C9" w14:textId="612878DD" w:rsidR="000E54C9" w:rsidRPr="00183564" w:rsidRDefault="000E54C9" w:rsidP="000E54C9">
      <w:pPr>
        <w:pStyle w:val="BodyText"/>
      </w:pPr>
      <w:r w:rsidRPr="00183564">
        <w:t>Under the status quo, extra human health reporting and risk assessment criteria cannot be enforced</w:t>
      </w:r>
      <w:r w:rsidR="00981EB2">
        <w:t xml:space="preserve">, meaning </w:t>
      </w:r>
      <w:r w:rsidR="004B2690">
        <w:t>b</w:t>
      </w:r>
      <w:r w:rsidR="0009340A">
        <w:t>i</w:t>
      </w:r>
      <w:r w:rsidR="00C72CDB">
        <w:t>osecurity officers do no</w:t>
      </w:r>
      <w:r w:rsidR="002E70D0">
        <w:t>t</w:t>
      </w:r>
      <w:r w:rsidR="00C72CDB">
        <w:t xml:space="preserve"> have the most up-to-date information when </w:t>
      </w:r>
      <w:r w:rsidR="00FE5D55">
        <w:t>deciding to grant pratique.</w:t>
      </w:r>
      <w:r w:rsidR="000A46DE">
        <w:t xml:space="preserve"> </w:t>
      </w:r>
      <w:proofErr w:type="gramStart"/>
      <w:r w:rsidR="00AB4EE5">
        <w:t>In light of</w:t>
      </w:r>
      <w:proofErr w:type="gramEnd"/>
      <w:r w:rsidR="00AB4EE5">
        <w:t xml:space="preserve"> the </w:t>
      </w:r>
      <w:r w:rsidR="00837062">
        <w:t>ongoing pandemic,</w:t>
      </w:r>
      <w:r w:rsidR="00AB4EE5">
        <w:t xml:space="preserve"> </w:t>
      </w:r>
      <w:r w:rsidR="00970C58" w:rsidRPr="00970C58">
        <w:t xml:space="preserve">PARs under the status quo </w:t>
      </w:r>
      <w:r w:rsidR="004B2690">
        <w:t xml:space="preserve">are </w:t>
      </w:r>
      <w:r w:rsidR="00800AE3">
        <w:t xml:space="preserve">insufficient </w:t>
      </w:r>
      <w:r w:rsidR="00447FCA">
        <w:t>to</w:t>
      </w:r>
      <w:r w:rsidR="00970C58" w:rsidRPr="00970C58">
        <w:t xml:space="preserve"> </w:t>
      </w:r>
      <w:r w:rsidR="00837062">
        <w:t>appropriately</w:t>
      </w:r>
      <w:r w:rsidR="00970C58" w:rsidRPr="00970C58">
        <w:t xml:space="preserve"> manag</w:t>
      </w:r>
      <w:r w:rsidR="00447FCA">
        <w:t>e</w:t>
      </w:r>
      <w:r w:rsidR="00970C58" w:rsidRPr="00970C58">
        <w:t xml:space="preserve"> exposure to </w:t>
      </w:r>
      <w:r w:rsidR="00720035">
        <w:t>listed human</w:t>
      </w:r>
      <w:r w:rsidR="00970C58" w:rsidRPr="00970C58">
        <w:t xml:space="preserve"> diseases.</w:t>
      </w:r>
      <w:r w:rsidR="004E7CD6">
        <w:t xml:space="preserve"> </w:t>
      </w:r>
      <w:r w:rsidRPr="00183564">
        <w:t xml:space="preserve">The Australian community will </w:t>
      </w:r>
      <w:r w:rsidR="00447FCA">
        <w:t xml:space="preserve">therefore </w:t>
      </w:r>
      <w:r w:rsidRPr="00183564">
        <w:t xml:space="preserve">continue to be at a heightened risk of exposure to COVID-19 and other </w:t>
      </w:r>
      <w:r>
        <w:t>l</w:t>
      </w:r>
      <w:r w:rsidRPr="00183564">
        <w:t xml:space="preserve">isted </w:t>
      </w:r>
      <w:r>
        <w:t>h</w:t>
      </w:r>
      <w:r w:rsidRPr="00183564">
        <w:t xml:space="preserve">uman </w:t>
      </w:r>
      <w:r>
        <w:t>d</w:t>
      </w:r>
      <w:r w:rsidRPr="00183564">
        <w:t>iseases through commercial and cruise vessel and aircraft operations.</w:t>
      </w:r>
    </w:p>
    <w:p w14:paraId="15988B83" w14:textId="77777777" w:rsidR="00032E39" w:rsidRDefault="00032E39" w:rsidP="00032E39">
      <w:pPr>
        <w:pStyle w:val="BodyText"/>
        <w:keepNext/>
      </w:pPr>
      <w:r w:rsidRPr="006E72A1">
        <w:rPr>
          <w:b/>
        </w:rPr>
        <w:t>Additional reporting</w:t>
      </w:r>
    </w:p>
    <w:p w14:paraId="182CE082" w14:textId="1C37D4E9" w:rsidR="00032E39" w:rsidRPr="00183564" w:rsidRDefault="00032E39" w:rsidP="00032E39">
      <w:pPr>
        <w:pStyle w:val="BodyText"/>
      </w:pPr>
      <w:r w:rsidRPr="008B1772">
        <w:t xml:space="preserve">Currently section 194 of the Biosecurity Act requires updates to the </w:t>
      </w:r>
      <w:r w:rsidR="004B2690">
        <w:t xml:space="preserve">pre-arrival </w:t>
      </w:r>
      <w:r w:rsidRPr="008B1772">
        <w:t xml:space="preserve">report if the report was incorrect or incomplete at the time it was submitted. </w:t>
      </w:r>
      <w:r w:rsidR="00E12138" w:rsidRPr="00E12138">
        <w:t xml:space="preserve">Therefore, in the circumstance where case numbers increase, there is no </w:t>
      </w:r>
      <w:r w:rsidR="00E12138">
        <w:t xml:space="preserve">clear </w:t>
      </w:r>
      <w:r w:rsidR="00E12138" w:rsidRPr="00E12138">
        <w:t>legal obligation to update the information</w:t>
      </w:r>
      <w:r w:rsidR="004B2690">
        <w:t xml:space="preserve"> after the report was submitted</w:t>
      </w:r>
      <w:r w:rsidR="00E12138" w:rsidRPr="00E12138">
        <w:t xml:space="preserve"> </w:t>
      </w:r>
      <w:r w:rsidR="004B2690">
        <w:t xml:space="preserve">if </w:t>
      </w:r>
      <w:r w:rsidR="00E12138" w:rsidRPr="00E12138">
        <w:t xml:space="preserve">the numbers were correct at the time they were submitted. This means </w:t>
      </w:r>
      <w:r w:rsidR="004B2690">
        <w:t xml:space="preserve">biosecurity officers </w:t>
      </w:r>
      <w:r w:rsidR="00E12138" w:rsidRPr="00E12138">
        <w:t>may not have the most up to date information available to manage</w:t>
      </w:r>
      <w:r w:rsidR="004B2690">
        <w:t xml:space="preserve"> biosecurity risks posed by the aircraft or vessel</w:t>
      </w:r>
      <w:r w:rsidR="00E12138" w:rsidRPr="00E12138">
        <w:t>.</w:t>
      </w:r>
    </w:p>
    <w:p w14:paraId="24FB3377" w14:textId="5CD89827" w:rsidR="007D6902" w:rsidRPr="00183564" w:rsidRDefault="00032E39" w:rsidP="00FD407E">
      <w:pPr>
        <w:pStyle w:val="BodyText"/>
      </w:pPr>
      <w:r>
        <w:t>In summary, t</w:t>
      </w:r>
      <w:r w:rsidR="00FD407E" w:rsidRPr="00183564">
        <w:t xml:space="preserve">he option of maintaining the status quo is not attractive due to the risk of </w:t>
      </w:r>
      <w:r w:rsidR="00FD407E">
        <w:t>l</w:t>
      </w:r>
      <w:r w:rsidR="00FD407E" w:rsidRPr="00183564">
        <w:t xml:space="preserve">isted </w:t>
      </w:r>
      <w:r w:rsidR="00FD407E">
        <w:t>h</w:t>
      </w:r>
      <w:r w:rsidR="00FD407E" w:rsidRPr="00183564">
        <w:t xml:space="preserve">uman </w:t>
      </w:r>
      <w:r w:rsidR="00FD407E">
        <w:t>d</w:t>
      </w:r>
      <w:r w:rsidR="00FD407E" w:rsidRPr="00183564">
        <w:t xml:space="preserve">iseases, particularly COVID-19, </w:t>
      </w:r>
      <w:proofErr w:type="gramStart"/>
      <w:r w:rsidR="00FD407E" w:rsidRPr="00183564">
        <w:t>entering into</w:t>
      </w:r>
      <w:proofErr w:type="gramEnd"/>
      <w:r w:rsidR="00FD407E" w:rsidRPr="00183564">
        <w:t xml:space="preserve"> Australian </w:t>
      </w:r>
      <w:r w:rsidR="00CC1995">
        <w:t>t</w:t>
      </w:r>
      <w:r w:rsidR="00FD407E" w:rsidRPr="00183564">
        <w:t>erritory through international vessel arrivals. Without the implementation of the proposed legislative amendments to the Act</w:t>
      </w:r>
      <w:r w:rsidR="00804A3D" w:rsidRPr="00C11299">
        <w:t xml:space="preserve"> </w:t>
      </w:r>
      <w:r w:rsidR="001878C7" w:rsidRPr="00C11299">
        <w:t xml:space="preserve">as </w:t>
      </w:r>
      <w:r w:rsidR="00804A3D" w:rsidRPr="00C11299">
        <w:t>contemplated under Option 3</w:t>
      </w:r>
      <w:r w:rsidR="00804A3D" w:rsidRPr="00183564">
        <w:t xml:space="preserve">, </w:t>
      </w:r>
      <w:r w:rsidR="00FD407E" w:rsidRPr="00183564">
        <w:t xml:space="preserve">the Commonwealth’s human biosecurity legislative powers remain limited, as </w:t>
      </w:r>
      <w:proofErr w:type="gramStart"/>
      <w:r w:rsidR="00FD407E" w:rsidRPr="00183564">
        <w:t>identified</w:t>
      </w:r>
      <w:proofErr w:type="gramEnd"/>
      <w:r w:rsidR="00FD407E" w:rsidRPr="00183564">
        <w:t xml:space="preserve"> and discussed above.</w:t>
      </w:r>
    </w:p>
    <w:p w14:paraId="28EB0103" w14:textId="6C232E73" w:rsidR="006A03FE" w:rsidRDefault="006A03FE" w:rsidP="009A4928">
      <w:pPr>
        <w:pStyle w:val="BodyText"/>
        <w:keepNext/>
        <w:rPr>
          <w:b/>
        </w:rPr>
      </w:pPr>
      <w:r>
        <w:rPr>
          <w:b/>
        </w:rPr>
        <w:t>Compliance with pratique</w:t>
      </w:r>
    </w:p>
    <w:p w14:paraId="24CFB892" w14:textId="5D4E4A23" w:rsidR="006A03FE" w:rsidRDefault="004A788B" w:rsidP="006A03FE">
      <w:pPr>
        <w:pStyle w:val="BodyText"/>
      </w:pPr>
      <w:r>
        <w:t xml:space="preserve">Under the status quo, only the operator </w:t>
      </w:r>
      <w:r w:rsidR="000627BC">
        <w:t xml:space="preserve">is subject to penalties for </w:t>
      </w:r>
      <w:r w:rsidR="00800AE3">
        <w:t xml:space="preserve">non-compliance with </w:t>
      </w:r>
      <w:r w:rsidR="000627BC">
        <w:t>pratique</w:t>
      </w:r>
      <w:r w:rsidR="00800AE3">
        <w:t xml:space="preserve"> requirements in the Biosecurity Act</w:t>
      </w:r>
      <w:r w:rsidR="000627BC">
        <w:t xml:space="preserve">. </w:t>
      </w:r>
      <w:r w:rsidRPr="004A788B">
        <w:t xml:space="preserve">The current framing </w:t>
      </w:r>
      <w:r w:rsidR="00800AE3">
        <w:t xml:space="preserve">has the consequence that </w:t>
      </w:r>
      <w:r w:rsidRPr="004A788B">
        <w:t xml:space="preserve">a person in charge of a vessel or aircraft </w:t>
      </w:r>
      <w:r w:rsidR="00800AE3">
        <w:t xml:space="preserve">is not liable to a civil penalty for </w:t>
      </w:r>
      <w:r w:rsidRPr="004A788B">
        <w:t>contraven</w:t>
      </w:r>
      <w:r w:rsidR="00800AE3">
        <w:t>ing</w:t>
      </w:r>
      <w:r w:rsidRPr="004A788B">
        <w:t xml:space="preserve"> pratique</w:t>
      </w:r>
      <w:r w:rsidR="00800AE3">
        <w:t xml:space="preserve"> requirements</w:t>
      </w:r>
      <w:r w:rsidRPr="004A788B">
        <w:t xml:space="preserve">.  The legislation </w:t>
      </w:r>
      <w:r w:rsidR="000627BC">
        <w:t xml:space="preserve">under the status quo </w:t>
      </w:r>
      <w:r w:rsidRPr="004A788B">
        <w:t xml:space="preserve">thus lacks an effective incentive to ensure the person in </w:t>
      </w:r>
      <w:r w:rsidR="00800AE3">
        <w:t xml:space="preserve">charge </w:t>
      </w:r>
      <w:r w:rsidRPr="004A788B">
        <w:t>of the vessel or aircraft complies with pratique requirements, as that person is not accountable for any breaches such as passengers disembarking before pratique is granted.</w:t>
      </w:r>
    </w:p>
    <w:p w14:paraId="3D627F5A" w14:textId="58E6C23F" w:rsidR="00280CAE" w:rsidRPr="009A4928" w:rsidRDefault="009A4928" w:rsidP="009A4928">
      <w:pPr>
        <w:pStyle w:val="BodyText"/>
        <w:keepNext/>
        <w:rPr>
          <w:b/>
        </w:rPr>
      </w:pPr>
      <w:r w:rsidRPr="009A4928">
        <w:rPr>
          <w:b/>
        </w:rPr>
        <w:t>Human Biosecurity Control Orders</w:t>
      </w:r>
    </w:p>
    <w:p w14:paraId="1086D392" w14:textId="6A3B9342" w:rsidR="002330B8" w:rsidRDefault="000A46DE" w:rsidP="00FD3514">
      <w:pPr>
        <w:pStyle w:val="BodyText"/>
      </w:pPr>
      <w:r>
        <w:t>T</w:t>
      </w:r>
      <w:r w:rsidR="002330B8">
        <w:t>he status quo</w:t>
      </w:r>
      <w:r>
        <w:t xml:space="preserve"> allows for </w:t>
      </w:r>
      <w:r w:rsidR="00800AE3">
        <w:t xml:space="preserve">human biosecurity </w:t>
      </w:r>
      <w:r w:rsidR="00BE26C9">
        <w:t xml:space="preserve">control </w:t>
      </w:r>
      <w:r w:rsidR="00BE26C9" w:rsidRPr="00183564">
        <w:t xml:space="preserve">order </w:t>
      </w:r>
      <w:r>
        <w:t xml:space="preserve">to </w:t>
      </w:r>
      <w:r w:rsidR="00BE26C9" w:rsidRPr="00183564">
        <w:t>be imposed on individuals only.</w:t>
      </w:r>
      <w:r w:rsidR="00645DDE" w:rsidRPr="00645DDE">
        <w:t xml:space="preserve"> This is feasible for a small number of arriving passengers and crew but impractical for larger groups of people.</w:t>
      </w:r>
      <w:r w:rsidR="009B330B">
        <w:t xml:space="preserve"> T</w:t>
      </w:r>
      <w:r w:rsidR="00645DDE" w:rsidRPr="00645DDE">
        <w:t xml:space="preserve">he Ruby Princess cruise ship, which docked at the Port of Sydney on 19 March 2020, carried about 2,700 passengers and 1,000 crew onboard. </w:t>
      </w:r>
      <w:r w:rsidR="009B330B">
        <w:t>Under the status quo, i</w:t>
      </w:r>
      <w:r w:rsidR="00645DDE" w:rsidRPr="00645DDE">
        <w:t>t would be impractical, if not impossible, to issue</w:t>
      </w:r>
      <w:r w:rsidR="00800AE3">
        <w:t xml:space="preserve"> </w:t>
      </w:r>
      <w:r w:rsidR="00645DDE" w:rsidRPr="00645DDE">
        <w:t>HBCOs to every passenger and crew member onboard the Ruby Princess, leading to a higher risk of disease transmission.</w:t>
      </w:r>
    </w:p>
    <w:p w14:paraId="1A012C87" w14:textId="21327A53" w:rsidR="00E84C84" w:rsidRPr="00183564" w:rsidRDefault="00E84C84" w:rsidP="0019332C">
      <w:pPr>
        <w:pStyle w:val="Heading3"/>
      </w:pPr>
      <w:bookmarkStart w:id="34" w:name="_Toc80965313"/>
      <w:r w:rsidRPr="00183564">
        <w:lastRenderedPageBreak/>
        <w:t xml:space="preserve">4.2 Option 2 – </w:t>
      </w:r>
      <w:r w:rsidR="006B5804" w:rsidRPr="00183564">
        <w:t>Emergency powers and legislative instruments</w:t>
      </w:r>
      <w:bookmarkEnd w:id="34"/>
    </w:p>
    <w:p w14:paraId="4780F043" w14:textId="4EAEB98C" w:rsidR="00AE0CEF" w:rsidRPr="00183564" w:rsidRDefault="00AE0CEF" w:rsidP="00BD788F">
      <w:pPr>
        <w:pStyle w:val="Heading4"/>
        <w:keepNext/>
      </w:pPr>
      <w:r w:rsidRPr="00183564">
        <w:t>4.2.1</w:t>
      </w:r>
      <w:r w:rsidRPr="00183564">
        <w:tab/>
      </w:r>
      <w:r w:rsidR="00881EB9" w:rsidRPr="00183564">
        <w:t>Benefit</w:t>
      </w:r>
      <w:r w:rsidR="00A4328D">
        <w:t>s</w:t>
      </w:r>
    </w:p>
    <w:p w14:paraId="6AAA8070" w14:textId="214035BC" w:rsidR="00FD4F4F" w:rsidRDefault="00264B12" w:rsidP="00445A26">
      <w:pPr>
        <w:pStyle w:val="BodyText"/>
      </w:pPr>
      <w:r w:rsidRPr="00183564">
        <w:t>Option 2 aims to u</w:t>
      </w:r>
      <w:r w:rsidR="00445A26" w:rsidRPr="00183564">
        <w:t xml:space="preserve">se existing legislative authority to manage </w:t>
      </w:r>
      <w:r w:rsidRPr="00183564">
        <w:t xml:space="preserve">the </w:t>
      </w:r>
      <w:r w:rsidR="00445A26" w:rsidRPr="00183564">
        <w:t xml:space="preserve">relevant human biosecurity risk, including legislative instruments and the </w:t>
      </w:r>
      <w:r w:rsidR="00445A26" w:rsidRPr="00B40413">
        <w:rPr>
          <w:i/>
        </w:rPr>
        <w:t>Biosecurity Regulation 2016</w:t>
      </w:r>
      <w:r w:rsidR="00445A26" w:rsidRPr="00183564">
        <w:t xml:space="preserve"> and the </w:t>
      </w:r>
      <w:r w:rsidR="00445A26" w:rsidRPr="00B40413">
        <w:rPr>
          <w:i/>
        </w:rPr>
        <w:t>Biosecurity Human Health Regulation 2016</w:t>
      </w:r>
      <w:r w:rsidR="00445A26" w:rsidRPr="00183564">
        <w:t>.</w:t>
      </w:r>
    </w:p>
    <w:p w14:paraId="142C70F3" w14:textId="6684B82B" w:rsidR="00F61C50" w:rsidRPr="001D004A" w:rsidRDefault="00F61C50" w:rsidP="00F61C50">
      <w:pPr>
        <w:pStyle w:val="BodyText"/>
      </w:pPr>
      <w:r>
        <w:t xml:space="preserve">This option should allow </w:t>
      </w:r>
      <w:r w:rsidRPr="00D561B1">
        <w:t>for relevant human biosecurity risk</w:t>
      </w:r>
      <w:r w:rsidR="00800AE3">
        <w:t>s</w:t>
      </w:r>
      <w:r w:rsidRPr="00D561B1">
        <w:t xml:space="preserve"> to be </w:t>
      </w:r>
      <w:r w:rsidRPr="004048B5">
        <w:t xml:space="preserve">better </w:t>
      </w:r>
      <w:r w:rsidRPr="001D004A">
        <w:t xml:space="preserve">managed than under the status quo. This would </w:t>
      </w:r>
      <w:r>
        <w:t xml:space="preserve">occur </w:t>
      </w:r>
      <w:r w:rsidRPr="001D004A">
        <w:t xml:space="preserve">with the </w:t>
      </w:r>
      <w:r w:rsidR="0030710B">
        <w:t xml:space="preserve">targeted </w:t>
      </w:r>
      <w:r w:rsidRPr="001D004A">
        <w:t>use of emergency powers</w:t>
      </w:r>
      <w:r w:rsidR="00800AE3">
        <w:t>, provided that</w:t>
      </w:r>
      <w:r w:rsidRPr="001D004A">
        <w:t xml:space="preserve"> a human biosecurity emergency </w:t>
      </w:r>
      <w:r w:rsidR="00800AE3">
        <w:t xml:space="preserve">has been </w:t>
      </w:r>
      <w:r w:rsidRPr="001D004A">
        <w:t xml:space="preserve">declared. </w:t>
      </w:r>
    </w:p>
    <w:p w14:paraId="5A1B93C3" w14:textId="7B58CB8F" w:rsidR="00AE64AE" w:rsidRPr="00183564" w:rsidRDefault="00B623D5" w:rsidP="00445A26">
      <w:pPr>
        <w:pStyle w:val="BodyText"/>
      </w:pPr>
      <w:r w:rsidRPr="00183564">
        <w:t>This option could potentially be quicker to implement than amending the current legislation</w:t>
      </w:r>
      <w:r w:rsidR="00EB6562" w:rsidRPr="00183564">
        <w:t xml:space="preserve"> </w:t>
      </w:r>
      <w:r w:rsidR="00357FD7" w:rsidRPr="00183564">
        <w:t xml:space="preserve">as it </w:t>
      </w:r>
      <w:r w:rsidR="00EB6562" w:rsidRPr="00183564">
        <w:t>allows the Health Minister</w:t>
      </w:r>
      <w:r w:rsidR="001B0A32" w:rsidRPr="00183564">
        <w:t xml:space="preserve"> flexibility</w:t>
      </w:r>
      <w:r w:rsidR="00EB6562" w:rsidRPr="00183564">
        <w:t xml:space="preserve"> to </w:t>
      </w:r>
      <w:r w:rsidR="001B0A32" w:rsidRPr="00183564">
        <w:t xml:space="preserve">exercise powers relevant </w:t>
      </w:r>
      <w:r w:rsidR="001C7076" w:rsidRPr="00183564">
        <w:t>to the specific circumstance</w:t>
      </w:r>
      <w:r w:rsidR="004E3520" w:rsidRPr="00183564">
        <w:t>s</w:t>
      </w:r>
      <w:r w:rsidR="00082CF3" w:rsidRPr="00183564">
        <w:t>, subject to the safeguards set out in the Biosecurity Act.</w:t>
      </w:r>
      <w:r w:rsidR="00D561B1">
        <w:t xml:space="preserve"> The emergency </w:t>
      </w:r>
      <w:r w:rsidR="00223135">
        <w:t>provisions</w:t>
      </w:r>
      <w:r w:rsidR="00D561B1">
        <w:t xml:space="preserve"> provide</w:t>
      </w:r>
      <w:r w:rsidR="00223135">
        <w:t xml:space="preserve"> </w:t>
      </w:r>
      <w:r w:rsidR="00D561B1">
        <w:t xml:space="preserve">broad </w:t>
      </w:r>
      <w:r w:rsidR="00223135">
        <w:t xml:space="preserve">powers to </w:t>
      </w:r>
      <w:r w:rsidR="00B811D3">
        <w:t>manage human health emergencies</w:t>
      </w:r>
      <w:r w:rsidR="00C62EBB">
        <w:t xml:space="preserve">. </w:t>
      </w:r>
    </w:p>
    <w:p w14:paraId="6CA30766" w14:textId="0D50FF88" w:rsidR="00160865" w:rsidRPr="00183564" w:rsidRDefault="00160865" w:rsidP="00445A26">
      <w:pPr>
        <w:pStyle w:val="BodyText"/>
      </w:pPr>
      <w:proofErr w:type="gramStart"/>
      <w:r>
        <w:t>A number of</w:t>
      </w:r>
      <w:proofErr w:type="gramEnd"/>
      <w:r>
        <w:t xml:space="preserve"> the problems </w:t>
      </w:r>
      <w:r w:rsidR="00206300">
        <w:t>identified</w:t>
      </w:r>
      <w:r>
        <w:t xml:space="preserve"> </w:t>
      </w:r>
      <w:r w:rsidR="00034AD8">
        <w:t xml:space="preserve">by this RIS </w:t>
      </w:r>
      <w:r>
        <w:t>could be addressed to some extent under Option 2</w:t>
      </w:r>
      <w:bookmarkStart w:id="35" w:name="_Hlk80896601"/>
      <w:r>
        <w:t xml:space="preserve">. </w:t>
      </w:r>
      <w:r w:rsidR="00352A52">
        <w:t>W</w:t>
      </w:r>
      <w:r>
        <w:t>hen a human health emergency has been declared</w:t>
      </w:r>
      <w:r w:rsidR="00206300">
        <w:t xml:space="preserve">, </w:t>
      </w:r>
      <w:r w:rsidR="00A85CA4" w:rsidRPr="00A85CA4">
        <w:t xml:space="preserve">human biosecurity emergency </w:t>
      </w:r>
      <w:r w:rsidR="006E6EDD">
        <w:t>determinations</w:t>
      </w:r>
      <w:r w:rsidR="00A85CA4">
        <w:t xml:space="preserve"> c</w:t>
      </w:r>
      <w:r w:rsidR="00ED1C0F">
        <w:t>ould</w:t>
      </w:r>
      <w:r w:rsidR="00A85CA4">
        <w:t xml:space="preserve"> be created to address the need for </w:t>
      </w:r>
      <w:r w:rsidR="00800AE3">
        <w:t xml:space="preserve">further </w:t>
      </w:r>
      <w:r w:rsidR="00A85CA4">
        <w:t xml:space="preserve">pre-arrival reporting </w:t>
      </w:r>
      <w:r w:rsidR="00800AE3">
        <w:t xml:space="preserve">or </w:t>
      </w:r>
      <w:r w:rsidR="002E3ACB">
        <w:t xml:space="preserve">requiring </w:t>
      </w:r>
      <w:r w:rsidR="00800AE3">
        <w:t>the provisions of further information</w:t>
      </w:r>
      <w:r w:rsidR="00DE0729">
        <w:t>,</w:t>
      </w:r>
      <w:r w:rsidR="002E3ACB">
        <w:t xml:space="preserve"> wh</w:t>
      </w:r>
      <w:r w:rsidR="00DE0729">
        <w:t>ere relevant</w:t>
      </w:r>
      <w:r w:rsidR="00ED1C0F">
        <w:t xml:space="preserve">. </w:t>
      </w:r>
      <w:r w:rsidR="00281CF3">
        <w:t xml:space="preserve">These determinations could be targeted </w:t>
      </w:r>
      <w:r w:rsidR="00627E11">
        <w:t>t</w:t>
      </w:r>
      <w:r w:rsidR="00800AE3">
        <w:t xml:space="preserve">o </w:t>
      </w:r>
      <w:proofErr w:type="gramStart"/>
      <w:r w:rsidR="00281CF3">
        <w:t>particular types</w:t>
      </w:r>
      <w:proofErr w:type="gramEnd"/>
      <w:r w:rsidR="00281CF3">
        <w:t xml:space="preserve"> of vessels or at all conveyances, depending on the </w:t>
      </w:r>
      <w:r w:rsidR="00E43BC1">
        <w:t>identified</w:t>
      </w:r>
      <w:r w:rsidR="00281CF3">
        <w:t xml:space="preserve"> risks.</w:t>
      </w:r>
      <w:bookmarkEnd w:id="35"/>
    </w:p>
    <w:p w14:paraId="4768069E" w14:textId="4180BD32" w:rsidR="00665929" w:rsidRPr="001D004A" w:rsidRDefault="00570176" w:rsidP="00372411">
      <w:pPr>
        <w:pStyle w:val="BodyText"/>
      </w:pPr>
      <w:r>
        <w:t xml:space="preserve">It is also worth </w:t>
      </w:r>
      <w:r w:rsidR="00036B51">
        <w:t>noting</w:t>
      </w:r>
      <w:r>
        <w:t xml:space="preserve"> that any i</w:t>
      </w:r>
      <w:r w:rsidR="00A2655F">
        <w:t xml:space="preserve">mprovements to the </w:t>
      </w:r>
      <w:r>
        <w:t xml:space="preserve">Commonwealth’s </w:t>
      </w:r>
      <w:r w:rsidR="00BB0F67">
        <w:t xml:space="preserve">ability to manage </w:t>
      </w:r>
      <w:r w:rsidR="00BC33D4">
        <w:t xml:space="preserve">the </w:t>
      </w:r>
      <w:r w:rsidR="00A564F3">
        <w:t xml:space="preserve">outbreak of </w:t>
      </w:r>
      <w:r w:rsidR="00AC54AA">
        <w:t xml:space="preserve">a listed human disease </w:t>
      </w:r>
      <w:r w:rsidR="00372411">
        <w:t xml:space="preserve">could result in at least the partial </w:t>
      </w:r>
      <w:r w:rsidR="008F0221" w:rsidRPr="001D004A">
        <w:t xml:space="preserve">reopening </w:t>
      </w:r>
      <w:r w:rsidR="00372411">
        <w:t xml:space="preserve">of </w:t>
      </w:r>
      <w:r w:rsidR="008F0221" w:rsidRPr="001D004A">
        <w:t xml:space="preserve">the </w:t>
      </w:r>
      <w:r w:rsidR="00F15568">
        <w:t xml:space="preserve">Australian </w:t>
      </w:r>
      <w:r w:rsidR="008F0221" w:rsidRPr="001D004A">
        <w:t>cruise industry</w:t>
      </w:r>
      <w:r w:rsidR="00505943">
        <w:t>.</w:t>
      </w:r>
      <w:r w:rsidR="000B6FDA">
        <w:t xml:space="preserve"> </w:t>
      </w:r>
      <w:r w:rsidR="00505943">
        <w:t xml:space="preserve"> </w:t>
      </w:r>
      <w:r w:rsidR="008F0221" w:rsidRPr="001D004A">
        <w:t xml:space="preserve">Under </w:t>
      </w:r>
      <w:r w:rsidR="00677A28">
        <w:t>O</w:t>
      </w:r>
      <w:r w:rsidR="008F0221" w:rsidRPr="001D004A">
        <w:t xml:space="preserve">ption 2, it could be expected that those benefits are partially realised depending on the powers enacted under this option. Limits on emergency powers, such as only applying to declared listed human diseases and ceasing at the end of the human biosecurity emergency, restrict </w:t>
      </w:r>
      <w:r w:rsidR="008E50E2" w:rsidRPr="001D004A">
        <w:t xml:space="preserve">the </w:t>
      </w:r>
      <w:r w:rsidR="008F0221" w:rsidRPr="001D004A">
        <w:t>benefits of this option to periods of declared emergencies.</w:t>
      </w:r>
    </w:p>
    <w:p w14:paraId="06F05B69" w14:textId="1165C349" w:rsidR="003B7B23" w:rsidRDefault="005708D4" w:rsidP="00372411">
      <w:pPr>
        <w:pStyle w:val="BodyText"/>
      </w:pPr>
      <w:r>
        <w:t xml:space="preserve">Factors such as the </w:t>
      </w:r>
      <w:r w:rsidR="00BA741B">
        <w:t>extent to</w:t>
      </w:r>
      <w:r w:rsidR="00481755">
        <w:t xml:space="preserve"> which</w:t>
      </w:r>
      <w:r w:rsidR="00537DA8">
        <w:t xml:space="preserve"> </w:t>
      </w:r>
      <w:r w:rsidR="00422ADB">
        <w:t xml:space="preserve">the </w:t>
      </w:r>
      <w:r w:rsidR="00537DA8">
        <w:t xml:space="preserve">jobs </w:t>
      </w:r>
      <w:r w:rsidR="00481755">
        <w:t>that existed previously will be</w:t>
      </w:r>
      <w:r w:rsidR="00537DA8">
        <w:t xml:space="preserve"> filled</w:t>
      </w:r>
      <w:r w:rsidR="00481755">
        <w:t xml:space="preserve"> again</w:t>
      </w:r>
      <w:r>
        <w:t>,</w:t>
      </w:r>
      <w:r w:rsidR="00481755">
        <w:t xml:space="preserve"> and the speed with which the industry will return to pre-pandem</w:t>
      </w:r>
      <w:r w:rsidR="00BB7658">
        <w:t>ic levels</w:t>
      </w:r>
      <w:r>
        <w:t>,</w:t>
      </w:r>
      <w:r w:rsidR="00BB7658">
        <w:t xml:space="preserve"> </w:t>
      </w:r>
      <w:r w:rsidR="00C95AE3">
        <w:t>are</w:t>
      </w:r>
      <w:r w:rsidR="005D42A8">
        <w:t xml:space="preserve"> </w:t>
      </w:r>
      <w:r w:rsidR="005D42A8" w:rsidRPr="00633F36">
        <w:t>difficult to estimate</w:t>
      </w:r>
      <w:r w:rsidR="00FC2A55">
        <w:t xml:space="preserve">. </w:t>
      </w:r>
      <w:r w:rsidR="00A7570D">
        <w:t xml:space="preserve">It is likely that the extent to which </w:t>
      </w:r>
      <w:r w:rsidR="00800AE3">
        <w:t>O</w:t>
      </w:r>
      <w:r w:rsidR="00A7570D">
        <w:t>ption 2 contributed to a reopening of the cruise industry would be limited,</w:t>
      </w:r>
      <w:r w:rsidR="00DF59D4">
        <w:t xml:space="preserve"> especially</w:t>
      </w:r>
      <w:r w:rsidR="005D42A8" w:rsidRPr="00633F36">
        <w:t xml:space="preserve"> without the ability </w:t>
      </w:r>
      <w:r w:rsidR="00C95AE3" w:rsidRPr="00E43BC1">
        <w:t xml:space="preserve">to </w:t>
      </w:r>
      <w:r w:rsidR="005D42A8" w:rsidRPr="00633F36">
        <w:t>iss</w:t>
      </w:r>
      <w:r w:rsidR="00C95AE3" w:rsidRPr="00E43BC1">
        <w:t>ue</w:t>
      </w:r>
      <w:r w:rsidR="005D42A8" w:rsidRPr="00633F36">
        <w:t xml:space="preserve"> group orders </w:t>
      </w:r>
      <w:r w:rsidR="00BF187C" w:rsidRPr="00E43BC1">
        <w:t xml:space="preserve">such as the </w:t>
      </w:r>
      <w:r w:rsidR="00CA2640">
        <w:t>Human Biosecurity G</w:t>
      </w:r>
      <w:r w:rsidR="00BF187C" w:rsidRPr="00E43BC1">
        <w:t xml:space="preserve">roup </w:t>
      </w:r>
      <w:r w:rsidR="00CA2640">
        <w:t>D</w:t>
      </w:r>
      <w:r w:rsidR="00BF187C" w:rsidRPr="00E43BC1">
        <w:t xml:space="preserve">irections </w:t>
      </w:r>
      <w:r w:rsidR="00281B79" w:rsidRPr="00E43BC1">
        <w:t xml:space="preserve">proposed </w:t>
      </w:r>
      <w:r w:rsidR="003B7B23">
        <w:t>under Option 3.</w:t>
      </w:r>
    </w:p>
    <w:p w14:paraId="48C790B2" w14:textId="3A4D69BB" w:rsidR="00CA2AF9" w:rsidRDefault="00537DA8" w:rsidP="00372411">
      <w:pPr>
        <w:pStyle w:val="BodyText"/>
      </w:pPr>
      <w:r>
        <w:t>Refer to Appendix D for more information</w:t>
      </w:r>
      <w:r w:rsidR="003B7B23">
        <w:t xml:space="preserve"> regarding the </w:t>
      </w:r>
      <w:r w:rsidR="00633F36" w:rsidRPr="00633F36">
        <w:t>size of the Australian cruise industry</w:t>
      </w:r>
      <w:r w:rsidR="003B1389">
        <w:t>, prior to the current pandemic</w:t>
      </w:r>
      <w:r>
        <w:t>.</w:t>
      </w:r>
    </w:p>
    <w:p w14:paraId="7AA93C0E" w14:textId="517320FE" w:rsidR="003E26FA" w:rsidRPr="00183564" w:rsidRDefault="00784870" w:rsidP="003E26FA">
      <w:pPr>
        <w:pStyle w:val="Heading4"/>
        <w:keepNext/>
      </w:pPr>
      <w:r w:rsidRPr="00183564">
        <w:t xml:space="preserve">4.2.2 </w:t>
      </w:r>
      <w:r w:rsidR="002A6585">
        <w:t>Impacts</w:t>
      </w:r>
    </w:p>
    <w:p w14:paraId="0E92DE14" w14:textId="7D23A095" w:rsidR="0018465F" w:rsidRDefault="00DA2942" w:rsidP="0074492A">
      <w:pPr>
        <w:pStyle w:val="BodyText"/>
      </w:pPr>
      <w:r w:rsidRPr="00C11299">
        <w:t>Despite the benefits identified above, t</w:t>
      </w:r>
      <w:r w:rsidR="0074492A">
        <w:t xml:space="preserve">his option does not fully address identified issues relating to preparedness for future emergence of novel illnesses and pandemics. </w:t>
      </w:r>
    </w:p>
    <w:p w14:paraId="6D417858" w14:textId="1D296BAC" w:rsidR="00426692" w:rsidRDefault="00D50F7C" w:rsidP="00426692">
      <w:pPr>
        <w:pStyle w:val="BodyText"/>
      </w:pPr>
      <w:r w:rsidRPr="00183564">
        <w:t xml:space="preserve">Option 2 will lead to a more complex legislative framework than Option 3. </w:t>
      </w:r>
      <w:r w:rsidR="0074492A">
        <w:t>It may generate uncertainty for regulated industries and for the interaction of Commonwealth agencies with state and territory counterparts</w:t>
      </w:r>
      <w:r w:rsidRPr="00183564">
        <w:t>, leading to delay and other costs</w:t>
      </w:r>
      <w:r w:rsidR="0074492A">
        <w:t>.</w:t>
      </w:r>
      <w:r w:rsidR="00426692" w:rsidDel="00426692">
        <w:t xml:space="preserve"> </w:t>
      </w:r>
      <w:r w:rsidR="00145129">
        <w:t xml:space="preserve">Determinations made by the </w:t>
      </w:r>
      <w:r w:rsidR="00421949">
        <w:t>H</w:t>
      </w:r>
      <w:r w:rsidR="00145129">
        <w:t xml:space="preserve">ealth Minister </w:t>
      </w:r>
      <w:r w:rsidR="0085261D">
        <w:t>may be made quickly and the</w:t>
      </w:r>
      <w:r w:rsidR="00966559">
        <w:t xml:space="preserve"> flexibility to adapt the det</w:t>
      </w:r>
      <w:r w:rsidR="0009677D">
        <w:t xml:space="preserve">erminations </w:t>
      </w:r>
      <w:r w:rsidR="00211BD7">
        <w:t xml:space="preserve">to each circumstance </w:t>
      </w:r>
      <w:r w:rsidR="0009677D">
        <w:t>also means there is uncertainty for business</w:t>
      </w:r>
      <w:r w:rsidR="00421949">
        <w:t xml:space="preserve">. </w:t>
      </w:r>
      <w:r w:rsidR="00E248E8">
        <w:t xml:space="preserve">This option would also </w:t>
      </w:r>
      <w:r w:rsidR="00800AE3">
        <w:t xml:space="preserve">need to be implemented in a manner that is consistent with the </w:t>
      </w:r>
      <w:r w:rsidR="00E248E8">
        <w:t xml:space="preserve">use of state </w:t>
      </w:r>
      <w:r w:rsidR="00800AE3">
        <w:t xml:space="preserve">and territory </w:t>
      </w:r>
      <w:r w:rsidR="00E248E8">
        <w:t xml:space="preserve">health emergency powers for the </w:t>
      </w:r>
      <w:r w:rsidR="00800AE3">
        <w:t xml:space="preserve">management </w:t>
      </w:r>
      <w:r w:rsidR="00E248E8">
        <w:t>of</w:t>
      </w:r>
      <w:r w:rsidR="00800AE3">
        <w:t xml:space="preserve"> public health risks</w:t>
      </w:r>
      <w:r w:rsidR="00F70C56">
        <w:t xml:space="preserve">. </w:t>
      </w:r>
      <w:r w:rsidR="00B56F29">
        <w:t>An inherent weakness of</w:t>
      </w:r>
      <w:r w:rsidR="00A80311">
        <w:t xml:space="preserve"> excessive</w:t>
      </w:r>
      <w:r w:rsidR="00A80311" w:rsidRPr="00D33907">
        <w:t xml:space="preserve"> </w:t>
      </w:r>
      <w:r w:rsidR="00A80311">
        <w:t>reliance</w:t>
      </w:r>
      <w:r w:rsidR="00D33907" w:rsidRPr="00D33907">
        <w:t xml:space="preserve"> on state powers is that </w:t>
      </w:r>
      <w:r w:rsidR="00553047" w:rsidRPr="00D33907">
        <w:t>differ</w:t>
      </w:r>
      <w:r w:rsidR="00553047">
        <w:t>ences</w:t>
      </w:r>
      <w:r w:rsidR="00D33907" w:rsidRPr="00D33907">
        <w:t xml:space="preserve"> between jurisdictions lead to inconsistency and complexity, and they may only be available during emergencies</w:t>
      </w:r>
      <w:r w:rsidR="00553047">
        <w:t>.</w:t>
      </w:r>
      <w:r w:rsidR="005B3A28" w:rsidRPr="005B3A28">
        <w:t xml:space="preserve"> While these emergency powers are being used during the COVID-19 pandemic, the reliance on state </w:t>
      </w:r>
      <w:r w:rsidR="00800AE3">
        <w:t xml:space="preserve">and territory </w:t>
      </w:r>
      <w:r w:rsidR="005B3A28" w:rsidRPr="005B3A28">
        <w:t xml:space="preserve">emergency powers leaves a gap in managing human biosecurity risk at times when the state </w:t>
      </w:r>
      <w:r w:rsidR="00800AE3">
        <w:t xml:space="preserve">and territory </w:t>
      </w:r>
      <w:r w:rsidR="005B3A28" w:rsidRPr="005B3A28">
        <w:t xml:space="preserve">emergency powers are not in operation. Under option </w:t>
      </w:r>
      <w:r w:rsidR="00077534">
        <w:t>2</w:t>
      </w:r>
      <w:r w:rsidR="005B3A28" w:rsidRPr="005B3A28">
        <w:t>, this gap in managing human biosecurity risk</w:t>
      </w:r>
      <w:r w:rsidR="00800AE3">
        <w:t xml:space="preserve"> consistently across all jurisdictions in Australia</w:t>
      </w:r>
      <w:r w:rsidR="005B3A28" w:rsidRPr="005B3A28">
        <w:t xml:space="preserve"> when </w:t>
      </w:r>
      <w:r w:rsidR="00800AE3">
        <w:t xml:space="preserve">only some of </w:t>
      </w:r>
      <w:r w:rsidR="005B3A28" w:rsidRPr="005B3A28">
        <w:t xml:space="preserve">the state </w:t>
      </w:r>
      <w:r w:rsidR="00800AE3">
        <w:t xml:space="preserve">and territory </w:t>
      </w:r>
      <w:r w:rsidR="005B3A28" w:rsidRPr="005B3A28">
        <w:t>emergency powers are in operation would remain.</w:t>
      </w:r>
      <w:r w:rsidR="00553047">
        <w:t xml:space="preserve"> </w:t>
      </w:r>
    </w:p>
    <w:p w14:paraId="6DE35587" w14:textId="59145F54" w:rsidR="0074492A" w:rsidRDefault="00426692" w:rsidP="0074492A">
      <w:pPr>
        <w:pStyle w:val="BodyText"/>
      </w:pPr>
      <w:r>
        <w:t>P</w:t>
      </w:r>
      <w:r w:rsidR="0074492A">
        <w:t xml:space="preserve">arliamentary consideration of the exercise of executive power in this area of national significance and concern may also be a matter for consideration, in particular the use of executive power during a declared human biosecurity emergency. </w:t>
      </w:r>
    </w:p>
    <w:p w14:paraId="3439AFA0" w14:textId="66E92BA3" w:rsidR="00445A26" w:rsidRPr="00457639" w:rsidRDefault="00CC5BEC" w:rsidP="00895F3C">
      <w:pPr>
        <w:pStyle w:val="BodyText"/>
      </w:pPr>
      <w:r w:rsidRPr="00183564">
        <w:t xml:space="preserve">Any actions proposed under this option will only </w:t>
      </w:r>
      <w:r w:rsidR="00163E0D" w:rsidRPr="00183564">
        <w:t xml:space="preserve">be available </w:t>
      </w:r>
      <w:r w:rsidR="004A0717" w:rsidRPr="00183564">
        <w:t xml:space="preserve">in </w:t>
      </w:r>
      <w:r w:rsidR="00163E0D" w:rsidRPr="00183564">
        <w:t xml:space="preserve">the </w:t>
      </w:r>
      <w:r w:rsidR="004A0717" w:rsidRPr="00183564">
        <w:t xml:space="preserve">case of </w:t>
      </w:r>
      <w:r w:rsidR="00163E0D" w:rsidRPr="00183564">
        <w:t xml:space="preserve">a </w:t>
      </w:r>
      <w:r w:rsidR="004A0717" w:rsidRPr="00183564">
        <w:t>declared emergency</w:t>
      </w:r>
      <w:r w:rsidR="005D2521" w:rsidRPr="00183564">
        <w:t>.</w:t>
      </w:r>
      <w:r w:rsidR="00790D04" w:rsidRPr="00790D04">
        <w:t xml:space="preserve"> </w:t>
      </w:r>
      <w:r w:rsidR="00790D04">
        <w:t xml:space="preserve">The emergency powers </w:t>
      </w:r>
      <w:r w:rsidR="008D1A72">
        <w:t xml:space="preserve">therefore </w:t>
      </w:r>
      <w:r w:rsidR="00790D04">
        <w:t>do not allow human biosecurity risks for listed human diseases to be effectively managed outside of a declared emergency</w:t>
      </w:r>
      <w:r w:rsidR="0015275A">
        <w:t xml:space="preserve">. </w:t>
      </w:r>
      <w:r w:rsidR="005553AB">
        <w:t>Examples may include</w:t>
      </w:r>
      <w:r w:rsidR="00D35D2B">
        <w:t xml:space="preserve"> </w:t>
      </w:r>
      <w:r w:rsidR="004F436E">
        <w:t xml:space="preserve">a minor or early outbreak of a listed human disease, where it would be inappropriate to declare a </w:t>
      </w:r>
      <w:r w:rsidR="00480CB1">
        <w:t>human biosecurity emergency.</w:t>
      </w:r>
      <w:r w:rsidR="004F436E">
        <w:t xml:space="preserve"> </w:t>
      </w:r>
      <w:r w:rsidR="00CD6463" w:rsidRPr="00183564">
        <w:t xml:space="preserve">In many cases, </w:t>
      </w:r>
      <w:r w:rsidR="00800AE3">
        <w:t xml:space="preserve">Biosecurity Officers and </w:t>
      </w:r>
      <w:r w:rsidR="009612CF" w:rsidRPr="00183564">
        <w:t xml:space="preserve">Human Biosecurity Officers </w:t>
      </w:r>
      <w:r w:rsidR="00895F3C" w:rsidRPr="00183564">
        <w:t xml:space="preserve">will be limited to </w:t>
      </w:r>
      <w:r w:rsidR="00895F3C" w:rsidRPr="00183564">
        <w:lastRenderedPageBreak/>
        <w:t>those options available to them under the status quo.</w:t>
      </w:r>
      <w:r w:rsidR="00457639">
        <w:t xml:space="preserve"> </w:t>
      </w:r>
      <w:r w:rsidR="00457639" w:rsidRPr="00183564">
        <w:t xml:space="preserve">This stands in contrast with </w:t>
      </w:r>
      <w:r w:rsidR="00606B7F">
        <w:t>O</w:t>
      </w:r>
      <w:r w:rsidR="00457639" w:rsidRPr="00183564">
        <w:t xml:space="preserve">ption 3 which provides </w:t>
      </w:r>
      <w:r w:rsidR="00800AE3">
        <w:t xml:space="preserve">officers </w:t>
      </w:r>
      <w:r w:rsidR="00457639" w:rsidRPr="00183564">
        <w:t>with additional flexibility</w:t>
      </w:r>
      <w:r w:rsidR="00457639">
        <w:t xml:space="preserve"> at any time a human health risk</w:t>
      </w:r>
      <w:r w:rsidR="00800AE3">
        <w:t xml:space="preserve"> arises</w:t>
      </w:r>
      <w:r w:rsidR="00457639" w:rsidRPr="00183564">
        <w:t>.</w:t>
      </w:r>
    </w:p>
    <w:p w14:paraId="3D06C00B" w14:textId="753F34AF" w:rsidR="005F405B" w:rsidRDefault="000F6B5E" w:rsidP="005F405B">
      <w:pPr>
        <w:pStyle w:val="BodyText"/>
      </w:pPr>
      <w:r>
        <w:t>The declaration of</w:t>
      </w:r>
      <w:r w:rsidR="005D5992" w:rsidRPr="00183564">
        <w:t xml:space="preserve"> a human biosecurity emergency </w:t>
      </w:r>
      <w:r w:rsidR="00B75D5F" w:rsidRPr="00183564">
        <w:t xml:space="preserve">is </w:t>
      </w:r>
      <w:r w:rsidR="005D5992" w:rsidRPr="00183564">
        <w:t>at the</w:t>
      </w:r>
      <w:r w:rsidR="00F14F7E" w:rsidRPr="00183564">
        <w:t xml:space="preserve"> </w:t>
      </w:r>
      <w:r w:rsidR="009532E3" w:rsidRPr="00183564">
        <w:t xml:space="preserve">Health Minister’s discretion </w:t>
      </w:r>
      <w:r w:rsidR="009C4A72" w:rsidRPr="00183564">
        <w:t xml:space="preserve">and can vary from one emergency </w:t>
      </w:r>
      <w:r w:rsidR="00B82E77" w:rsidRPr="00183564">
        <w:t xml:space="preserve">declaration to another. The </w:t>
      </w:r>
      <w:r w:rsidR="008C15A3" w:rsidRPr="00183564">
        <w:t xml:space="preserve">regulatory </w:t>
      </w:r>
      <w:r w:rsidR="009E1826" w:rsidRPr="00183564">
        <w:t xml:space="preserve">burden </w:t>
      </w:r>
      <w:r w:rsidR="008C15A3" w:rsidRPr="00183564">
        <w:t>imposed by these events can vary greatly</w:t>
      </w:r>
      <w:r w:rsidR="00CE1B0D" w:rsidRPr="00183564">
        <w:t xml:space="preserve"> as it is based </w:t>
      </w:r>
      <w:r w:rsidR="008C15A3" w:rsidRPr="00183564">
        <w:t xml:space="preserve">on the </w:t>
      </w:r>
      <w:r w:rsidR="009E1826" w:rsidRPr="00183564">
        <w:t xml:space="preserve">impact and </w:t>
      </w:r>
      <w:r w:rsidR="008C15A3" w:rsidRPr="00183564">
        <w:t xml:space="preserve">duration </w:t>
      </w:r>
      <w:r w:rsidR="001F2C9E" w:rsidRPr="00183564">
        <w:t>of such a declaration</w:t>
      </w:r>
      <w:r w:rsidR="009E1826" w:rsidRPr="00183564">
        <w:t xml:space="preserve">. </w:t>
      </w:r>
      <w:r w:rsidR="00CE1B0D" w:rsidRPr="00183564">
        <w:t xml:space="preserve">This leaves a significant level of </w:t>
      </w:r>
      <w:r w:rsidR="009142ED" w:rsidRPr="00183564">
        <w:t xml:space="preserve">uncertainty with </w:t>
      </w:r>
      <w:r w:rsidR="006A5E38" w:rsidRPr="00183564">
        <w:t xml:space="preserve">affected </w:t>
      </w:r>
      <w:r w:rsidR="009142ED" w:rsidRPr="00183564">
        <w:t>businesses, individuals</w:t>
      </w:r>
      <w:r w:rsidR="00157A6D">
        <w:t>,</w:t>
      </w:r>
      <w:r w:rsidR="009142ED" w:rsidRPr="00183564">
        <w:t xml:space="preserve"> and community organisations</w:t>
      </w:r>
      <w:r w:rsidR="006A5E38" w:rsidRPr="00183564">
        <w:t>.</w:t>
      </w:r>
      <w:r w:rsidR="005F405B" w:rsidRPr="005F405B">
        <w:t xml:space="preserve"> </w:t>
      </w:r>
    </w:p>
    <w:p w14:paraId="02FC7CB3" w14:textId="228EC520" w:rsidR="009E6E75" w:rsidRDefault="00B0165D" w:rsidP="00445A26">
      <w:pPr>
        <w:pStyle w:val="BodyText"/>
      </w:pPr>
      <w:r>
        <w:t xml:space="preserve">As outlined above, </w:t>
      </w:r>
      <w:r w:rsidR="004F7AD0">
        <w:t>Opt</w:t>
      </w:r>
      <w:r w:rsidR="006148C4">
        <w:t xml:space="preserve">ion 2 is superior </w:t>
      </w:r>
      <w:r w:rsidR="00255938">
        <w:t xml:space="preserve">to the status quo </w:t>
      </w:r>
      <w:r w:rsidR="005F5A0D">
        <w:t>in that it partially addresses some of the problems identified in th</w:t>
      </w:r>
      <w:r w:rsidR="003D07C9">
        <w:t>is</w:t>
      </w:r>
      <w:r w:rsidR="005F5A0D">
        <w:t xml:space="preserve"> RIS</w:t>
      </w:r>
      <w:r>
        <w:t xml:space="preserve">, </w:t>
      </w:r>
      <w:r w:rsidR="00DF6294">
        <w:t>for example</w:t>
      </w:r>
      <w:r>
        <w:t xml:space="preserve"> </w:t>
      </w:r>
      <w:r w:rsidR="00BC3788">
        <w:t>by allowing for</w:t>
      </w:r>
      <w:r w:rsidR="003D07C9" w:rsidRPr="003D07C9">
        <w:t xml:space="preserve"> </w:t>
      </w:r>
      <w:r w:rsidR="00B26B3A">
        <w:t xml:space="preserve">the creation of </w:t>
      </w:r>
      <w:r w:rsidR="003D07C9" w:rsidRPr="003D07C9">
        <w:t xml:space="preserve">human biosecurity emergency determinations to address </w:t>
      </w:r>
      <w:r w:rsidR="005F5A0D">
        <w:t xml:space="preserve">the </w:t>
      </w:r>
      <w:r w:rsidR="003D07C9" w:rsidRPr="003D07C9">
        <w:t>need for additional pre-arrival reporting</w:t>
      </w:r>
      <w:r w:rsidR="009E6E75">
        <w:t xml:space="preserve">. This power is only available </w:t>
      </w:r>
      <w:r w:rsidR="00B26B3A" w:rsidRPr="003D07C9">
        <w:t>when a human health emergency has been declared</w:t>
      </w:r>
      <w:r w:rsidR="00DF6294">
        <w:t>.</w:t>
      </w:r>
    </w:p>
    <w:p w14:paraId="38E26F43" w14:textId="33473BB3" w:rsidR="00533FC8" w:rsidRDefault="005F405B" w:rsidP="00445A26">
      <w:pPr>
        <w:pStyle w:val="BodyText"/>
      </w:pPr>
      <w:r>
        <w:t xml:space="preserve">This option does not address </w:t>
      </w:r>
      <w:r w:rsidR="00FB4FF1">
        <w:t>some of the problems identified above</w:t>
      </w:r>
      <w:r>
        <w:t xml:space="preserve">, including: the power to issue a direction to a group of people; </w:t>
      </w:r>
      <w:r w:rsidR="008D7AD3">
        <w:t xml:space="preserve">and </w:t>
      </w:r>
      <w:r>
        <w:t>application of pratique obligations to reflect responsibility and risk more appropriately and to deter non-compliance.</w:t>
      </w:r>
      <w:r w:rsidR="00C77A4F">
        <w:t xml:space="preserve"> </w:t>
      </w:r>
    </w:p>
    <w:p w14:paraId="33A5A9BA" w14:textId="7E0AE202" w:rsidR="00533FC8" w:rsidRPr="000F79A8" w:rsidRDefault="00533FC8" w:rsidP="00533FC8">
      <w:pPr>
        <w:keepNext/>
        <w:rPr>
          <w:b/>
          <w:bCs/>
        </w:rPr>
      </w:pPr>
      <w:r w:rsidRPr="000F79A8">
        <w:rPr>
          <w:b/>
          <w:bCs/>
        </w:rPr>
        <w:t>Regulatory burden estimate</w:t>
      </w:r>
      <w:r>
        <w:rPr>
          <w:b/>
          <w:bCs/>
        </w:rPr>
        <w:t xml:space="preserve"> </w:t>
      </w:r>
    </w:p>
    <w:p w14:paraId="756D175D" w14:textId="2D6E8094" w:rsidR="00533FC8" w:rsidRDefault="00B34948" w:rsidP="00533FC8">
      <w:pPr>
        <w:pStyle w:val="BodyText"/>
      </w:pPr>
      <w:r>
        <w:fldChar w:fldCharType="begin"/>
      </w:r>
      <w:r>
        <w:instrText xml:space="preserve"> REF _Ref80879405 \h </w:instrText>
      </w:r>
      <w:r>
        <w:fldChar w:fldCharType="separate"/>
      </w:r>
      <w:r>
        <w:t xml:space="preserve">Table </w:t>
      </w:r>
      <w:r>
        <w:rPr>
          <w:noProof/>
        </w:rPr>
        <w:t>2</w:t>
      </w:r>
      <w:r>
        <w:fldChar w:fldCharType="end"/>
      </w:r>
      <w:r w:rsidR="00533FC8">
        <w:t xml:space="preserve"> below presents a matrix mapping the </w:t>
      </w:r>
      <w:r w:rsidR="008E0C68">
        <w:t>elements of option 2</w:t>
      </w:r>
      <w:r w:rsidR="00533FC8">
        <w:t xml:space="preserve"> against the segments expected to incur an additional regulatory burden </w:t>
      </w:r>
      <w:proofErr w:type="gramStart"/>
      <w:r w:rsidR="00533FC8">
        <w:t>as a result of</w:t>
      </w:r>
      <w:proofErr w:type="gramEnd"/>
      <w:r w:rsidR="00533FC8">
        <w:t xml:space="preserve"> </w:t>
      </w:r>
      <w:r w:rsidR="0097560B">
        <w:t>this option</w:t>
      </w:r>
      <w:r w:rsidR="00533FC8">
        <w:t xml:space="preserve">. </w:t>
      </w:r>
    </w:p>
    <w:tbl>
      <w:tblPr>
        <w:tblW w:w="10019" w:type="dxa"/>
        <w:jc w:val="center"/>
        <w:tblLook w:val="04A0" w:firstRow="1" w:lastRow="0" w:firstColumn="1" w:lastColumn="0" w:noHBand="0" w:noVBand="1"/>
      </w:tblPr>
      <w:tblGrid>
        <w:gridCol w:w="6653"/>
        <w:gridCol w:w="1106"/>
        <w:gridCol w:w="1052"/>
        <w:gridCol w:w="1208"/>
      </w:tblGrid>
      <w:tr w:rsidR="00533FC8" w:rsidRPr="00EE6C3B" w14:paraId="62CE10E5" w14:textId="77777777" w:rsidTr="00014DCC">
        <w:trPr>
          <w:trHeight w:val="20"/>
          <w:jc w:val="center"/>
        </w:trPr>
        <w:tc>
          <w:tcPr>
            <w:tcW w:w="6653" w:type="dxa"/>
            <w:tcBorders>
              <w:top w:val="single" w:sz="8" w:space="0" w:color="auto"/>
              <w:left w:val="single" w:sz="8" w:space="0" w:color="auto"/>
              <w:bottom w:val="single" w:sz="4" w:space="0" w:color="auto"/>
              <w:right w:val="single" w:sz="4" w:space="0" w:color="auto"/>
            </w:tcBorders>
            <w:shd w:val="clear" w:color="auto" w:fill="014463" w:themeFill="text2"/>
            <w:hideMark/>
          </w:tcPr>
          <w:p w14:paraId="75263FF8" w14:textId="673618FE" w:rsidR="00533FC8" w:rsidRPr="00EE6C3B" w:rsidRDefault="00533FC8" w:rsidP="00014DCC">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 xml:space="preserve">Proposed </w:t>
            </w:r>
            <w:r w:rsidR="000331DE">
              <w:rPr>
                <w:rFonts w:asciiTheme="majorHAnsi" w:eastAsia="Times New Roman" w:hAnsiTheme="majorHAnsi" w:cstheme="minorHAnsi"/>
                <w:b/>
                <w:bCs/>
                <w:color w:val="FFFFFF"/>
                <w:sz w:val="16"/>
                <w:szCs w:val="16"/>
                <w:lang w:eastAsia="en-AU"/>
              </w:rPr>
              <w:t>D</w:t>
            </w:r>
            <w:r w:rsidR="00495887">
              <w:rPr>
                <w:rFonts w:asciiTheme="majorHAnsi" w:eastAsia="Times New Roman" w:hAnsiTheme="majorHAnsi" w:cstheme="minorHAnsi"/>
                <w:b/>
                <w:bCs/>
                <w:color w:val="FFFFFF"/>
                <w:sz w:val="16"/>
                <w:szCs w:val="16"/>
                <w:lang w:eastAsia="en-AU"/>
              </w:rPr>
              <w:t>eterminat</w:t>
            </w:r>
            <w:r w:rsidR="000331DE">
              <w:rPr>
                <w:rFonts w:asciiTheme="majorHAnsi" w:eastAsia="Times New Roman" w:hAnsiTheme="majorHAnsi" w:cstheme="minorHAnsi"/>
                <w:b/>
                <w:bCs/>
                <w:color w:val="FFFFFF"/>
                <w:sz w:val="16"/>
                <w:szCs w:val="16"/>
                <w:lang w:eastAsia="en-AU"/>
              </w:rPr>
              <w:t>ion</w:t>
            </w:r>
          </w:p>
        </w:tc>
        <w:tc>
          <w:tcPr>
            <w:tcW w:w="1106" w:type="dxa"/>
            <w:tcBorders>
              <w:top w:val="single" w:sz="8" w:space="0" w:color="auto"/>
              <w:left w:val="nil"/>
              <w:bottom w:val="single" w:sz="4" w:space="0" w:color="auto"/>
              <w:right w:val="single" w:sz="4" w:space="0" w:color="auto"/>
            </w:tcBorders>
            <w:shd w:val="clear" w:color="auto" w:fill="014463" w:themeFill="text2"/>
          </w:tcPr>
          <w:p w14:paraId="57711098" w14:textId="77777777" w:rsidR="00533FC8" w:rsidRPr="00EE6C3B" w:rsidRDefault="00533FC8" w:rsidP="00014DCC">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Businesses</w:t>
            </w:r>
          </w:p>
        </w:tc>
        <w:tc>
          <w:tcPr>
            <w:tcW w:w="1052" w:type="dxa"/>
            <w:tcBorders>
              <w:top w:val="single" w:sz="8" w:space="0" w:color="auto"/>
              <w:left w:val="nil"/>
              <w:bottom w:val="single" w:sz="4" w:space="0" w:color="auto"/>
              <w:right w:val="single" w:sz="4" w:space="0" w:color="auto"/>
            </w:tcBorders>
            <w:shd w:val="clear" w:color="auto" w:fill="014463" w:themeFill="text2"/>
          </w:tcPr>
          <w:p w14:paraId="279668AB" w14:textId="77777777" w:rsidR="00533FC8" w:rsidRPr="00EE6C3B" w:rsidRDefault="00533FC8" w:rsidP="00014DCC">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Individuals</w:t>
            </w:r>
          </w:p>
        </w:tc>
        <w:tc>
          <w:tcPr>
            <w:tcW w:w="1208" w:type="dxa"/>
            <w:tcBorders>
              <w:top w:val="single" w:sz="8" w:space="0" w:color="auto"/>
              <w:left w:val="nil"/>
              <w:bottom w:val="single" w:sz="4" w:space="0" w:color="auto"/>
              <w:right w:val="single" w:sz="8" w:space="0" w:color="auto"/>
            </w:tcBorders>
            <w:shd w:val="clear" w:color="auto" w:fill="014463" w:themeFill="text2"/>
          </w:tcPr>
          <w:p w14:paraId="503A2C9B" w14:textId="77777777" w:rsidR="00533FC8" w:rsidRPr="00EE6C3B" w:rsidRDefault="00533FC8" w:rsidP="00014DCC">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Community Organisation</w:t>
            </w:r>
          </w:p>
        </w:tc>
      </w:tr>
      <w:tr w:rsidR="00533FC8" w:rsidRPr="00EE6C3B" w14:paraId="1DCF6D53" w14:textId="77777777" w:rsidTr="00014DCC">
        <w:trPr>
          <w:trHeight w:val="397"/>
          <w:jc w:val="center"/>
        </w:trPr>
        <w:tc>
          <w:tcPr>
            <w:tcW w:w="6653" w:type="dxa"/>
            <w:tcBorders>
              <w:top w:val="nil"/>
              <w:left w:val="single" w:sz="8" w:space="0" w:color="auto"/>
              <w:bottom w:val="single" w:sz="4" w:space="0" w:color="auto"/>
              <w:right w:val="single" w:sz="4" w:space="0" w:color="auto"/>
            </w:tcBorders>
            <w:shd w:val="clear" w:color="000000" w:fill="D9E1F2"/>
            <w:vAlign w:val="center"/>
            <w:hideMark/>
          </w:tcPr>
          <w:p w14:paraId="166B1230" w14:textId="25790807" w:rsidR="00533FC8" w:rsidRPr="00CF3A3E" w:rsidRDefault="00991AAD" w:rsidP="00014DCC">
            <w:pPr>
              <w:keepNext/>
              <w:spacing w:after="0" w:line="240" w:lineRule="auto"/>
              <w:rPr>
                <w:rFonts w:asciiTheme="majorHAnsi" w:eastAsia="Times New Roman" w:hAnsiTheme="majorHAnsi" w:cstheme="minorHAnsi"/>
                <w:color w:val="000000"/>
                <w:sz w:val="16"/>
                <w:szCs w:val="14"/>
                <w:lang w:eastAsia="en-AU"/>
              </w:rPr>
            </w:pPr>
            <w:r>
              <w:rPr>
                <w:rFonts w:asciiTheme="majorHAnsi" w:hAnsiTheme="majorHAnsi" w:cstheme="minorHAnsi"/>
                <w:sz w:val="16"/>
                <w:szCs w:val="14"/>
              </w:rPr>
              <w:t>Tailor direction to the type</w:t>
            </w:r>
            <w:r w:rsidR="00533FC8" w:rsidRPr="00CF3A3E">
              <w:rPr>
                <w:rFonts w:asciiTheme="majorHAnsi" w:hAnsiTheme="majorHAnsi" w:cstheme="minorHAnsi"/>
                <w:sz w:val="16"/>
                <w:szCs w:val="14"/>
              </w:rPr>
              <w:t xml:space="preserve"> of vessels, </w:t>
            </w:r>
            <w:r w:rsidR="009F17C6">
              <w:rPr>
                <w:rFonts w:asciiTheme="majorHAnsi" w:hAnsiTheme="majorHAnsi" w:cstheme="minorHAnsi"/>
                <w:sz w:val="16"/>
                <w:szCs w:val="14"/>
              </w:rPr>
              <w:t xml:space="preserve">such </w:t>
            </w:r>
            <w:r w:rsidR="00D45376">
              <w:rPr>
                <w:rFonts w:asciiTheme="majorHAnsi" w:hAnsiTheme="majorHAnsi" w:cstheme="minorHAnsi"/>
                <w:sz w:val="16"/>
                <w:szCs w:val="14"/>
              </w:rPr>
              <w:t xml:space="preserve">as </w:t>
            </w:r>
            <w:r w:rsidR="00D45376" w:rsidRPr="00CF3A3E">
              <w:rPr>
                <w:rFonts w:asciiTheme="majorHAnsi" w:hAnsiTheme="majorHAnsi" w:cstheme="minorHAnsi"/>
                <w:sz w:val="16"/>
                <w:szCs w:val="14"/>
              </w:rPr>
              <w:t>cruise</w:t>
            </w:r>
            <w:r w:rsidR="00533FC8" w:rsidRPr="00CF3A3E">
              <w:rPr>
                <w:rFonts w:asciiTheme="majorHAnsi" w:hAnsiTheme="majorHAnsi" w:cstheme="minorHAnsi"/>
                <w:sz w:val="16"/>
                <w:szCs w:val="14"/>
              </w:rPr>
              <w:t xml:space="preserve"> vessels</w:t>
            </w:r>
          </w:p>
        </w:tc>
        <w:tc>
          <w:tcPr>
            <w:tcW w:w="1106" w:type="dxa"/>
            <w:tcBorders>
              <w:top w:val="nil"/>
              <w:left w:val="nil"/>
              <w:bottom w:val="single" w:sz="4" w:space="0" w:color="auto"/>
              <w:right w:val="single" w:sz="4" w:space="0" w:color="auto"/>
            </w:tcBorders>
            <w:shd w:val="clear" w:color="auto" w:fill="auto"/>
            <w:noWrap/>
            <w:vAlign w:val="center"/>
          </w:tcPr>
          <w:p w14:paraId="24A56B9E" w14:textId="1EFD8E5E"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c>
          <w:tcPr>
            <w:tcW w:w="1052" w:type="dxa"/>
            <w:tcBorders>
              <w:top w:val="nil"/>
              <w:left w:val="nil"/>
              <w:bottom w:val="single" w:sz="4" w:space="0" w:color="auto"/>
              <w:right w:val="single" w:sz="4" w:space="0" w:color="auto"/>
            </w:tcBorders>
            <w:shd w:val="clear" w:color="auto" w:fill="auto"/>
            <w:noWrap/>
            <w:vAlign w:val="center"/>
          </w:tcPr>
          <w:p w14:paraId="791E5E5E"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c>
          <w:tcPr>
            <w:tcW w:w="1208" w:type="dxa"/>
            <w:tcBorders>
              <w:top w:val="nil"/>
              <w:left w:val="nil"/>
              <w:bottom w:val="single" w:sz="4" w:space="0" w:color="auto"/>
              <w:right w:val="single" w:sz="8" w:space="0" w:color="auto"/>
            </w:tcBorders>
            <w:shd w:val="clear" w:color="auto" w:fill="auto"/>
            <w:noWrap/>
            <w:vAlign w:val="center"/>
          </w:tcPr>
          <w:p w14:paraId="1D17316A"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r>
      <w:tr w:rsidR="00533FC8" w:rsidRPr="00EE6C3B" w14:paraId="0D73B965" w14:textId="77777777" w:rsidTr="00014DCC">
        <w:trPr>
          <w:trHeight w:val="397"/>
          <w:jc w:val="center"/>
        </w:trPr>
        <w:tc>
          <w:tcPr>
            <w:tcW w:w="6653" w:type="dxa"/>
            <w:tcBorders>
              <w:top w:val="nil"/>
              <w:left w:val="single" w:sz="8" w:space="0" w:color="auto"/>
              <w:bottom w:val="single" w:sz="4" w:space="0" w:color="auto"/>
              <w:right w:val="single" w:sz="4" w:space="0" w:color="auto"/>
            </w:tcBorders>
            <w:shd w:val="clear" w:color="000000" w:fill="D9E1F2"/>
            <w:vAlign w:val="center"/>
          </w:tcPr>
          <w:p w14:paraId="39A1DD5F" w14:textId="77777777" w:rsidR="00533FC8" w:rsidRPr="00CF3A3E" w:rsidRDefault="00533FC8" w:rsidP="00014DCC">
            <w:pPr>
              <w:keepNext/>
              <w:spacing w:after="0" w:line="240" w:lineRule="auto"/>
              <w:rPr>
                <w:rFonts w:asciiTheme="majorHAnsi" w:eastAsia="Times New Roman" w:hAnsiTheme="majorHAnsi" w:cstheme="minorHAnsi"/>
                <w:color w:val="000000"/>
                <w:sz w:val="16"/>
                <w:szCs w:val="14"/>
                <w:lang w:eastAsia="en-AU"/>
              </w:rPr>
            </w:pPr>
            <w:r w:rsidRPr="00CF3A3E">
              <w:rPr>
                <w:rFonts w:asciiTheme="majorHAnsi" w:hAnsiTheme="majorHAnsi" w:cstheme="minorHAnsi"/>
                <w:sz w:val="16"/>
                <w:szCs w:val="14"/>
              </w:rPr>
              <w:t>Multiple pre-arrival reporting requirements </w:t>
            </w:r>
          </w:p>
        </w:tc>
        <w:tc>
          <w:tcPr>
            <w:tcW w:w="1106" w:type="dxa"/>
            <w:tcBorders>
              <w:top w:val="nil"/>
              <w:left w:val="nil"/>
              <w:bottom w:val="single" w:sz="4" w:space="0" w:color="auto"/>
              <w:right w:val="single" w:sz="4" w:space="0" w:color="auto"/>
            </w:tcBorders>
            <w:shd w:val="clear" w:color="auto" w:fill="auto"/>
            <w:noWrap/>
            <w:vAlign w:val="center"/>
          </w:tcPr>
          <w:p w14:paraId="11B665A6"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r w:rsidRPr="005D5F61">
              <w:rPr>
                <w:rFonts w:asciiTheme="majorHAnsi" w:eastAsia="Times New Roman" w:hAnsiTheme="majorHAnsi" w:cstheme="minorHAnsi"/>
                <w:b/>
                <w:bCs/>
                <w:color w:val="000000"/>
                <w:sz w:val="16"/>
                <w:szCs w:val="16"/>
                <w:lang w:eastAsia="en-AU"/>
              </w:rPr>
              <w:t>X</w:t>
            </w:r>
          </w:p>
        </w:tc>
        <w:tc>
          <w:tcPr>
            <w:tcW w:w="1052" w:type="dxa"/>
            <w:tcBorders>
              <w:top w:val="nil"/>
              <w:left w:val="nil"/>
              <w:bottom w:val="single" w:sz="4" w:space="0" w:color="auto"/>
              <w:right w:val="single" w:sz="4" w:space="0" w:color="auto"/>
            </w:tcBorders>
            <w:shd w:val="clear" w:color="auto" w:fill="auto"/>
            <w:noWrap/>
            <w:vAlign w:val="center"/>
          </w:tcPr>
          <w:p w14:paraId="1D664682"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c>
          <w:tcPr>
            <w:tcW w:w="1208" w:type="dxa"/>
            <w:tcBorders>
              <w:top w:val="nil"/>
              <w:left w:val="nil"/>
              <w:bottom w:val="single" w:sz="4" w:space="0" w:color="auto"/>
              <w:right w:val="single" w:sz="8" w:space="0" w:color="auto"/>
            </w:tcBorders>
            <w:shd w:val="clear" w:color="auto" w:fill="auto"/>
            <w:noWrap/>
            <w:vAlign w:val="center"/>
          </w:tcPr>
          <w:p w14:paraId="77AB9B5A"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r>
      <w:tr w:rsidR="00533FC8" w:rsidRPr="00EE6C3B" w14:paraId="7CF6130A" w14:textId="77777777" w:rsidTr="00014DCC">
        <w:trPr>
          <w:trHeight w:val="397"/>
          <w:jc w:val="center"/>
        </w:trPr>
        <w:tc>
          <w:tcPr>
            <w:tcW w:w="6653" w:type="dxa"/>
            <w:tcBorders>
              <w:top w:val="nil"/>
              <w:left w:val="single" w:sz="8" w:space="0" w:color="auto"/>
              <w:bottom w:val="single" w:sz="4" w:space="0" w:color="auto"/>
              <w:right w:val="single" w:sz="4" w:space="0" w:color="auto"/>
            </w:tcBorders>
            <w:shd w:val="clear" w:color="000000" w:fill="D9E1F2"/>
            <w:vAlign w:val="center"/>
          </w:tcPr>
          <w:p w14:paraId="2B9C082C" w14:textId="77777777" w:rsidR="00533FC8" w:rsidRPr="00CF3A3E" w:rsidRDefault="00533FC8" w:rsidP="00014DCC">
            <w:pPr>
              <w:keepNext/>
              <w:spacing w:after="0" w:line="240" w:lineRule="auto"/>
              <w:rPr>
                <w:rFonts w:asciiTheme="majorHAnsi" w:eastAsia="Times New Roman" w:hAnsiTheme="majorHAnsi" w:cstheme="minorHAnsi"/>
                <w:color w:val="000000"/>
                <w:sz w:val="16"/>
                <w:szCs w:val="14"/>
                <w:lang w:eastAsia="en-AU"/>
              </w:rPr>
            </w:pPr>
            <w:r w:rsidRPr="00CF3A3E">
              <w:rPr>
                <w:rFonts w:asciiTheme="majorHAnsi" w:hAnsiTheme="majorHAnsi" w:cstheme="minorHAnsi"/>
                <w:sz w:val="16"/>
                <w:szCs w:val="14"/>
              </w:rPr>
              <w:t>Requirements to update pre-arrival reporting</w:t>
            </w:r>
          </w:p>
        </w:tc>
        <w:tc>
          <w:tcPr>
            <w:tcW w:w="1106" w:type="dxa"/>
            <w:tcBorders>
              <w:top w:val="nil"/>
              <w:left w:val="nil"/>
              <w:bottom w:val="single" w:sz="4" w:space="0" w:color="auto"/>
              <w:right w:val="single" w:sz="4" w:space="0" w:color="auto"/>
            </w:tcBorders>
            <w:shd w:val="clear" w:color="auto" w:fill="auto"/>
            <w:noWrap/>
            <w:vAlign w:val="center"/>
          </w:tcPr>
          <w:p w14:paraId="1BF24778"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r w:rsidRPr="005D5F61">
              <w:rPr>
                <w:rFonts w:asciiTheme="majorHAnsi" w:eastAsia="Times New Roman" w:hAnsiTheme="majorHAnsi" w:cstheme="minorHAnsi"/>
                <w:b/>
                <w:bCs/>
                <w:color w:val="000000"/>
                <w:sz w:val="16"/>
                <w:szCs w:val="16"/>
                <w:lang w:eastAsia="en-AU"/>
              </w:rPr>
              <w:t>X</w:t>
            </w:r>
          </w:p>
        </w:tc>
        <w:tc>
          <w:tcPr>
            <w:tcW w:w="1052" w:type="dxa"/>
            <w:tcBorders>
              <w:top w:val="nil"/>
              <w:left w:val="nil"/>
              <w:bottom w:val="single" w:sz="4" w:space="0" w:color="auto"/>
              <w:right w:val="single" w:sz="4" w:space="0" w:color="auto"/>
            </w:tcBorders>
            <w:shd w:val="clear" w:color="auto" w:fill="auto"/>
            <w:noWrap/>
            <w:vAlign w:val="center"/>
          </w:tcPr>
          <w:p w14:paraId="38AC8503"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c>
          <w:tcPr>
            <w:tcW w:w="1208" w:type="dxa"/>
            <w:tcBorders>
              <w:top w:val="nil"/>
              <w:left w:val="nil"/>
              <w:bottom w:val="single" w:sz="4" w:space="0" w:color="auto"/>
              <w:right w:val="single" w:sz="8" w:space="0" w:color="auto"/>
            </w:tcBorders>
            <w:shd w:val="clear" w:color="auto" w:fill="auto"/>
            <w:noWrap/>
            <w:vAlign w:val="center"/>
          </w:tcPr>
          <w:p w14:paraId="4D778354" w14:textId="77777777" w:rsidR="00533FC8" w:rsidRPr="005D5F61" w:rsidRDefault="00533FC8" w:rsidP="00014DCC">
            <w:pPr>
              <w:keepNext/>
              <w:spacing w:after="0" w:line="240" w:lineRule="auto"/>
              <w:jc w:val="center"/>
              <w:rPr>
                <w:rFonts w:asciiTheme="majorHAnsi" w:eastAsia="Times New Roman" w:hAnsiTheme="majorHAnsi" w:cstheme="minorHAnsi"/>
                <w:b/>
                <w:bCs/>
                <w:color w:val="000000"/>
                <w:sz w:val="16"/>
                <w:szCs w:val="16"/>
                <w:lang w:eastAsia="en-AU"/>
              </w:rPr>
            </w:pPr>
          </w:p>
        </w:tc>
      </w:tr>
    </w:tbl>
    <w:p w14:paraId="35C5D230" w14:textId="3E454D69" w:rsidR="00533FC8" w:rsidRDefault="00533FC8" w:rsidP="00F13BCF">
      <w:pPr>
        <w:pStyle w:val="Caption"/>
        <w:jc w:val="center"/>
      </w:pPr>
      <w:bookmarkStart w:id="36" w:name="_Ref80879405"/>
      <w:r>
        <w:t xml:space="preserve">Table </w:t>
      </w:r>
      <w:r w:rsidR="00733E8D">
        <w:fldChar w:fldCharType="begin"/>
      </w:r>
      <w:r w:rsidR="00733E8D">
        <w:instrText xml:space="preserve"> SEQ Table \* ARABIC </w:instrText>
      </w:r>
      <w:r w:rsidR="00733E8D">
        <w:fldChar w:fldCharType="separate"/>
      </w:r>
      <w:r w:rsidR="00B34948">
        <w:rPr>
          <w:noProof/>
        </w:rPr>
        <w:t>2</w:t>
      </w:r>
      <w:r w:rsidR="00733E8D">
        <w:rPr>
          <w:noProof/>
        </w:rPr>
        <w:fldChar w:fldCharType="end"/>
      </w:r>
      <w:bookmarkEnd w:id="36"/>
      <w:r>
        <w:t xml:space="preserve"> </w:t>
      </w:r>
      <w:r w:rsidR="00E20E89">
        <w:t>-</w:t>
      </w:r>
      <w:r w:rsidR="00B34948">
        <w:t xml:space="preserve"> </w:t>
      </w:r>
      <w:r>
        <w:t xml:space="preserve">Anticipated Regulatory Burden </w:t>
      </w:r>
      <w:r w:rsidR="00BA5EF1">
        <w:t xml:space="preserve">for Option 2, </w:t>
      </w:r>
      <w:r>
        <w:t xml:space="preserve">mapped </w:t>
      </w:r>
      <w:r>
        <w:rPr>
          <w:noProof/>
        </w:rPr>
        <w:t>against Segments</w:t>
      </w:r>
    </w:p>
    <w:p w14:paraId="011D5415" w14:textId="1A3C03BA" w:rsidR="00533FC8" w:rsidRDefault="00533FC8" w:rsidP="00533FC8">
      <w:r>
        <w:t xml:space="preserve">A regulatory burden estimate was quantified where the underlying cost drivers could be determined with a relative level of certainty. To this extent, an estimate was calculated for the proposed amendments relating to “Multiple pre-arrival reporting requirements” and “Requirements to update pre-arrival reporting”. This was quantified and is presented in </w:t>
      </w:r>
      <w:r w:rsidR="00A32A89">
        <w:rPr>
          <w:lang w:eastAsia="en-AU"/>
        </w:rPr>
        <w:fldChar w:fldCharType="begin"/>
      </w:r>
      <w:r w:rsidR="00A32A89">
        <w:rPr>
          <w:lang w:eastAsia="en-AU"/>
        </w:rPr>
        <w:instrText xml:space="preserve"> REF _Ref80888108 \h </w:instrText>
      </w:r>
      <w:r w:rsidR="00A32A89">
        <w:rPr>
          <w:lang w:eastAsia="en-AU"/>
        </w:rPr>
      </w:r>
      <w:r w:rsidR="00A32A89">
        <w:rPr>
          <w:lang w:eastAsia="en-AU"/>
        </w:rPr>
        <w:fldChar w:fldCharType="separate"/>
      </w:r>
      <w:r w:rsidR="00A32A89">
        <w:t xml:space="preserve">Table </w:t>
      </w:r>
      <w:r w:rsidR="00A32A89">
        <w:rPr>
          <w:noProof/>
        </w:rPr>
        <w:t>3</w:t>
      </w:r>
      <w:r w:rsidR="00A32A89">
        <w:rPr>
          <w:lang w:eastAsia="en-AU"/>
        </w:rPr>
        <w:fldChar w:fldCharType="end"/>
      </w:r>
      <w:r>
        <w:t xml:space="preserve"> below.</w:t>
      </w:r>
      <w:r w:rsidR="00F2486A">
        <w:t xml:space="preserve"> This assumes that the legislative </w:t>
      </w:r>
      <w:r w:rsidR="009241D8">
        <w:t xml:space="preserve">requirements for pre-arrival reporting could be supplemented through a determination to </w:t>
      </w:r>
      <w:r w:rsidR="00BB6AD4">
        <w:t xml:space="preserve">require </w:t>
      </w:r>
      <w:r w:rsidR="00800AE3">
        <w:t xml:space="preserve">further </w:t>
      </w:r>
      <w:r w:rsidR="00BB6AD4">
        <w:t>reporting. These costs would only be incurred during a declared emergency, as the determination would have no effect once the emergency ended.</w:t>
      </w:r>
    </w:p>
    <w:p w14:paraId="7C644E5E" w14:textId="0B43AC21" w:rsidR="00533FC8" w:rsidRPr="00183564" w:rsidRDefault="00533FC8" w:rsidP="00533FC8">
      <w:pPr>
        <w:pStyle w:val="BodyText"/>
      </w:pPr>
      <w:r>
        <w:fldChar w:fldCharType="begin"/>
      </w:r>
      <w:r>
        <w:instrText xml:space="preserve"> REF _Ref78897159 \h </w:instrText>
      </w:r>
      <w:r>
        <w:fldChar w:fldCharType="separate"/>
      </w:r>
      <w:r>
        <w:t xml:space="preserve">Table </w:t>
      </w:r>
      <w:r>
        <w:rPr>
          <w:noProof/>
        </w:rPr>
        <w:t>6</w:t>
      </w:r>
      <w:r>
        <w:fldChar w:fldCharType="end"/>
      </w:r>
      <w:r>
        <w:t xml:space="preserve"> below </w:t>
      </w:r>
      <w:r w:rsidRPr="00183564">
        <w:t>presents the quantifiable impacts, derived using the Regulatory Burden Measurement Framework.</w:t>
      </w:r>
    </w:p>
    <w:tbl>
      <w:tblPr>
        <w:tblStyle w:val="PMCTableStyle2"/>
        <w:tblW w:w="9543" w:type="dxa"/>
        <w:tblLook w:val="0660" w:firstRow="1" w:lastRow="1" w:firstColumn="0" w:lastColumn="0" w:noHBand="1" w:noVBand="1"/>
      </w:tblPr>
      <w:tblGrid>
        <w:gridCol w:w="3823"/>
        <w:gridCol w:w="1324"/>
        <w:gridCol w:w="1374"/>
        <w:gridCol w:w="1444"/>
        <w:gridCol w:w="1578"/>
      </w:tblGrid>
      <w:tr w:rsidR="00660BF6" w:rsidRPr="00740060" w14:paraId="776AD7FF" w14:textId="77777777" w:rsidTr="00660BF6">
        <w:trPr>
          <w:cnfStyle w:val="100000000000" w:firstRow="1" w:lastRow="0" w:firstColumn="0" w:lastColumn="0" w:oddVBand="0" w:evenVBand="0" w:oddHBand="0" w:evenHBand="0" w:firstRowFirstColumn="0" w:firstRowLastColumn="0" w:lastRowFirstColumn="0" w:lastRowLastColumn="0"/>
          <w:trHeight w:val="454"/>
        </w:trPr>
        <w:tc>
          <w:tcPr>
            <w:tcW w:w="9543" w:type="dxa"/>
            <w:gridSpan w:val="5"/>
            <w:vAlign w:val="center"/>
          </w:tcPr>
          <w:p w14:paraId="2F1F6635" w14:textId="77777777" w:rsidR="00533FC8" w:rsidRPr="00183564" w:rsidRDefault="00533FC8" w:rsidP="005602A1">
            <w:pPr>
              <w:pStyle w:val="TableHeading"/>
              <w:keepNext/>
            </w:pPr>
            <w:r>
              <w:t>Change in a</w:t>
            </w:r>
            <w:r w:rsidRPr="00740060">
              <w:t>verage</w:t>
            </w:r>
            <w:r w:rsidRPr="00183564">
              <w:t xml:space="preserve"> annual regulatory costs</w:t>
            </w:r>
            <w:r w:rsidRPr="00EC6BF7">
              <w:t xml:space="preserve"> ($ million)</w:t>
            </w:r>
          </w:p>
        </w:tc>
      </w:tr>
      <w:tr w:rsidR="00533FC8" w:rsidRPr="00740060" w14:paraId="7103333F" w14:textId="77777777" w:rsidTr="00F13BCF">
        <w:trPr>
          <w:trHeight w:val="350"/>
        </w:trPr>
        <w:tc>
          <w:tcPr>
            <w:tcW w:w="3823" w:type="dxa"/>
            <w:shd w:val="clear" w:color="auto" w:fill="F2F2F2" w:themeFill="background1" w:themeFillShade="F2"/>
          </w:tcPr>
          <w:p w14:paraId="4F1A0660" w14:textId="77777777" w:rsidR="00533FC8" w:rsidRPr="00740060" w:rsidRDefault="00533FC8" w:rsidP="00014DCC">
            <w:pPr>
              <w:pStyle w:val="TableBody"/>
              <w:keepNext/>
              <w:jc w:val="center"/>
              <w:rPr>
                <w:rFonts w:asciiTheme="majorHAnsi" w:hAnsiTheme="majorHAnsi"/>
                <w:b/>
                <w:color w:val="262626" w:themeColor="text1" w:themeTint="D9"/>
              </w:rPr>
            </w:pPr>
            <w:r>
              <w:rPr>
                <w:rFonts w:asciiTheme="majorHAnsi" w:hAnsiTheme="majorHAnsi"/>
                <w:b/>
                <w:bCs/>
                <w:color w:val="262626" w:themeColor="text1" w:themeTint="D9"/>
              </w:rPr>
              <w:t>Proposed amendment</w:t>
            </w:r>
          </w:p>
        </w:tc>
        <w:tc>
          <w:tcPr>
            <w:tcW w:w="1324" w:type="dxa"/>
            <w:shd w:val="clear" w:color="auto" w:fill="F2F2F2" w:themeFill="background1" w:themeFillShade="F2"/>
            <w:tcMar>
              <w:left w:w="142" w:type="dxa"/>
              <w:right w:w="142" w:type="dxa"/>
            </w:tcMar>
          </w:tcPr>
          <w:p w14:paraId="3473629F" w14:textId="77777777" w:rsidR="00533FC8" w:rsidRPr="00740060" w:rsidRDefault="00533FC8" w:rsidP="00014DCC">
            <w:pPr>
              <w:pStyle w:val="TableBody"/>
              <w:keepNext/>
              <w:jc w:val="center"/>
              <w:rPr>
                <w:rFonts w:asciiTheme="majorHAnsi" w:hAnsiTheme="majorHAnsi"/>
                <w:b/>
                <w:color w:val="262626" w:themeColor="text1" w:themeTint="D9"/>
              </w:rPr>
            </w:pPr>
            <w:r w:rsidRPr="00740060">
              <w:rPr>
                <w:rFonts w:asciiTheme="majorHAnsi" w:hAnsiTheme="majorHAnsi"/>
                <w:b/>
              </w:rPr>
              <w:t>Individuals</w:t>
            </w:r>
          </w:p>
        </w:tc>
        <w:tc>
          <w:tcPr>
            <w:tcW w:w="1374" w:type="dxa"/>
            <w:shd w:val="clear" w:color="auto" w:fill="F2F2F2" w:themeFill="background1" w:themeFillShade="F2"/>
            <w:tcMar>
              <w:left w:w="142" w:type="dxa"/>
              <w:right w:w="142" w:type="dxa"/>
            </w:tcMar>
          </w:tcPr>
          <w:p w14:paraId="499B4E1F" w14:textId="77777777" w:rsidR="00533FC8" w:rsidRPr="00740060" w:rsidRDefault="00533FC8" w:rsidP="00014DCC">
            <w:pPr>
              <w:pStyle w:val="TableBullet"/>
              <w:keepNext/>
              <w:numPr>
                <w:ilvl w:val="0"/>
                <w:numId w:val="0"/>
              </w:numPr>
              <w:ind w:left="284"/>
              <w:jc w:val="center"/>
              <w:rPr>
                <w:rFonts w:asciiTheme="majorHAnsi" w:hAnsiTheme="majorHAnsi"/>
                <w:b/>
              </w:rPr>
            </w:pPr>
            <w:r w:rsidRPr="00740060">
              <w:rPr>
                <w:rFonts w:asciiTheme="majorHAnsi" w:hAnsiTheme="majorHAnsi"/>
                <w:b/>
              </w:rPr>
              <w:t>Business</w:t>
            </w:r>
          </w:p>
        </w:tc>
        <w:tc>
          <w:tcPr>
            <w:tcW w:w="1444" w:type="dxa"/>
            <w:shd w:val="clear" w:color="auto" w:fill="F2F2F2" w:themeFill="background1" w:themeFillShade="F2"/>
            <w:tcMar>
              <w:left w:w="142" w:type="dxa"/>
              <w:right w:w="142" w:type="dxa"/>
            </w:tcMar>
          </w:tcPr>
          <w:p w14:paraId="6610C55D" w14:textId="77777777" w:rsidR="00533FC8" w:rsidRPr="00740060" w:rsidRDefault="00533FC8" w:rsidP="00014DCC">
            <w:pPr>
              <w:pStyle w:val="TableBody"/>
              <w:keepNext/>
              <w:jc w:val="center"/>
              <w:rPr>
                <w:rFonts w:asciiTheme="majorHAnsi" w:hAnsiTheme="majorHAnsi"/>
                <w:b/>
              </w:rPr>
            </w:pPr>
            <w:r w:rsidRPr="00740060">
              <w:rPr>
                <w:rFonts w:asciiTheme="majorHAnsi" w:hAnsiTheme="majorHAnsi"/>
                <w:b/>
              </w:rPr>
              <w:t>Community organisations</w:t>
            </w:r>
          </w:p>
        </w:tc>
        <w:tc>
          <w:tcPr>
            <w:tcW w:w="1573" w:type="dxa"/>
            <w:shd w:val="clear" w:color="auto" w:fill="F2F2F2" w:themeFill="background1" w:themeFillShade="F2"/>
            <w:tcMar>
              <w:left w:w="113" w:type="dxa"/>
              <w:right w:w="113" w:type="dxa"/>
            </w:tcMar>
          </w:tcPr>
          <w:p w14:paraId="2C707347" w14:textId="77777777" w:rsidR="00533FC8" w:rsidRPr="00740060" w:rsidRDefault="00533FC8" w:rsidP="005953FB">
            <w:pPr>
              <w:pStyle w:val="TableNumbering"/>
              <w:keepNext/>
              <w:numPr>
                <w:ilvl w:val="0"/>
                <w:numId w:val="0"/>
              </w:numPr>
              <w:jc w:val="center"/>
              <w:rPr>
                <w:rFonts w:asciiTheme="majorHAnsi" w:hAnsiTheme="majorHAnsi"/>
                <w:b/>
              </w:rPr>
            </w:pPr>
            <w:r w:rsidRPr="00740060">
              <w:rPr>
                <w:rFonts w:asciiTheme="majorHAnsi" w:hAnsiTheme="majorHAnsi"/>
                <w:b/>
              </w:rPr>
              <w:t>Total change in cost</w:t>
            </w:r>
          </w:p>
        </w:tc>
      </w:tr>
      <w:tr w:rsidR="00533FC8" w:rsidRPr="00740060" w14:paraId="1F85E6F9" w14:textId="77777777" w:rsidTr="00F13BCF">
        <w:trPr>
          <w:trHeight w:val="350"/>
        </w:trPr>
        <w:tc>
          <w:tcPr>
            <w:tcW w:w="3823" w:type="dxa"/>
          </w:tcPr>
          <w:p w14:paraId="22D1EA87" w14:textId="77777777" w:rsidR="00533FC8" w:rsidRPr="00740060" w:rsidRDefault="00533FC8" w:rsidP="00014DCC">
            <w:pPr>
              <w:pStyle w:val="TableBody"/>
              <w:keepNext/>
              <w:jc w:val="center"/>
              <w:rPr>
                <w:rFonts w:asciiTheme="majorHAnsi" w:hAnsiTheme="majorHAnsi"/>
                <w:b/>
                <w:bCs/>
              </w:rPr>
            </w:pPr>
            <w:r>
              <w:rPr>
                <w:rFonts w:asciiTheme="majorHAnsi" w:eastAsia="Times New Roman" w:hAnsiTheme="majorHAnsi" w:cs="Arial"/>
                <w:color w:val="000000"/>
                <w:szCs w:val="18"/>
                <w:lang w:eastAsia="en-AU"/>
              </w:rPr>
              <w:t>Multiple</w:t>
            </w:r>
            <w:r w:rsidRPr="00740060">
              <w:rPr>
                <w:rFonts w:asciiTheme="majorHAnsi" w:eastAsia="Times New Roman" w:hAnsiTheme="majorHAnsi" w:cs="Arial"/>
                <w:color w:val="000000"/>
                <w:szCs w:val="18"/>
                <w:lang w:eastAsia="en-AU"/>
              </w:rPr>
              <w:t xml:space="preserve"> pre-arrival reporting (sea pathway)</w:t>
            </w:r>
          </w:p>
        </w:tc>
        <w:tc>
          <w:tcPr>
            <w:tcW w:w="1324" w:type="dxa"/>
          </w:tcPr>
          <w:p w14:paraId="6A1F1395" w14:textId="77777777" w:rsidR="00533FC8" w:rsidRPr="00740060" w:rsidRDefault="00533FC8" w:rsidP="00014DCC">
            <w:pPr>
              <w:pStyle w:val="TableBody"/>
              <w:keepNext/>
              <w:ind w:right="209"/>
              <w:jc w:val="right"/>
              <w:rPr>
                <w:rFonts w:asciiTheme="majorHAnsi" w:hAnsiTheme="majorHAnsi"/>
              </w:rPr>
            </w:pPr>
          </w:p>
        </w:tc>
        <w:tc>
          <w:tcPr>
            <w:tcW w:w="1374" w:type="dxa"/>
          </w:tcPr>
          <w:p w14:paraId="453F3377" w14:textId="77777777" w:rsidR="00533FC8" w:rsidRPr="00740060" w:rsidRDefault="00533FC8" w:rsidP="00014DCC">
            <w:pPr>
              <w:pStyle w:val="TableBullet"/>
              <w:keepNext/>
              <w:numPr>
                <w:ilvl w:val="0"/>
                <w:numId w:val="0"/>
              </w:numPr>
              <w:ind w:left="284" w:hanging="284"/>
              <w:jc w:val="right"/>
              <w:rPr>
                <w:rFonts w:asciiTheme="majorHAnsi" w:hAnsiTheme="majorHAnsi"/>
              </w:rPr>
            </w:pPr>
            <w:r>
              <w:rPr>
                <w:rFonts w:asciiTheme="majorHAnsi" w:eastAsia="Times New Roman" w:hAnsiTheme="majorHAnsi" w:cs="Arial"/>
                <w:color w:val="000000"/>
                <w:szCs w:val="18"/>
                <w:lang w:eastAsia="en-AU"/>
              </w:rPr>
              <w:t>(</w:t>
            </w:r>
            <w:r w:rsidRPr="00740060">
              <w:rPr>
                <w:rFonts w:asciiTheme="majorHAnsi" w:eastAsia="Times New Roman" w:hAnsiTheme="majorHAnsi" w:cs="Arial"/>
                <w:color w:val="000000"/>
                <w:szCs w:val="18"/>
                <w:lang w:eastAsia="en-AU"/>
              </w:rPr>
              <w:t>$</w:t>
            </w:r>
            <w:r>
              <w:rPr>
                <w:rFonts w:asciiTheme="majorHAnsi" w:eastAsia="Times New Roman" w:hAnsiTheme="majorHAnsi" w:cs="Arial"/>
                <w:color w:val="000000"/>
                <w:szCs w:val="18"/>
                <w:lang w:eastAsia="en-AU"/>
              </w:rPr>
              <w:t> 0.153)</w:t>
            </w:r>
          </w:p>
        </w:tc>
        <w:tc>
          <w:tcPr>
            <w:tcW w:w="1444" w:type="dxa"/>
          </w:tcPr>
          <w:p w14:paraId="24A62B22" w14:textId="77777777" w:rsidR="00533FC8" w:rsidRPr="00740060" w:rsidRDefault="00533FC8" w:rsidP="005953FB">
            <w:pPr>
              <w:pStyle w:val="TableNumbering"/>
              <w:keepNext/>
              <w:numPr>
                <w:ilvl w:val="0"/>
                <w:numId w:val="0"/>
              </w:numPr>
              <w:ind w:right="253"/>
              <w:jc w:val="right"/>
              <w:rPr>
                <w:rFonts w:asciiTheme="majorHAnsi" w:hAnsiTheme="majorHAnsi"/>
              </w:rPr>
            </w:pPr>
          </w:p>
        </w:tc>
        <w:tc>
          <w:tcPr>
            <w:tcW w:w="1573" w:type="dxa"/>
          </w:tcPr>
          <w:p w14:paraId="15D17518" w14:textId="77777777" w:rsidR="00533FC8" w:rsidRPr="00411B4E" w:rsidRDefault="00533FC8" w:rsidP="005953FB">
            <w:pPr>
              <w:pStyle w:val="TableNumbering"/>
              <w:keepNext/>
              <w:numPr>
                <w:ilvl w:val="0"/>
                <w:numId w:val="0"/>
              </w:numPr>
              <w:tabs>
                <w:tab w:val="left" w:pos="1090"/>
              </w:tabs>
              <w:jc w:val="right"/>
              <w:rPr>
                <w:rFonts w:asciiTheme="majorHAnsi" w:hAnsiTheme="majorHAnsi"/>
                <w:b/>
                <w:bCs/>
              </w:rPr>
            </w:pPr>
            <w:r w:rsidRPr="00411B4E">
              <w:rPr>
                <w:rFonts w:asciiTheme="majorHAnsi" w:eastAsia="Times New Roman" w:hAnsiTheme="majorHAnsi" w:cs="Arial"/>
                <w:b/>
                <w:bCs/>
                <w:color w:val="000000"/>
                <w:szCs w:val="18"/>
                <w:lang w:eastAsia="en-AU"/>
              </w:rPr>
              <w:t>(</w:t>
            </w:r>
            <w:r w:rsidRPr="00740060">
              <w:rPr>
                <w:rFonts w:asciiTheme="majorHAnsi" w:eastAsia="Times New Roman" w:hAnsiTheme="majorHAnsi" w:cs="Arial"/>
                <w:b/>
                <w:bCs/>
                <w:color w:val="000000"/>
                <w:szCs w:val="18"/>
                <w:lang w:eastAsia="en-AU"/>
              </w:rPr>
              <w:t>$</w:t>
            </w:r>
            <w:r w:rsidRPr="00411B4E">
              <w:rPr>
                <w:rFonts w:asciiTheme="majorHAnsi" w:eastAsia="Times New Roman" w:hAnsiTheme="majorHAnsi" w:cs="Arial"/>
                <w:b/>
                <w:bCs/>
                <w:color w:val="000000"/>
                <w:szCs w:val="18"/>
                <w:lang w:eastAsia="en-AU"/>
              </w:rPr>
              <w:t> 0.153)</w:t>
            </w:r>
          </w:p>
        </w:tc>
      </w:tr>
      <w:tr w:rsidR="00533FC8" w:rsidRPr="00740060" w14:paraId="50C53777" w14:textId="77777777" w:rsidTr="00F13BCF">
        <w:trPr>
          <w:trHeight w:val="350"/>
        </w:trPr>
        <w:tc>
          <w:tcPr>
            <w:tcW w:w="3823" w:type="dxa"/>
          </w:tcPr>
          <w:p w14:paraId="6EFA9C58" w14:textId="77777777" w:rsidR="00533FC8" w:rsidRPr="00740060" w:rsidRDefault="00533FC8" w:rsidP="00014DCC">
            <w:pPr>
              <w:pStyle w:val="TableBody"/>
              <w:keepNext/>
              <w:jc w:val="center"/>
              <w:rPr>
                <w:rFonts w:asciiTheme="majorHAnsi" w:hAnsiTheme="majorHAnsi"/>
                <w:b/>
                <w:bCs/>
              </w:rPr>
            </w:pPr>
            <w:r>
              <w:rPr>
                <w:rFonts w:asciiTheme="majorHAnsi" w:eastAsia="Times New Roman" w:hAnsiTheme="majorHAnsi" w:cs="Arial"/>
                <w:color w:val="000000"/>
                <w:szCs w:val="18"/>
                <w:lang w:eastAsia="en-AU"/>
              </w:rPr>
              <w:t>Updated</w:t>
            </w:r>
            <w:r w:rsidRPr="00740060">
              <w:rPr>
                <w:rFonts w:asciiTheme="majorHAnsi" w:eastAsia="Times New Roman" w:hAnsiTheme="majorHAnsi" w:cs="Arial"/>
                <w:color w:val="000000"/>
                <w:szCs w:val="18"/>
                <w:lang w:eastAsia="en-AU"/>
              </w:rPr>
              <w:t xml:space="preserve"> information reporting (Sea pathway</w:t>
            </w:r>
            <w:r>
              <w:rPr>
                <w:rFonts w:asciiTheme="majorHAnsi" w:eastAsia="Times New Roman" w:hAnsiTheme="majorHAnsi" w:cs="Arial"/>
                <w:color w:val="000000"/>
                <w:szCs w:val="18"/>
                <w:lang w:eastAsia="en-AU"/>
              </w:rPr>
              <w:t xml:space="preserve"> only</w:t>
            </w:r>
            <w:r w:rsidRPr="00740060">
              <w:rPr>
                <w:rFonts w:asciiTheme="majorHAnsi" w:eastAsia="Times New Roman" w:hAnsiTheme="majorHAnsi" w:cs="Arial"/>
                <w:color w:val="000000"/>
                <w:szCs w:val="18"/>
                <w:lang w:eastAsia="en-AU"/>
              </w:rPr>
              <w:t>)</w:t>
            </w:r>
          </w:p>
        </w:tc>
        <w:tc>
          <w:tcPr>
            <w:tcW w:w="1324" w:type="dxa"/>
          </w:tcPr>
          <w:p w14:paraId="1F4CDD86" w14:textId="77777777" w:rsidR="00533FC8" w:rsidRPr="00740060" w:rsidRDefault="00533FC8" w:rsidP="00014DCC">
            <w:pPr>
              <w:pStyle w:val="TableBody"/>
              <w:keepNext/>
              <w:ind w:right="209"/>
              <w:jc w:val="right"/>
              <w:rPr>
                <w:rFonts w:asciiTheme="majorHAnsi" w:hAnsiTheme="majorHAnsi"/>
              </w:rPr>
            </w:pPr>
          </w:p>
        </w:tc>
        <w:tc>
          <w:tcPr>
            <w:tcW w:w="1374" w:type="dxa"/>
          </w:tcPr>
          <w:p w14:paraId="62DB1367" w14:textId="77777777" w:rsidR="00533FC8" w:rsidRPr="00740060" w:rsidRDefault="00533FC8" w:rsidP="00014DCC">
            <w:pPr>
              <w:pStyle w:val="TableBullet"/>
              <w:keepNext/>
              <w:numPr>
                <w:ilvl w:val="0"/>
                <w:numId w:val="0"/>
              </w:numPr>
              <w:ind w:left="284" w:hanging="284"/>
              <w:jc w:val="right"/>
              <w:rPr>
                <w:rFonts w:asciiTheme="majorHAnsi" w:hAnsiTheme="majorHAnsi"/>
              </w:rPr>
            </w:pPr>
            <w:r>
              <w:rPr>
                <w:rFonts w:asciiTheme="majorHAnsi" w:eastAsia="Times New Roman" w:hAnsiTheme="majorHAnsi" w:cs="Arial"/>
                <w:color w:val="000000"/>
                <w:szCs w:val="18"/>
                <w:lang w:eastAsia="en-AU"/>
              </w:rPr>
              <w:t>(</w:t>
            </w:r>
            <w:r w:rsidRPr="00740060">
              <w:rPr>
                <w:rFonts w:asciiTheme="majorHAnsi" w:eastAsia="Times New Roman" w:hAnsiTheme="majorHAnsi" w:cs="Arial"/>
                <w:color w:val="000000"/>
                <w:szCs w:val="18"/>
                <w:lang w:eastAsia="en-AU"/>
              </w:rPr>
              <w:t>$</w:t>
            </w:r>
            <w:r>
              <w:rPr>
                <w:rFonts w:asciiTheme="majorHAnsi" w:eastAsia="Times New Roman" w:hAnsiTheme="majorHAnsi" w:cs="Arial"/>
                <w:color w:val="000000"/>
                <w:szCs w:val="18"/>
                <w:lang w:eastAsia="en-AU"/>
              </w:rPr>
              <w:t> 0.003)</w:t>
            </w:r>
          </w:p>
        </w:tc>
        <w:tc>
          <w:tcPr>
            <w:tcW w:w="1444" w:type="dxa"/>
          </w:tcPr>
          <w:p w14:paraId="09843954" w14:textId="77777777" w:rsidR="00533FC8" w:rsidRPr="00740060" w:rsidRDefault="00533FC8" w:rsidP="005953FB">
            <w:pPr>
              <w:pStyle w:val="TableNumbering"/>
              <w:keepNext/>
              <w:numPr>
                <w:ilvl w:val="0"/>
                <w:numId w:val="0"/>
              </w:numPr>
              <w:ind w:right="253"/>
              <w:jc w:val="right"/>
              <w:rPr>
                <w:rFonts w:asciiTheme="majorHAnsi" w:hAnsiTheme="majorHAnsi"/>
              </w:rPr>
            </w:pPr>
          </w:p>
        </w:tc>
        <w:tc>
          <w:tcPr>
            <w:tcW w:w="1573" w:type="dxa"/>
          </w:tcPr>
          <w:p w14:paraId="3097F600" w14:textId="77777777" w:rsidR="00533FC8" w:rsidRPr="00411B4E" w:rsidRDefault="00533FC8" w:rsidP="005953FB">
            <w:pPr>
              <w:pStyle w:val="TableNumbering"/>
              <w:keepNext/>
              <w:numPr>
                <w:ilvl w:val="0"/>
                <w:numId w:val="0"/>
              </w:numPr>
              <w:tabs>
                <w:tab w:val="left" w:pos="1090"/>
              </w:tabs>
              <w:jc w:val="right"/>
              <w:rPr>
                <w:rFonts w:asciiTheme="majorHAnsi" w:hAnsiTheme="majorHAnsi"/>
                <w:b/>
                <w:bCs/>
              </w:rPr>
            </w:pPr>
            <w:r w:rsidRPr="00411B4E">
              <w:rPr>
                <w:rFonts w:asciiTheme="majorHAnsi" w:eastAsia="Times New Roman" w:hAnsiTheme="majorHAnsi" w:cs="Arial"/>
                <w:b/>
                <w:bCs/>
                <w:color w:val="000000"/>
                <w:szCs w:val="18"/>
                <w:lang w:eastAsia="en-AU"/>
              </w:rPr>
              <w:t>(</w:t>
            </w:r>
            <w:r w:rsidRPr="00740060">
              <w:rPr>
                <w:rFonts w:asciiTheme="majorHAnsi" w:eastAsia="Times New Roman" w:hAnsiTheme="majorHAnsi" w:cs="Arial"/>
                <w:b/>
                <w:bCs/>
                <w:color w:val="000000"/>
                <w:szCs w:val="18"/>
                <w:lang w:eastAsia="en-AU"/>
              </w:rPr>
              <w:t>$</w:t>
            </w:r>
            <w:r w:rsidRPr="00411B4E">
              <w:rPr>
                <w:rFonts w:asciiTheme="majorHAnsi" w:eastAsia="Times New Roman" w:hAnsiTheme="majorHAnsi" w:cs="Arial"/>
                <w:b/>
                <w:bCs/>
                <w:color w:val="000000"/>
                <w:szCs w:val="18"/>
                <w:lang w:eastAsia="en-AU"/>
              </w:rPr>
              <w:t> 0.0</w:t>
            </w:r>
            <w:r>
              <w:rPr>
                <w:rFonts w:asciiTheme="majorHAnsi" w:eastAsia="Times New Roman" w:hAnsiTheme="majorHAnsi" w:cs="Arial"/>
                <w:b/>
                <w:bCs/>
                <w:color w:val="000000"/>
                <w:szCs w:val="18"/>
                <w:lang w:eastAsia="en-AU"/>
              </w:rPr>
              <w:t>03</w:t>
            </w:r>
            <w:r w:rsidRPr="00411B4E">
              <w:rPr>
                <w:rFonts w:asciiTheme="majorHAnsi" w:eastAsia="Times New Roman" w:hAnsiTheme="majorHAnsi" w:cs="Arial"/>
                <w:b/>
                <w:bCs/>
                <w:color w:val="000000"/>
                <w:szCs w:val="18"/>
                <w:lang w:eastAsia="en-AU"/>
              </w:rPr>
              <w:t>)</w:t>
            </w:r>
          </w:p>
        </w:tc>
      </w:tr>
      <w:tr w:rsidR="00533FC8" w:rsidRPr="00740060" w14:paraId="71AD6C47" w14:textId="77777777" w:rsidTr="00F13BCF">
        <w:trPr>
          <w:trHeight w:val="350"/>
        </w:trPr>
        <w:tc>
          <w:tcPr>
            <w:tcW w:w="3823" w:type="dxa"/>
            <w:shd w:val="clear" w:color="auto" w:fill="F2F2F2" w:themeFill="background1" w:themeFillShade="F2"/>
          </w:tcPr>
          <w:p w14:paraId="398ABA6E" w14:textId="77777777" w:rsidR="00533FC8" w:rsidRPr="00740060" w:rsidRDefault="00533FC8" w:rsidP="00014DCC">
            <w:pPr>
              <w:pStyle w:val="TableBody"/>
              <w:keepNext/>
              <w:jc w:val="center"/>
              <w:rPr>
                <w:rFonts w:asciiTheme="majorHAnsi" w:hAnsiTheme="majorHAnsi"/>
                <w:b/>
                <w:color w:val="262626" w:themeColor="text1" w:themeTint="D9"/>
              </w:rPr>
            </w:pPr>
            <w:r w:rsidRPr="00740060">
              <w:rPr>
                <w:rFonts w:asciiTheme="majorHAnsi" w:hAnsiTheme="majorHAnsi"/>
                <w:b/>
              </w:rPr>
              <w:t>Total, by sector</w:t>
            </w:r>
          </w:p>
        </w:tc>
        <w:tc>
          <w:tcPr>
            <w:tcW w:w="1324" w:type="dxa"/>
            <w:shd w:val="clear" w:color="auto" w:fill="F2F2F2" w:themeFill="background1" w:themeFillShade="F2"/>
          </w:tcPr>
          <w:p w14:paraId="1A1ECDA7" w14:textId="277F2A51" w:rsidR="00533FC8" w:rsidRPr="00273CF8" w:rsidRDefault="007B070E" w:rsidP="00014DCC">
            <w:pPr>
              <w:pStyle w:val="TableBody"/>
              <w:keepNext/>
              <w:jc w:val="right"/>
              <w:rPr>
                <w:rFonts w:asciiTheme="majorHAnsi" w:hAnsiTheme="majorHAnsi"/>
                <w:b/>
                <w:color w:val="262626" w:themeColor="text1" w:themeTint="D9"/>
              </w:rPr>
            </w:pPr>
            <w:r w:rsidRPr="00273CF8">
              <w:rPr>
                <w:rFonts w:asciiTheme="majorHAnsi" w:hAnsiTheme="majorHAnsi"/>
                <w:b/>
              </w:rPr>
              <w:t>    -</w:t>
            </w:r>
          </w:p>
        </w:tc>
        <w:tc>
          <w:tcPr>
            <w:tcW w:w="1374" w:type="dxa"/>
            <w:shd w:val="clear" w:color="auto" w:fill="F2F2F2" w:themeFill="background1" w:themeFillShade="F2"/>
          </w:tcPr>
          <w:p w14:paraId="2AC44248" w14:textId="77777777" w:rsidR="00533FC8" w:rsidRPr="00273CF8" w:rsidRDefault="00533FC8" w:rsidP="00014DCC">
            <w:pPr>
              <w:pStyle w:val="TableBullet"/>
              <w:keepNext/>
              <w:numPr>
                <w:ilvl w:val="0"/>
                <w:numId w:val="0"/>
              </w:numPr>
              <w:ind w:left="284" w:hanging="284"/>
              <w:jc w:val="right"/>
              <w:rPr>
                <w:rFonts w:asciiTheme="majorHAnsi" w:hAnsiTheme="majorHAnsi"/>
                <w:b/>
              </w:rPr>
            </w:pPr>
            <w:r w:rsidRPr="00273CF8">
              <w:rPr>
                <w:rFonts w:asciiTheme="majorHAnsi" w:hAnsiTheme="majorHAnsi"/>
                <w:b/>
              </w:rPr>
              <w:t>($ 0.</w:t>
            </w:r>
            <w:r>
              <w:rPr>
                <w:rFonts w:asciiTheme="majorHAnsi" w:hAnsiTheme="majorHAnsi"/>
                <w:b/>
                <w:bCs/>
              </w:rPr>
              <w:t>156</w:t>
            </w:r>
            <w:r w:rsidRPr="00273CF8">
              <w:rPr>
                <w:rFonts w:asciiTheme="majorHAnsi" w:hAnsiTheme="majorHAnsi"/>
                <w:b/>
              </w:rPr>
              <w:t>)</w:t>
            </w:r>
          </w:p>
        </w:tc>
        <w:tc>
          <w:tcPr>
            <w:tcW w:w="1444" w:type="dxa"/>
            <w:shd w:val="clear" w:color="auto" w:fill="F2F2F2" w:themeFill="background1" w:themeFillShade="F2"/>
          </w:tcPr>
          <w:p w14:paraId="462F89FD" w14:textId="77777777" w:rsidR="00533FC8" w:rsidRPr="00273CF8" w:rsidRDefault="00533FC8" w:rsidP="007B070E">
            <w:pPr>
              <w:pStyle w:val="TableNumbering"/>
              <w:keepNext/>
              <w:numPr>
                <w:ilvl w:val="0"/>
                <w:numId w:val="0"/>
              </w:numPr>
              <w:ind w:right="253"/>
              <w:jc w:val="right"/>
              <w:rPr>
                <w:rFonts w:asciiTheme="majorHAnsi" w:hAnsiTheme="majorHAnsi"/>
                <w:b/>
              </w:rPr>
            </w:pPr>
            <w:r w:rsidRPr="00273CF8">
              <w:rPr>
                <w:rFonts w:asciiTheme="majorHAnsi" w:hAnsiTheme="majorHAnsi"/>
                <w:b/>
              </w:rPr>
              <w:t>    -</w:t>
            </w:r>
          </w:p>
        </w:tc>
        <w:tc>
          <w:tcPr>
            <w:tcW w:w="1573" w:type="dxa"/>
            <w:shd w:val="clear" w:color="auto" w:fill="F2F2F2" w:themeFill="background1" w:themeFillShade="F2"/>
          </w:tcPr>
          <w:p w14:paraId="28CD93D7" w14:textId="1ED3306C" w:rsidR="00533FC8" w:rsidRPr="00740060" w:rsidRDefault="00533FC8" w:rsidP="007B070E">
            <w:pPr>
              <w:pStyle w:val="TableNumbering"/>
              <w:keepNext/>
              <w:numPr>
                <w:ilvl w:val="0"/>
                <w:numId w:val="0"/>
              </w:numPr>
              <w:tabs>
                <w:tab w:val="left" w:pos="1090"/>
              </w:tabs>
              <w:jc w:val="right"/>
              <w:rPr>
                <w:rFonts w:asciiTheme="majorHAnsi" w:hAnsiTheme="majorHAnsi"/>
                <w:b/>
              </w:rPr>
            </w:pPr>
            <w:r w:rsidRPr="00740060">
              <w:rPr>
                <w:rFonts w:asciiTheme="majorHAnsi" w:hAnsiTheme="majorHAnsi"/>
                <w:b/>
              </w:rPr>
              <w:t>($ 0.</w:t>
            </w:r>
            <w:r w:rsidR="007B070E">
              <w:rPr>
                <w:rFonts w:asciiTheme="majorHAnsi" w:hAnsiTheme="majorHAnsi"/>
                <w:b/>
                <w:bCs/>
              </w:rPr>
              <w:t>156</w:t>
            </w:r>
            <w:r w:rsidRPr="00740060">
              <w:rPr>
                <w:rFonts w:asciiTheme="majorHAnsi" w:hAnsiTheme="majorHAnsi"/>
                <w:b/>
              </w:rPr>
              <w:t>)</w:t>
            </w:r>
          </w:p>
        </w:tc>
      </w:tr>
    </w:tbl>
    <w:p w14:paraId="251FE372" w14:textId="491DD162" w:rsidR="00533FC8" w:rsidRPr="00183564" w:rsidRDefault="00533FC8" w:rsidP="00533FC8">
      <w:pPr>
        <w:pStyle w:val="Caption"/>
        <w:keepNext w:val="0"/>
        <w:jc w:val="center"/>
        <w:rPr>
          <w:sz w:val="24"/>
          <w:szCs w:val="24"/>
        </w:rPr>
      </w:pPr>
      <w:bookmarkStart w:id="37" w:name="_Ref80888108"/>
      <w:r>
        <w:t xml:space="preserve">Table </w:t>
      </w:r>
      <w:r w:rsidR="00733E8D">
        <w:fldChar w:fldCharType="begin"/>
      </w:r>
      <w:r w:rsidR="00733E8D">
        <w:instrText xml:space="preserve"> SEQ Table \* ARABIC </w:instrText>
      </w:r>
      <w:r w:rsidR="00733E8D">
        <w:fldChar w:fldCharType="separate"/>
      </w:r>
      <w:r w:rsidR="00B34948">
        <w:rPr>
          <w:noProof/>
        </w:rPr>
        <w:t>3</w:t>
      </w:r>
      <w:r w:rsidR="00733E8D">
        <w:rPr>
          <w:noProof/>
        </w:rPr>
        <w:fldChar w:fldCharType="end"/>
      </w:r>
      <w:bookmarkEnd w:id="37"/>
      <w:r>
        <w:t xml:space="preserve"> – Option </w:t>
      </w:r>
      <w:r w:rsidR="00BA5EF1">
        <w:t>2</w:t>
      </w:r>
      <w:r>
        <w:t xml:space="preserve"> Regulatory Burden Estimate</w:t>
      </w:r>
    </w:p>
    <w:p w14:paraId="7262D0DA" w14:textId="354F7911" w:rsidR="009532E3" w:rsidRPr="00183564" w:rsidRDefault="00533FC8" w:rsidP="009F10F2">
      <w:r>
        <w:rPr>
          <w:lang w:eastAsia="en-AU"/>
        </w:rPr>
        <w:t xml:space="preserve">The data and assumptions underpinning the regulatory burden estimate outlined in </w:t>
      </w:r>
      <w:r w:rsidR="00A32A89">
        <w:rPr>
          <w:lang w:eastAsia="en-AU"/>
        </w:rPr>
        <w:fldChar w:fldCharType="begin"/>
      </w:r>
      <w:r w:rsidR="00A32A89">
        <w:rPr>
          <w:lang w:eastAsia="en-AU"/>
        </w:rPr>
        <w:instrText xml:space="preserve"> REF _Ref80888108 \h </w:instrText>
      </w:r>
      <w:r w:rsidR="00A32A89">
        <w:rPr>
          <w:lang w:eastAsia="en-AU"/>
        </w:rPr>
      </w:r>
      <w:r w:rsidR="00A32A89">
        <w:rPr>
          <w:lang w:eastAsia="en-AU"/>
        </w:rPr>
        <w:fldChar w:fldCharType="separate"/>
      </w:r>
      <w:r w:rsidR="00A32A89">
        <w:t xml:space="preserve">Table </w:t>
      </w:r>
      <w:r w:rsidR="00A32A89">
        <w:rPr>
          <w:noProof/>
        </w:rPr>
        <w:t>3</w:t>
      </w:r>
      <w:r w:rsidR="00A32A89">
        <w:rPr>
          <w:lang w:eastAsia="en-AU"/>
        </w:rPr>
        <w:fldChar w:fldCharType="end"/>
      </w:r>
      <w:r w:rsidRPr="000F79A8">
        <w:rPr>
          <w:lang w:eastAsia="en-AU"/>
        </w:rPr>
        <w:t xml:space="preserve"> </w:t>
      </w:r>
      <w:r>
        <w:rPr>
          <w:lang w:eastAsia="en-AU"/>
        </w:rPr>
        <w:t>above, are presented in Appendix C below.</w:t>
      </w:r>
    </w:p>
    <w:p w14:paraId="22FAAD66" w14:textId="3D166E66" w:rsidR="00E20EED" w:rsidRPr="00183564" w:rsidRDefault="00E20EED" w:rsidP="0019332C">
      <w:pPr>
        <w:pStyle w:val="Heading3"/>
      </w:pPr>
      <w:bookmarkStart w:id="38" w:name="_Toc80965314"/>
      <w:r w:rsidRPr="00183564">
        <w:lastRenderedPageBreak/>
        <w:t xml:space="preserve">4.3 Option 3 – </w:t>
      </w:r>
      <w:r w:rsidR="00252EAC" w:rsidRPr="00183564">
        <w:t>Amendments to the Biosecurity Act</w:t>
      </w:r>
      <w:bookmarkEnd w:id="38"/>
    </w:p>
    <w:p w14:paraId="5599514F" w14:textId="22BF2348" w:rsidR="004765A5" w:rsidRPr="00183564" w:rsidRDefault="004765A5" w:rsidP="00323B73">
      <w:pPr>
        <w:pStyle w:val="Heading4"/>
        <w:keepNext/>
      </w:pPr>
      <w:r w:rsidRPr="00183564">
        <w:t>Overview</w:t>
      </w:r>
    </w:p>
    <w:p w14:paraId="496C65F3" w14:textId="5AEB4B9F" w:rsidR="00E335BF" w:rsidRPr="00183564" w:rsidRDefault="00E335BF" w:rsidP="00C0092E">
      <w:pPr>
        <w:keepNext/>
      </w:pPr>
      <w:r w:rsidRPr="00183564">
        <w:t xml:space="preserve">As noted </w:t>
      </w:r>
      <w:r w:rsidR="00EA0BA8" w:rsidRPr="00183564">
        <w:t xml:space="preserve">at section </w:t>
      </w:r>
      <w:r w:rsidR="00707E22" w:rsidRPr="00183564">
        <w:t xml:space="preserve">3.3 above, </w:t>
      </w:r>
      <w:r w:rsidR="004765A5" w:rsidRPr="00183564">
        <w:t xml:space="preserve">Option 3 </w:t>
      </w:r>
      <w:r w:rsidR="00F239C6" w:rsidRPr="00183564">
        <w:t>proposes</w:t>
      </w:r>
      <w:r w:rsidR="002A5D6C" w:rsidRPr="00183564">
        <w:t xml:space="preserve"> the following amendments to the Biosecurity Act:</w:t>
      </w:r>
    </w:p>
    <w:tbl>
      <w:tblPr>
        <w:tblStyle w:val="PMCTableStyle2"/>
        <w:tblW w:w="0" w:type="auto"/>
        <w:jc w:val="center"/>
        <w:tblLook w:val="0660" w:firstRow="1" w:lastRow="1" w:firstColumn="0" w:lastColumn="0" w:noHBand="1" w:noVBand="1"/>
      </w:tblPr>
      <w:tblGrid>
        <w:gridCol w:w="704"/>
        <w:gridCol w:w="8222"/>
      </w:tblGrid>
      <w:tr w:rsidR="000960AA" w:rsidRPr="00183564" w14:paraId="4D66C054" w14:textId="77777777" w:rsidTr="009C36C6">
        <w:trPr>
          <w:cnfStyle w:val="100000000000" w:firstRow="1" w:lastRow="0" w:firstColumn="0" w:lastColumn="0" w:oddVBand="0" w:evenVBand="0" w:oddHBand="0" w:evenHBand="0" w:firstRowFirstColumn="0" w:firstRowLastColumn="0" w:lastRowFirstColumn="0" w:lastRowLastColumn="0"/>
          <w:trHeight w:val="350"/>
          <w:jc w:val="center"/>
        </w:trPr>
        <w:tc>
          <w:tcPr>
            <w:tcW w:w="704" w:type="dxa"/>
          </w:tcPr>
          <w:p w14:paraId="1A188A93" w14:textId="35181585" w:rsidR="000960AA" w:rsidRPr="00183564" w:rsidRDefault="000960AA" w:rsidP="005D7DE7">
            <w:pPr>
              <w:pStyle w:val="TableHeading"/>
              <w:keepNext/>
              <w:jc w:val="center"/>
              <w:rPr>
                <w:szCs w:val="18"/>
              </w:rPr>
            </w:pPr>
          </w:p>
        </w:tc>
        <w:tc>
          <w:tcPr>
            <w:tcW w:w="8222" w:type="dxa"/>
          </w:tcPr>
          <w:p w14:paraId="3A88F9CD" w14:textId="068D8044" w:rsidR="000960AA" w:rsidRPr="00183564" w:rsidRDefault="00E47D7C" w:rsidP="005D7DE7">
            <w:pPr>
              <w:pStyle w:val="TableHeading"/>
              <w:keepNext/>
              <w:jc w:val="center"/>
              <w:rPr>
                <w:szCs w:val="18"/>
              </w:rPr>
            </w:pPr>
            <w:r w:rsidRPr="00183564">
              <w:rPr>
                <w:szCs w:val="18"/>
              </w:rPr>
              <w:t>Proposed Amendment</w:t>
            </w:r>
            <w:r w:rsidR="009C36C6" w:rsidRPr="00183564">
              <w:rPr>
                <w:szCs w:val="18"/>
              </w:rPr>
              <w:t>s</w:t>
            </w:r>
          </w:p>
        </w:tc>
      </w:tr>
      <w:tr w:rsidR="000960AA" w:rsidRPr="00183564" w14:paraId="12C4EE49" w14:textId="77777777" w:rsidTr="009C36C6">
        <w:trPr>
          <w:trHeight w:val="283"/>
          <w:jc w:val="center"/>
        </w:trPr>
        <w:tc>
          <w:tcPr>
            <w:tcW w:w="704" w:type="dxa"/>
          </w:tcPr>
          <w:p w14:paraId="2541AC99" w14:textId="0B67C58C" w:rsidR="000960AA" w:rsidRPr="00183564" w:rsidRDefault="00800AE3" w:rsidP="00E47D7C">
            <w:pPr>
              <w:pStyle w:val="TableBody"/>
              <w:keepNext/>
              <w:jc w:val="center"/>
              <w:rPr>
                <w:rFonts w:asciiTheme="majorHAnsi" w:hAnsiTheme="majorHAnsi"/>
                <w:b/>
                <w:color w:val="262626" w:themeColor="text1" w:themeTint="D9"/>
                <w:szCs w:val="18"/>
              </w:rPr>
            </w:pPr>
            <w:r>
              <w:rPr>
                <w:rFonts w:asciiTheme="majorHAnsi" w:hAnsiTheme="majorHAnsi"/>
                <w:b/>
                <w:color w:val="262626" w:themeColor="text1" w:themeTint="D9"/>
                <w:szCs w:val="18"/>
              </w:rPr>
              <w:t>1</w:t>
            </w:r>
          </w:p>
        </w:tc>
        <w:tc>
          <w:tcPr>
            <w:tcW w:w="8222" w:type="dxa"/>
          </w:tcPr>
          <w:p w14:paraId="638729A5" w14:textId="2ADE4B0A" w:rsidR="000960AA" w:rsidRPr="00183564" w:rsidRDefault="00C0092E" w:rsidP="0027113E">
            <w:pPr>
              <w:pStyle w:val="TableBody"/>
              <w:keepNext/>
              <w:rPr>
                <w:rFonts w:asciiTheme="majorHAnsi" w:hAnsiTheme="majorHAnsi"/>
                <w:color w:val="262626" w:themeColor="text1" w:themeTint="D9"/>
                <w:szCs w:val="18"/>
              </w:rPr>
            </w:pPr>
            <w:r w:rsidRPr="00183564">
              <w:rPr>
                <w:rFonts w:asciiTheme="majorHAnsi" w:hAnsiTheme="majorHAnsi"/>
                <w:szCs w:val="18"/>
              </w:rPr>
              <w:t>Multiple pre-arrival reporting requirements </w:t>
            </w:r>
          </w:p>
        </w:tc>
      </w:tr>
      <w:tr w:rsidR="000960AA" w:rsidRPr="00183564" w14:paraId="7E0A28A8" w14:textId="77777777" w:rsidTr="009C36C6">
        <w:trPr>
          <w:trHeight w:val="283"/>
          <w:jc w:val="center"/>
        </w:trPr>
        <w:tc>
          <w:tcPr>
            <w:tcW w:w="704" w:type="dxa"/>
          </w:tcPr>
          <w:p w14:paraId="27F626F6" w14:textId="27125092" w:rsidR="000960AA" w:rsidRPr="00183564" w:rsidRDefault="00800AE3" w:rsidP="00E47D7C">
            <w:pPr>
              <w:pStyle w:val="TableBody"/>
              <w:keepNext/>
              <w:jc w:val="center"/>
              <w:rPr>
                <w:rFonts w:asciiTheme="majorHAnsi" w:hAnsiTheme="majorHAnsi"/>
                <w:b/>
                <w:color w:val="262626" w:themeColor="text1" w:themeTint="D9"/>
                <w:szCs w:val="18"/>
              </w:rPr>
            </w:pPr>
            <w:r>
              <w:rPr>
                <w:rFonts w:asciiTheme="majorHAnsi" w:hAnsiTheme="majorHAnsi"/>
                <w:b/>
                <w:color w:val="262626" w:themeColor="text1" w:themeTint="D9"/>
                <w:szCs w:val="18"/>
              </w:rPr>
              <w:t>2</w:t>
            </w:r>
          </w:p>
        </w:tc>
        <w:tc>
          <w:tcPr>
            <w:tcW w:w="8222" w:type="dxa"/>
          </w:tcPr>
          <w:p w14:paraId="294166F0" w14:textId="2CF19387" w:rsidR="000960AA" w:rsidRPr="00183564" w:rsidRDefault="00C0092E" w:rsidP="0027113E">
            <w:pPr>
              <w:pStyle w:val="TableBody"/>
              <w:keepNext/>
              <w:rPr>
                <w:rFonts w:asciiTheme="majorHAnsi" w:hAnsiTheme="majorHAnsi"/>
                <w:color w:val="262626" w:themeColor="text1" w:themeTint="D9"/>
                <w:szCs w:val="18"/>
              </w:rPr>
            </w:pPr>
            <w:r w:rsidRPr="00183564">
              <w:rPr>
                <w:rFonts w:asciiTheme="majorHAnsi" w:hAnsiTheme="majorHAnsi"/>
                <w:szCs w:val="18"/>
              </w:rPr>
              <w:t>Requirements to update pre-arrival reporting</w:t>
            </w:r>
          </w:p>
        </w:tc>
      </w:tr>
      <w:tr w:rsidR="000960AA" w:rsidRPr="00183564" w14:paraId="233DDC2C" w14:textId="77777777" w:rsidTr="009C36C6">
        <w:trPr>
          <w:trHeight w:val="283"/>
          <w:jc w:val="center"/>
        </w:trPr>
        <w:tc>
          <w:tcPr>
            <w:tcW w:w="704" w:type="dxa"/>
          </w:tcPr>
          <w:p w14:paraId="66C6ABB7" w14:textId="04A9BA2C" w:rsidR="000960AA" w:rsidRPr="00183564" w:rsidRDefault="00800AE3" w:rsidP="00E47D7C">
            <w:pPr>
              <w:pStyle w:val="TableBody"/>
              <w:keepNext/>
              <w:jc w:val="center"/>
              <w:rPr>
                <w:rFonts w:asciiTheme="majorHAnsi" w:hAnsiTheme="majorHAnsi"/>
                <w:b/>
                <w:color w:val="262626" w:themeColor="text1" w:themeTint="D9"/>
                <w:szCs w:val="18"/>
              </w:rPr>
            </w:pPr>
            <w:r>
              <w:rPr>
                <w:rFonts w:asciiTheme="majorHAnsi" w:hAnsiTheme="majorHAnsi"/>
                <w:b/>
                <w:color w:val="262626" w:themeColor="text1" w:themeTint="D9"/>
                <w:szCs w:val="18"/>
              </w:rPr>
              <w:t>3</w:t>
            </w:r>
          </w:p>
        </w:tc>
        <w:tc>
          <w:tcPr>
            <w:tcW w:w="8222" w:type="dxa"/>
          </w:tcPr>
          <w:p w14:paraId="6EB680E4" w14:textId="4AB5742A" w:rsidR="000960AA" w:rsidRPr="00183564" w:rsidRDefault="00C0092E" w:rsidP="0027113E">
            <w:pPr>
              <w:pStyle w:val="TableBody"/>
              <w:keepNext/>
              <w:rPr>
                <w:rFonts w:asciiTheme="majorHAnsi" w:hAnsiTheme="majorHAnsi"/>
                <w:color w:val="262626" w:themeColor="text1" w:themeTint="D9"/>
                <w:szCs w:val="18"/>
              </w:rPr>
            </w:pPr>
            <w:r w:rsidRPr="00183564">
              <w:rPr>
                <w:rFonts w:asciiTheme="majorHAnsi" w:hAnsiTheme="majorHAnsi"/>
                <w:szCs w:val="18"/>
              </w:rPr>
              <w:t>Expand negative pratique obligations</w:t>
            </w:r>
          </w:p>
        </w:tc>
      </w:tr>
      <w:tr w:rsidR="000960AA" w:rsidRPr="00183564" w14:paraId="24A574D5" w14:textId="77777777" w:rsidTr="009C36C6">
        <w:trPr>
          <w:trHeight w:val="283"/>
          <w:jc w:val="center"/>
        </w:trPr>
        <w:tc>
          <w:tcPr>
            <w:tcW w:w="704" w:type="dxa"/>
          </w:tcPr>
          <w:p w14:paraId="17345090" w14:textId="7E57E83F" w:rsidR="000960AA" w:rsidRPr="00183564" w:rsidRDefault="00800AE3" w:rsidP="00E47D7C">
            <w:pPr>
              <w:pStyle w:val="TableBody"/>
              <w:keepNext/>
              <w:jc w:val="center"/>
              <w:rPr>
                <w:rFonts w:asciiTheme="majorHAnsi" w:hAnsiTheme="majorHAnsi"/>
                <w:b/>
                <w:color w:val="262626" w:themeColor="text1" w:themeTint="D9"/>
                <w:szCs w:val="18"/>
              </w:rPr>
            </w:pPr>
            <w:r>
              <w:rPr>
                <w:rFonts w:asciiTheme="majorHAnsi" w:hAnsiTheme="majorHAnsi"/>
                <w:b/>
                <w:color w:val="262626" w:themeColor="text1" w:themeTint="D9"/>
                <w:szCs w:val="18"/>
              </w:rPr>
              <w:t>4</w:t>
            </w:r>
          </w:p>
        </w:tc>
        <w:tc>
          <w:tcPr>
            <w:tcW w:w="8222" w:type="dxa"/>
          </w:tcPr>
          <w:p w14:paraId="4D037037" w14:textId="2E364C18" w:rsidR="000960AA" w:rsidRPr="00183564" w:rsidRDefault="00C0092E" w:rsidP="0027113E">
            <w:pPr>
              <w:pStyle w:val="TableBody"/>
              <w:keepNext/>
              <w:rPr>
                <w:rFonts w:asciiTheme="majorHAnsi" w:hAnsiTheme="majorHAnsi"/>
                <w:color w:val="262626" w:themeColor="text1" w:themeTint="D9"/>
                <w:szCs w:val="18"/>
              </w:rPr>
            </w:pPr>
            <w:r w:rsidRPr="00183564">
              <w:rPr>
                <w:rFonts w:asciiTheme="majorHAnsi" w:hAnsiTheme="majorHAnsi"/>
                <w:szCs w:val="18"/>
              </w:rPr>
              <w:t>Create a power to issue directions to apply to a group of persons </w:t>
            </w:r>
          </w:p>
        </w:tc>
      </w:tr>
    </w:tbl>
    <w:p w14:paraId="46ACBE6B" w14:textId="40B240AE" w:rsidR="00D82D92" w:rsidRDefault="00D82D92" w:rsidP="00D82D92">
      <w:pPr>
        <w:pStyle w:val="Caption"/>
        <w:jc w:val="center"/>
      </w:pPr>
      <w:r>
        <w:t xml:space="preserve">Table </w:t>
      </w:r>
      <w:r w:rsidR="00733E8D">
        <w:fldChar w:fldCharType="begin"/>
      </w:r>
      <w:r w:rsidR="00733E8D">
        <w:instrText xml:space="preserve"> SEQ Table \* ARABIC </w:instrText>
      </w:r>
      <w:r w:rsidR="00733E8D">
        <w:fldChar w:fldCharType="separate"/>
      </w:r>
      <w:r w:rsidR="00B34948">
        <w:rPr>
          <w:noProof/>
        </w:rPr>
        <w:t>4</w:t>
      </w:r>
      <w:r w:rsidR="00733E8D">
        <w:rPr>
          <w:noProof/>
        </w:rPr>
        <w:fldChar w:fldCharType="end"/>
      </w:r>
      <w:r>
        <w:t xml:space="preserve"> – Proposed </w:t>
      </w:r>
      <w:r w:rsidR="00F335F2">
        <w:t xml:space="preserve">legislative </w:t>
      </w:r>
      <w:r>
        <w:t>amendments</w:t>
      </w:r>
    </w:p>
    <w:p w14:paraId="4382B548" w14:textId="4780ED62" w:rsidR="002D1C95" w:rsidRDefault="00B86464" w:rsidP="00707E22">
      <w:r w:rsidRPr="00183564">
        <w:t>Section 4.3.1 below highlights the key benefits that w</w:t>
      </w:r>
      <w:r w:rsidR="00DA4BCC">
        <w:t>ould</w:t>
      </w:r>
      <w:r w:rsidRPr="00183564">
        <w:t xml:space="preserve"> be derived from the enactment of these </w:t>
      </w:r>
      <w:r w:rsidR="00CC0F16">
        <w:t xml:space="preserve">legislative </w:t>
      </w:r>
      <w:r w:rsidRPr="00183564">
        <w:t>amendments</w:t>
      </w:r>
      <w:r w:rsidR="00F3008E">
        <w:t xml:space="preserve">. </w:t>
      </w:r>
      <w:r w:rsidR="00F25E89" w:rsidRPr="00F25E89">
        <w:t xml:space="preserve">The amendments aim to address the risk of listed human diseases entering Australian </w:t>
      </w:r>
      <w:r w:rsidR="00A4328D">
        <w:t>t</w:t>
      </w:r>
      <w:r w:rsidR="00F25E89" w:rsidRPr="00F25E89">
        <w:t>erritory through international vessel arrivals and would apply in the context of the current COVID-19 pandemic, while also providing flexibility to manage infectious disease risks that Australia may face in the future</w:t>
      </w:r>
      <w:r w:rsidR="00EC342F">
        <w:t>.</w:t>
      </w:r>
      <w:r w:rsidR="00083555">
        <w:t xml:space="preserve"> </w:t>
      </w:r>
      <w:r w:rsidR="00996F07">
        <w:t>S</w:t>
      </w:r>
      <w:r w:rsidR="009267DA" w:rsidRPr="00183564">
        <w:t xml:space="preserve">ection 4.3.2 </w:t>
      </w:r>
      <w:r w:rsidR="009D553C" w:rsidRPr="00183564">
        <w:t>focuss</w:t>
      </w:r>
      <w:r w:rsidR="00DA4BCC">
        <w:t>es</w:t>
      </w:r>
      <w:r w:rsidR="009D553C" w:rsidRPr="00183564">
        <w:t xml:space="preserve"> on</w:t>
      </w:r>
      <w:r w:rsidR="009267DA" w:rsidRPr="00183564">
        <w:t xml:space="preserve"> the cost</w:t>
      </w:r>
      <w:r w:rsidR="00115A37" w:rsidRPr="00183564">
        <w:t>s,</w:t>
      </w:r>
      <w:r w:rsidR="00E56348" w:rsidRPr="00183564">
        <w:t xml:space="preserve"> </w:t>
      </w:r>
      <w:r w:rsidR="009267DA" w:rsidRPr="00183564">
        <w:t xml:space="preserve">quantifiable </w:t>
      </w:r>
      <w:r w:rsidR="00E56348" w:rsidRPr="00183564">
        <w:t>or otherwise</w:t>
      </w:r>
      <w:r w:rsidR="001E233E" w:rsidRPr="00183564">
        <w:t>, associated with adopting the</w:t>
      </w:r>
      <w:r w:rsidR="00FE698C" w:rsidRPr="00183564">
        <w:t xml:space="preserve"> proposed</w:t>
      </w:r>
      <w:r w:rsidR="001E233E" w:rsidRPr="00183564">
        <w:t xml:space="preserve"> changes.</w:t>
      </w:r>
    </w:p>
    <w:p w14:paraId="05DAED49" w14:textId="1744E75C" w:rsidR="00E20EED" w:rsidRPr="00183564" w:rsidRDefault="00901035" w:rsidP="008C6417">
      <w:pPr>
        <w:pStyle w:val="Heading4"/>
        <w:keepNext/>
      </w:pPr>
      <w:r w:rsidRPr="00183564">
        <w:t>4.3.1 Benefit</w:t>
      </w:r>
      <w:r w:rsidR="005377A6" w:rsidRPr="00183564">
        <w:t>s</w:t>
      </w:r>
    </w:p>
    <w:p w14:paraId="388E529F" w14:textId="70EB762F" w:rsidR="006A4BE2" w:rsidRPr="000F79A8" w:rsidRDefault="00192052" w:rsidP="00271E9D">
      <w:pPr>
        <w:keepNext/>
        <w:spacing w:before="40" w:after="80"/>
        <w:rPr>
          <w:b/>
        </w:rPr>
      </w:pPr>
      <w:bookmarkStart w:id="39" w:name="OLE_LINK1"/>
      <w:r w:rsidRPr="000F79A8">
        <w:rPr>
          <w:b/>
        </w:rPr>
        <w:t xml:space="preserve">Protection of public health </w:t>
      </w:r>
    </w:p>
    <w:bookmarkEnd w:id="39"/>
    <w:p w14:paraId="18CF9AD9" w14:textId="3B7BA703" w:rsidR="009A1A81" w:rsidRPr="000F79A8" w:rsidRDefault="009A1A81" w:rsidP="00271E9D">
      <w:pPr>
        <w:keepNext/>
        <w:rPr>
          <w:i/>
          <w:iCs/>
        </w:rPr>
      </w:pPr>
      <w:r w:rsidRPr="000F79A8">
        <w:rPr>
          <w:i/>
          <w:iCs/>
        </w:rPr>
        <w:t xml:space="preserve">Flexibility afforded to </w:t>
      </w:r>
      <w:r w:rsidR="00D5352B" w:rsidRPr="000F79A8">
        <w:rPr>
          <w:i/>
          <w:iCs/>
        </w:rPr>
        <w:t xml:space="preserve">Human </w:t>
      </w:r>
      <w:r w:rsidR="006426EC" w:rsidRPr="000F79A8">
        <w:rPr>
          <w:i/>
          <w:iCs/>
        </w:rPr>
        <w:t>Biosecurity Officers</w:t>
      </w:r>
      <w:r w:rsidR="00D5352B" w:rsidRPr="000F79A8">
        <w:rPr>
          <w:i/>
          <w:iCs/>
        </w:rPr>
        <w:t xml:space="preserve"> (HBOs)</w:t>
      </w:r>
    </w:p>
    <w:p w14:paraId="21915742" w14:textId="57D8E0CA" w:rsidR="003E685D" w:rsidRPr="00183564" w:rsidRDefault="003C2E5D" w:rsidP="00BF1C97">
      <w:pPr>
        <w:pStyle w:val="BodyText"/>
      </w:pPr>
      <w:r w:rsidRPr="00183564">
        <w:t xml:space="preserve">The Act </w:t>
      </w:r>
      <w:r w:rsidR="00BB24FB" w:rsidRPr="00183564">
        <w:t>currently</w:t>
      </w:r>
      <w:r w:rsidRPr="00183564">
        <w:t xml:space="preserve"> provides a framework to manage risks to human health through the imposition of a human biosecurity control order (HBCO)</w:t>
      </w:r>
      <w:r w:rsidR="00E01A2E" w:rsidRPr="00183564">
        <w:t>. T</w:t>
      </w:r>
      <w:r w:rsidR="00BB24FB" w:rsidRPr="00183564">
        <w:t>his order</w:t>
      </w:r>
      <w:r w:rsidRPr="00183564">
        <w:t xml:space="preserve"> can be imposed on</w:t>
      </w:r>
      <w:r w:rsidR="00E01A2E" w:rsidRPr="00183564">
        <w:t xml:space="preserve"> </w:t>
      </w:r>
      <w:r w:rsidRPr="00183564">
        <w:t>individuals</w:t>
      </w:r>
      <w:r w:rsidR="00600414" w:rsidRPr="00183564">
        <w:t xml:space="preserve"> only</w:t>
      </w:r>
      <w:r w:rsidR="00E01A2E" w:rsidRPr="00183564">
        <w:t xml:space="preserve"> </w:t>
      </w:r>
      <w:r w:rsidR="008105A1" w:rsidRPr="00183564">
        <w:t xml:space="preserve">and is </w:t>
      </w:r>
      <w:r w:rsidR="00FB649D" w:rsidRPr="00183564">
        <w:t xml:space="preserve">therefore </w:t>
      </w:r>
      <w:r w:rsidR="008105A1" w:rsidRPr="00183564">
        <w:t xml:space="preserve">impractical when </w:t>
      </w:r>
      <w:r w:rsidR="009E67E7" w:rsidRPr="00183564">
        <w:t xml:space="preserve">assessing and managing </w:t>
      </w:r>
      <w:r w:rsidR="008B7137" w:rsidRPr="00183564">
        <w:t>the</w:t>
      </w:r>
      <w:r w:rsidR="009E67E7" w:rsidRPr="00183564">
        <w:t xml:space="preserve"> human health risks for a group of people</w:t>
      </w:r>
      <w:r w:rsidRPr="00183564">
        <w:t>.</w:t>
      </w:r>
      <w:r w:rsidR="004D1D72" w:rsidRPr="00C11299">
        <w:t xml:space="preserve"> </w:t>
      </w:r>
    </w:p>
    <w:p w14:paraId="2BE756CD" w14:textId="05DB0D93" w:rsidR="001A7CBA" w:rsidRPr="00183564" w:rsidRDefault="00050FE8" w:rsidP="00E20EED">
      <w:pPr>
        <w:pStyle w:val="BodyText"/>
      </w:pPr>
      <w:r w:rsidRPr="00183564">
        <w:t xml:space="preserve">The </w:t>
      </w:r>
      <w:r w:rsidR="003207C3">
        <w:t>potential</w:t>
      </w:r>
      <w:r w:rsidR="003207C3" w:rsidRPr="00183564">
        <w:t xml:space="preserve"> </w:t>
      </w:r>
      <w:r w:rsidRPr="00183564">
        <w:t>amendments</w:t>
      </w:r>
      <w:r w:rsidR="00470AC5">
        <w:t xml:space="preserve"> under </w:t>
      </w:r>
      <w:r w:rsidR="00A162B4">
        <w:t>Option</w:t>
      </w:r>
      <w:r w:rsidR="00470AC5">
        <w:t xml:space="preserve"> 3</w:t>
      </w:r>
      <w:r w:rsidRPr="00183564">
        <w:t xml:space="preserve"> </w:t>
      </w:r>
      <w:r w:rsidR="00286B49" w:rsidRPr="00183564">
        <w:t>give</w:t>
      </w:r>
      <w:r w:rsidR="00FC65D3" w:rsidRPr="00183564">
        <w:t xml:space="preserve"> the Commonwealth </w:t>
      </w:r>
      <w:r w:rsidR="0047263B">
        <w:t xml:space="preserve">a mechanism </w:t>
      </w:r>
      <w:r w:rsidR="00FC65D3" w:rsidRPr="00183564">
        <w:t>to implement biosecurity measures to assess and manage</w:t>
      </w:r>
      <w:r w:rsidR="00485C5B">
        <w:t xml:space="preserve"> listed human disease</w:t>
      </w:r>
      <w:r w:rsidR="00FC65D3" w:rsidRPr="00183564">
        <w:t xml:space="preserve"> risks involving a group of individuals </w:t>
      </w:r>
      <w:proofErr w:type="gramStart"/>
      <w:r w:rsidR="00FC65D3" w:rsidRPr="00183564">
        <w:t>whether or not</w:t>
      </w:r>
      <w:proofErr w:type="gramEnd"/>
      <w:r w:rsidR="00FC65D3" w:rsidRPr="00183564">
        <w:t xml:space="preserve"> pratique has been granted.</w:t>
      </w:r>
      <w:r w:rsidR="0074549A">
        <w:t xml:space="preserve"> </w:t>
      </w:r>
      <w:r w:rsidR="00FA22F5" w:rsidRPr="00183564">
        <w:t>In particular, t</w:t>
      </w:r>
      <w:r w:rsidR="003E5365" w:rsidRPr="00183564">
        <w:t xml:space="preserve">he </w:t>
      </w:r>
      <w:r w:rsidR="009E4923">
        <w:t>h</w:t>
      </w:r>
      <w:r w:rsidR="001A59A9">
        <w:t xml:space="preserve">uman </w:t>
      </w:r>
      <w:r w:rsidR="009E4923">
        <w:t>b</w:t>
      </w:r>
      <w:r w:rsidR="001A59A9">
        <w:t xml:space="preserve">iosecurity </w:t>
      </w:r>
      <w:r w:rsidR="009E4923">
        <w:t>g</w:t>
      </w:r>
      <w:r w:rsidR="001A59A9">
        <w:t xml:space="preserve">roup </w:t>
      </w:r>
      <w:r w:rsidR="009E4923">
        <w:t xml:space="preserve">direction </w:t>
      </w:r>
      <w:r w:rsidR="00F31901">
        <w:t>(</w:t>
      </w:r>
      <w:r w:rsidR="00AE4EF0" w:rsidRPr="00183564">
        <w:t>HBGD</w:t>
      </w:r>
      <w:r w:rsidR="00F31901">
        <w:t>)</w:t>
      </w:r>
      <w:r w:rsidR="00AE4EF0" w:rsidRPr="00183564">
        <w:t xml:space="preserve"> </w:t>
      </w:r>
      <w:r w:rsidR="009E4923">
        <w:t xml:space="preserve">mechanism </w:t>
      </w:r>
      <w:r w:rsidR="005657C8">
        <w:t xml:space="preserve">under </w:t>
      </w:r>
      <w:r w:rsidR="00A162B4">
        <w:t>Option</w:t>
      </w:r>
      <w:r w:rsidR="005657C8">
        <w:t xml:space="preserve"> 3 </w:t>
      </w:r>
      <w:r w:rsidR="003E5365" w:rsidRPr="00183564">
        <w:t xml:space="preserve">will </w:t>
      </w:r>
      <w:r w:rsidR="001A7CBA" w:rsidRPr="00183564">
        <w:t>grant flexibility by allowing</w:t>
      </w:r>
      <w:r w:rsidR="003E5365" w:rsidRPr="00183564">
        <w:t xml:space="preserve"> for the assessment and management of human health risks for a group of people such as on a large cruise vessel, or the crew of a commercial vessel.</w:t>
      </w:r>
      <w:r w:rsidR="00FA22F5" w:rsidRPr="00183564">
        <w:t xml:space="preserve"> </w:t>
      </w:r>
      <w:r w:rsidR="005176A9" w:rsidRPr="00183564">
        <w:t xml:space="preserve">It will therefore allow for </w:t>
      </w:r>
      <w:r w:rsidR="001A7CBA" w:rsidRPr="00183564">
        <w:t xml:space="preserve">some passengers and crew to </w:t>
      </w:r>
      <w:r w:rsidR="006D1C65">
        <w:t xml:space="preserve">be </w:t>
      </w:r>
      <w:r w:rsidR="001A7CBA" w:rsidRPr="00183564">
        <w:t>disembark</w:t>
      </w:r>
      <w:r w:rsidR="006D1C65">
        <w:t>ed</w:t>
      </w:r>
      <w:r w:rsidR="001A7CBA" w:rsidRPr="00183564">
        <w:t xml:space="preserve">, as well as cargo to be loaded and unloaded, by avoiding negative pratique when such a highly restrictive measure is not necessarily the </w:t>
      </w:r>
      <w:r w:rsidR="004C5E9C">
        <w:t>most appropriate</w:t>
      </w:r>
      <w:r w:rsidR="004C5E9C" w:rsidRPr="00183564">
        <w:t xml:space="preserve"> </w:t>
      </w:r>
      <w:r w:rsidR="001A7CBA" w:rsidRPr="00183564">
        <w:t>course of action.</w:t>
      </w:r>
    </w:p>
    <w:p w14:paraId="79AC611A" w14:textId="644AE7E3" w:rsidR="00130E8A" w:rsidRDefault="00D857A0" w:rsidP="00E20EED">
      <w:pPr>
        <w:pStyle w:val="BodyText"/>
      </w:pPr>
      <w:r>
        <w:t xml:space="preserve">The </w:t>
      </w:r>
      <w:r w:rsidR="009E4923">
        <w:t xml:space="preserve">HBGD </w:t>
      </w:r>
      <w:r w:rsidR="00062437" w:rsidRPr="00183564">
        <w:t>also</w:t>
      </w:r>
      <w:r w:rsidR="003E5365" w:rsidRPr="00183564">
        <w:t xml:space="preserve"> fills a</w:t>
      </w:r>
      <w:r w:rsidR="00C23315" w:rsidRPr="00183564">
        <w:t xml:space="preserve"> current</w:t>
      </w:r>
      <w:r w:rsidR="003E5365" w:rsidRPr="00183564">
        <w:t xml:space="preserve"> </w:t>
      </w:r>
      <w:r w:rsidR="009E4923">
        <w:t xml:space="preserve">gap </w:t>
      </w:r>
      <w:r w:rsidR="003E5365" w:rsidRPr="00183564">
        <w:t>in Commonwealth power</w:t>
      </w:r>
      <w:r w:rsidR="00ED4D7F" w:rsidRPr="00ED4D7F">
        <w:t xml:space="preserve"> to manage the human biosecurity risk of a group of people, and </w:t>
      </w:r>
      <w:r w:rsidR="003E5365" w:rsidRPr="00183564">
        <w:t xml:space="preserve">to </w:t>
      </w:r>
      <w:r w:rsidR="00E60F42" w:rsidRPr="00183564">
        <w:t>prohibit</w:t>
      </w:r>
      <w:r w:rsidR="003E5365" w:rsidRPr="00183564">
        <w:t xml:space="preserve"> passengers </w:t>
      </w:r>
      <w:r w:rsidR="00446BFC" w:rsidRPr="00183564">
        <w:t xml:space="preserve">from </w:t>
      </w:r>
      <w:r w:rsidR="003E5365" w:rsidRPr="00183564">
        <w:t>embarking or disembarking after</w:t>
      </w:r>
      <w:r w:rsidR="00D2360C" w:rsidRPr="00183564">
        <w:t xml:space="preserve"> </w:t>
      </w:r>
      <w:r w:rsidR="003E5365" w:rsidRPr="00183564">
        <w:t>pratique has been granted.</w:t>
      </w:r>
      <w:r w:rsidR="00072F7D">
        <w:t xml:space="preserve"> </w:t>
      </w:r>
      <w:r w:rsidR="0038768E">
        <w:t xml:space="preserve">This significantly reduces the risk of </w:t>
      </w:r>
      <w:r w:rsidR="009513C5">
        <w:t xml:space="preserve">a </w:t>
      </w:r>
      <w:r w:rsidR="000C5F39">
        <w:t>listed human disease</w:t>
      </w:r>
      <w:r w:rsidR="009513C5">
        <w:t xml:space="preserve"> </w:t>
      </w:r>
      <w:r w:rsidR="000F5167">
        <w:t xml:space="preserve">entering the </w:t>
      </w:r>
      <w:r w:rsidR="00172A15">
        <w:t xml:space="preserve">wider </w:t>
      </w:r>
      <w:r w:rsidR="000F5167">
        <w:t xml:space="preserve">community </w:t>
      </w:r>
      <w:r w:rsidR="00172A15">
        <w:t xml:space="preserve">due </w:t>
      </w:r>
      <w:r w:rsidR="00130E8A">
        <w:t xml:space="preserve">it not being detected </w:t>
      </w:r>
      <w:r w:rsidR="00CB503C">
        <w:t xml:space="preserve">before pratique was granted. </w:t>
      </w:r>
    </w:p>
    <w:p w14:paraId="3758E45B" w14:textId="2CC557C4" w:rsidR="000E01C2" w:rsidRDefault="002615C2" w:rsidP="00E20EED">
      <w:pPr>
        <w:pStyle w:val="BodyText"/>
      </w:pPr>
      <w:r>
        <w:t xml:space="preserve">Compared </w:t>
      </w:r>
      <w:r w:rsidR="00D614F6">
        <w:t xml:space="preserve">to the powers </w:t>
      </w:r>
      <w:r w:rsidR="0055305A">
        <w:t xml:space="preserve">currently </w:t>
      </w:r>
      <w:r w:rsidR="00D614F6">
        <w:t>available</w:t>
      </w:r>
      <w:r w:rsidR="00FF4186">
        <w:t>,</w:t>
      </w:r>
      <w:r w:rsidR="00D614F6">
        <w:t xml:space="preserve"> </w:t>
      </w:r>
      <w:r w:rsidR="00DB404B">
        <w:t>the</w:t>
      </w:r>
      <w:r w:rsidR="004B5603">
        <w:t xml:space="preserve"> </w:t>
      </w:r>
      <w:r w:rsidR="00121430">
        <w:t xml:space="preserve">potential </w:t>
      </w:r>
      <w:r w:rsidR="009E4923">
        <w:t xml:space="preserve">HBGD mechanism </w:t>
      </w:r>
      <w:r w:rsidR="00674A06">
        <w:t>will lead</w:t>
      </w:r>
      <w:r w:rsidR="000E01C2" w:rsidRPr="00183564">
        <w:t xml:space="preserve"> to </w:t>
      </w:r>
      <w:r w:rsidR="00C87246">
        <w:t xml:space="preserve">a </w:t>
      </w:r>
      <w:r w:rsidR="000E01C2" w:rsidRPr="00183564">
        <w:t xml:space="preserve">reduced regulatory burden </w:t>
      </w:r>
      <w:r w:rsidR="008A4A62" w:rsidRPr="00183564">
        <w:t xml:space="preserve">(in a specific case), as only one </w:t>
      </w:r>
      <w:r w:rsidR="00852EC7" w:rsidRPr="00183564">
        <w:t>directi</w:t>
      </w:r>
      <w:r w:rsidR="009A2340">
        <w:t>on</w:t>
      </w:r>
      <w:r w:rsidR="00852EC7" w:rsidRPr="00183564">
        <w:t xml:space="preserve"> is needed, whether it </w:t>
      </w:r>
      <w:r w:rsidR="00E309D6" w:rsidRPr="00183564">
        <w:t>relates to a</w:t>
      </w:r>
      <w:r w:rsidR="005515D6" w:rsidRPr="00183564">
        <w:t xml:space="preserve"> group </w:t>
      </w:r>
      <w:r w:rsidR="00324CB3" w:rsidRPr="00183564">
        <w:t>(</w:t>
      </w:r>
      <w:r w:rsidR="00AF73CA">
        <w:t>for example</w:t>
      </w:r>
      <w:r w:rsidR="007D07A7" w:rsidRPr="00183564">
        <w:t xml:space="preserve"> all passengers</w:t>
      </w:r>
      <w:r w:rsidR="00324CB3" w:rsidRPr="00183564">
        <w:t xml:space="preserve"> on a specified deck of the vessel, or </w:t>
      </w:r>
      <w:r w:rsidR="00F172F2" w:rsidRPr="00183564">
        <w:t xml:space="preserve">everyone on board </w:t>
      </w:r>
      <w:r w:rsidR="00324CB3" w:rsidRPr="00183564">
        <w:t>the vessel</w:t>
      </w:r>
      <w:r w:rsidR="0027708F">
        <w:t>)</w:t>
      </w:r>
      <w:r w:rsidR="00324CB3">
        <w:t>.</w:t>
      </w:r>
      <w:r w:rsidR="00324CB3" w:rsidRPr="00183564">
        <w:t xml:space="preserve"> Currently, </w:t>
      </w:r>
      <w:r w:rsidR="00CC3D8D" w:rsidRPr="00183564">
        <w:t>a directi</w:t>
      </w:r>
      <w:r w:rsidR="002C4828">
        <w:t>on</w:t>
      </w:r>
      <w:r w:rsidR="00CC3D8D" w:rsidRPr="00183564">
        <w:t xml:space="preserve"> is </w:t>
      </w:r>
      <w:r w:rsidR="00717107" w:rsidRPr="00183564">
        <w:t>issued on an individual basis.</w:t>
      </w:r>
    </w:p>
    <w:p w14:paraId="17649B63" w14:textId="7D750DC5" w:rsidR="00774F10" w:rsidRPr="00183564" w:rsidRDefault="00774F10" w:rsidP="00774F10">
      <w:r w:rsidRPr="00D57DF3">
        <w:t xml:space="preserve">Utilising the </w:t>
      </w:r>
      <w:r w:rsidR="00855B97">
        <w:t xml:space="preserve">HBGD </w:t>
      </w:r>
      <w:r w:rsidRPr="00015E5B">
        <w:t xml:space="preserve">will lead to </w:t>
      </w:r>
      <w:r>
        <w:t>some</w:t>
      </w:r>
      <w:r w:rsidRPr="00015E5B">
        <w:t xml:space="preserve"> costs,</w:t>
      </w:r>
      <w:r>
        <w:t xml:space="preserve"> as discussed in section 4.3.2. </w:t>
      </w:r>
      <w:r w:rsidRPr="00183564">
        <w:t xml:space="preserve">The additional flexibility provided by the </w:t>
      </w:r>
      <w:r w:rsidR="00855B97">
        <w:t xml:space="preserve">HBGD </w:t>
      </w:r>
      <w:r w:rsidRPr="00183564">
        <w:t>should ensure that the</w:t>
      </w:r>
      <w:r>
        <w:t>se</w:t>
      </w:r>
      <w:r w:rsidRPr="00183564">
        <w:t xml:space="preserve"> costs are</w:t>
      </w:r>
      <w:r>
        <w:t xml:space="preserve"> reduced compared to the status quo</w:t>
      </w:r>
      <w:r w:rsidRPr="00183564">
        <w:t xml:space="preserve">. </w:t>
      </w:r>
      <w:r>
        <w:t>Under current legislation the</w:t>
      </w:r>
      <w:r w:rsidRPr="00183564">
        <w:t xml:space="preserve"> </w:t>
      </w:r>
      <w:r>
        <w:t>listed human disease</w:t>
      </w:r>
      <w:r w:rsidRPr="00183564">
        <w:t xml:space="preserve"> risk would have been contained either by restricting the movement of the entire vessel (</w:t>
      </w:r>
      <w:r>
        <w:t xml:space="preserve">under </w:t>
      </w:r>
      <w:r w:rsidRPr="00183564">
        <w:t xml:space="preserve">negative pratique), or by managing the affected group by ordering individual </w:t>
      </w:r>
      <w:r>
        <w:t>H</w:t>
      </w:r>
      <w:r w:rsidRPr="00183564">
        <w:t xml:space="preserve">uman Biosecurity Control Orders (HBCO). </w:t>
      </w:r>
      <w:r w:rsidR="00E81201">
        <w:t xml:space="preserve">As </w:t>
      </w:r>
      <w:r w:rsidR="00A973EF">
        <w:t>n</w:t>
      </w:r>
      <w:r w:rsidR="00E81201">
        <w:t>oted above, this is not feasible when large number</w:t>
      </w:r>
      <w:r w:rsidR="007A7030">
        <w:t xml:space="preserve">s </w:t>
      </w:r>
      <w:r w:rsidR="00E81201">
        <w:t>of passengers or crew are involved</w:t>
      </w:r>
      <w:r w:rsidR="00A973EF">
        <w:t>.</w:t>
      </w:r>
    </w:p>
    <w:p w14:paraId="63C64A07" w14:textId="71C2B345" w:rsidR="00774F10" w:rsidRDefault="007023A5" w:rsidP="000F79A8">
      <w:bookmarkStart w:id="40" w:name="_Hlk80898812"/>
      <w:r w:rsidRPr="00FB2A4B">
        <w:t xml:space="preserve">Option 3 provides for a more nuanced </w:t>
      </w:r>
      <w:r>
        <w:t xml:space="preserve">human health risk </w:t>
      </w:r>
      <w:r w:rsidRPr="00FB2A4B">
        <w:t>management regime in which some level of disembarkation</w:t>
      </w:r>
      <w:r w:rsidR="00855B97">
        <w:t xml:space="preserve"> of passengers</w:t>
      </w:r>
      <w:r w:rsidRPr="00FB2A4B">
        <w:t xml:space="preserve"> and loading and unloading</w:t>
      </w:r>
      <w:r w:rsidR="00855B97">
        <w:t xml:space="preserve"> of goods</w:t>
      </w:r>
      <w:r w:rsidRPr="00FB2A4B">
        <w:t xml:space="preserve"> can occur according to the assessment of risk.</w:t>
      </w:r>
      <w:r>
        <w:t xml:space="preserve"> </w:t>
      </w:r>
      <w:bookmarkEnd w:id="40"/>
      <w:r>
        <w:t xml:space="preserve">This would maximise the </w:t>
      </w:r>
      <w:r>
        <w:lastRenderedPageBreak/>
        <w:t xml:space="preserve">flexibility afforded to </w:t>
      </w:r>
      <w:r w:rsidR="009777CC">
        <w:t xml:space="preserve">Biosecurity </w:t>
      </w:r>
      <w:r>
        <w:t xml:space="preserve">Officers and </w:t>
      </w:r>
      <w:r w:rsidR="00855B97">
        <w:t xml:space="preserve">Human Biosecurity Officers, thereby </w:t>
      </w:r>
      <w:r w:rsidR="00833CE4">
        <w:t>reduc</w:t>
      </w:r>
      <w:r w:rsidR="00855B97">
        <w:t>ing</w:t>
      </w:r>
      <w:r w:rsidR="00833CE4">
        <w:t xml:space="preserve"> the </w:t>
      </w:r>
      <w:r w:rsidR="00555D14">
        <w:t xml:space="preserve">regulatory </w:t>
      </w:r>
      <w:r w:rsidR="00833CE4">
        <w:t>burden</w:t>
      </w:r>
      <w:r>
        <w:t xml:space="preserve"> on individuals</w:t>
      </w:r>
      <w:r w:rsidR="00833CE4">
        <w:t xml:space="preserve">, </w:t>
      </w:r>
      <w:r w:rsidR="00332CF6">
        <w:t xml:space="preserve">when </w:t>
      </w:r>
      <w:r w:rsidR="00833CE4">
        <w:t xml:space="preserve">compared to the </w:t>
      </w:r>
      <w:r w:rsidR="00855B97">
        <w:t xml:space="preserve">existing </w:t>
      </w:r>
      <w:r w:rsidR="00332CF6">
        <w:t xml:space="preserve">application of </w:t>
      </w:r>
      <w:r w:rsidR="00833CE4">
        <w:t>negative pratique</w:t>
      </w:r>
      <w:r w:rsidR="00855B97">
        <w:t xml:space="preserve"> requirements</w:t>
      </w:r>
      <w:r w:rsidR="00774F10" w:rsidRPr="00183564">
        <w:t>.</w:t>
      </w:r>
    </w:p>
    <w:p w14:paraId="2BBACFE6" w14:textId="3E1FD45C" w:rsidR="00BC3570" w:rsidRPr="000F79A8" w:rsidRDefault="009D5377" w:rsidP="000F79A8">
      <w:pPr>
        <w:keepNext/>
        <w:rPr>
          <w:i/>
          <w:iCs/>
        </w:rPr>
      </w:pPr>
      <w:r w:rsidRPr="009D5377">
        <w:rPr>
          <w:i/>
          <w:iCs/>
        </w:rPr>
        <w:t xml:space="preserve">Additional Pre-Arrival Reporting, </w:t>
      </w:r>
      <w:r w:rsidR="00B31C0A">
        <w:rPr>
          <w:i/>
          <w:iCs/>
        </w:rPr>
        <w:t>i</w:t>
      </w:r>
      <w:r w:rsidRPr="009D5377">
        <w:rPr>
          <w:i/>
          <w:iCs/>
        </w:rPr>
        <w:t xml:space="preserve">ncluding </w:t>
      </w:r>
      <w:r w:rsidR="00476F7D">
        <w:rPr>
          <w:i/>
          <w:iCs/>
        </w:rPr>
        <w:t>u</w:t>
      </w:r>
      <w:r w:rsidR="007C71B0" w:rsidRPr="009D5377">
        <w:rPr>
          <w:i/>
          <w:iCs/>
        </w:rPr>
        <w:t>pdated</w:t>
      </w:r>
      <w:r w:rsidRPr="009D5377">
        <w:rPr>
          <w:i/>
          <w:iCs/>
        </w:rPr>
        <w:t xml:space="preserve"> </w:t>
      </w:r>
      <w:r w:rsidR="00B31C0A">
        <w:rPr>
          <w:i/>
          <w:iCs/>
        </w:rPr>
        <w:t>p</w:t>
      </w:r>
      <w:r w:rsidRPr="009D5377">
        <w:rPr>
          <w:i/>
          <w:iCs/>
        </w:rPr>
        <w:t>re-</w:t>
      </w:r>
      <w:r w:rsidR="00B31C0A">
        <w:rPr>
          <w:i/>
          <w:iCs/>
        </w:rPr>
        <w:t>a</w:t>
      </w:r>
      <w:r w:rsidRPr="009D5377">
        <w:rPr>
          <w:i/>
          <w:iCs/>
        </w:rPr>
        <w:t xml:space="preserve">rrival </w:t>
      </w:r>
      <w:r w:rsidR="00B31C0A">
        <w:rPr>
          <w:i/>
          <w:iCs/>
        </w:rPr>
        <w:t>i</w:t>
      </w:r>
      <w:r w:rsidRPr="009D5377">
        <w:rPr>
          <w:i/>
          <w:iCs/>
        </w:rPr>
        <w:t>nformation</w:t>
      </w:r>
    </w:p>
    <w:p w14:paraId="68D03F70" w14:textId="4BF537D3" w:rsidR="00880C53" w:rsidRDefault="00A162B4" w:rsidP="00AB7D0A">
      <w:pPr>
        <w:pStyle w:val="BodyText"/>
      </w:pPr>
      <w:r>
        <w:t>Option</w:t>
      </w:r>
      <w:r w:rsidR="00FA6A98">
        <w:t xml:space="preserve"> 3 </w:t>
      </w:r>
      <w:r w:rsidR="001E266F">
        <w:t>include</w:t>
      </w:r>
      <w:r w:rsidR="000F57FA">
        <w:t>s</w:t>
      </w:r>
      <w:r w:rsidR="001E266F">
        <w:t xml:space="preserve"> </w:t>
      </w:r>
      <w:r w:rsidR="00855B97">
        <w:t xml:space="preserve">multiple </w:t>
      </w:r>
      <w:r w:rsidR="00AB7D0A">
        <w:t xml:space="preserve">pre-arrival reporting </w:t>
      </w:r>
      <w:r w:rsidR="00492D36">
        <w:t xml:space="preserve">to </w:t>
      </w:r>
      <w:r w:rsidR="00831E12">
        <w:t xml:space="preserve">be </w:t>
      </w:r>
      <w:r w:rsidR="00855B97">
        <w:t xml:space="preserve">provided </w:t>
      </w:r>
      <w:r w:rsidR="00831E12">
        <w:t>by</w:t>
      </w:r>
      <w:r w:rsidR="00855B97">
        <w:t xml:space="preserve"> aircraft and vessels, which can be tailored to different types of conveyances, such as</w:t>
      </w:r>
      <w:r w:rsidR="00831E12">
        <w:t xml:space="preserve"> cruise ship</w:t>
      </w:r>
      <w:r w:rsidR="00CB648A">
        <w:t xml:space="preserve">s, </w:t>
      </w:r>
      <w:r w:rsidR="00855B97">
        <w:t>and at different times</w:t>
      </w:r>
      <w:r w:rsidR="00880C53">
        <w:t>.</w:t>
      </w:r>
    </w:p>
    <w:p w14:paraId="49AF5643" w14:textId="527FFE86" w:rsidR="005A4D5C" w:rsidRDefault="005A4D5C" w:rsidP="00AB7D0A">
      <w:pPr>
        <w:pStyle w:val="BodyText"/>
      </w:pPr>
      <w:r w:rsidRPr="005A4D5C">
        <w:t xml:space="preserve">This </w:t>
      </w:r>
      <w:r w:rsidR="006207A4">
        <w:t>would</w:t>
      </w:r>
      <w:r w:rsidR="006207A4" w:rsidRPr="005A4D5C">
        <w:t xml:space="preserve"> </w:t>
      </w:r>
      <w:r w:rsidRPr="005A4D5C">
        <w:t xml:space="preserve">ensure </w:t>
      </w:r>
      <w:r w:rsidR="003632C0">
        <w:t xml:space="preserve">more </w:t>
      </w:r>
      <w:r w:rsidRPr="005A4D5C">
        <w:t xml:space="preserve">timely and accurate human health </w:t>
      </w:r>
      <w:r w:rsidR="00293490">
        <w:t>information</w:t>
      </w:r>
      <w:r w:rsidR="00293490" w:rsidRPr="005A4D5C">
        <w:t xml:space="preserve"> </w:t>
      </w:r>
      <w:r w:rsidR="007448FC">
        <w:t xml:space="preserve">is available, </w:t>
      </w:r>
      <w:r w:rsidR="006B1FC4">
        <w:t xml:space="preserve">to better enable </w:t>
      </w:r>
      <w:r w:rsidRPr="005A4D5C">
        <w:t xml:space="preserve">Biosecurity Officers to identify, assess and manage </w:t>
      </w:r>
      <w:r w:rsidR="006E3C38">
        <w:t xml:space="preserve">biosecurity </w:t>
      </w:r>
      <w:r w:rsidRPr="005A4D5C">
        <w:t>risk</w:t>
      </w:r>
      <w:r w:rsidR="00855B97">
        <w:t>s</w:t>
      </w:r>
      <w:r w:rsidRPr="005A4D5C">
        <w:t>.</w:t>
      </w:r>
    </w:p>
    <w:p w14:paraId="3FD65051" w14:textId="4A84AE7E" w:rsidR="0083321C" w:rsidRDefault="001B09DA" w:rsidP="0083321C">
      <w:pPr>
        <w:pStyle w:val="BodyText"/>
      </w:pPr>
      <w:r>
        <w:t xml:space="preserve">In addition to </w:t>
      </w:r>
      <w:r w:rsidR="00855B97">
        <w:t xml:space="preserve">multiple </w:t>
      </w:r>
      <w:r w:rsidR="003C7791">
        <w:t xml:space="preserve">pre-arrival reporting, </w:t>
      </w:r>
      <w:r w:rsidR="00A162B4">
        <w:t>Option</w:t>
      </w:r>
      <w:r w:rsidR="00414C13">
        <w:t xml:space="preserve"> 3</w:t>
      </w:r>
      <w:r w:rsidR="00B605E7">
        <w:t xml:space="preserve"> will</w:t>
      </w:r>
      <w:r w:rsidR="00391E21">
        <w:t xml:space="preserve"> also</w:t>
      </w:r>
      <w:r w:rsidR="00B605E7">
        <w:t xml:space="preserve"> </w:t>
      </w:r>
      <w:r w:rsidR="00577DFD">
        <w:t>require</w:t>
      </w:r>
      <w:r w:rsidR="00855B97">
        <w:t xml:space="preserve"> further information to be provided</w:t>
      </w:r>
      <w:r w:rsidR="009E788F">
        <w:t xml:space="preserve">, </w:t>
      </w:r>
      <w:r w:rsidR="00603F4A">
        <w:t>for example</w:t>
      </w:r>
      <w:r w:rsidR="009E788F">
        <w:t xml:space="preserve"> where </w:t>
      </w:r>
      <w:r w:rsidR="00603F4A">
        <w:t xml:space="preserve">additional passengers are identified as having signs or symptoms of a disease </w:t>
      </w:r>
      <w:r w:rsidR="007A64A7">
        <w:t xml:space="preserve">after </w:t>
      </w:r>
      <w:r w:rsidR="0083321C">
        <w:t xml:space="preserve">the </w:t>
      </w:r>
      <w:r w:rsidR="00643324">
        <w:t xml:space="preserve">pre-arrival </w:t>
      </w:r>
      <w:r w:rsidR="0083321C">
        <w:t>report is submitted.</w:t>
      </w:r>
      <w:r w:rsidR="008E4196">
        <w:t xml:space="preserve"> </w:t>
      </w:r>
      <w:r w:rsidR="00855B97">
        <w:t>T</w:t>
      </w:r>
      <w:r w:rsidR="00E43B5F" w:rsidRPr="00E43B5F">
        <w:t>his obligation represents</w:t>
      </w:r>
      <w:r w:rsidR="00DC1B9C">
        <w:t xml:space="preserve"> an important mechanism to </w:t>
      </w:r>
      <w:r w:rsidR="00855B97">
        <w:t xml:space="preserve">enable biosecurity officers to receive and assess </w:t>
      </w:r>
      <w:r w:rsidR="00DC1B9C">
        <w:t>up</w:t>
      </w:r>
      <w:r w:rsidR="00855B97">
        <w:t>-to-</w:t>
      </w:r>
      <w:r w:rsidR="00DC1B9C">
        <w:t xml:space="preserve">date </w:t>
      </w:r>
      <w:r w:rsidR="00855B97">
        <w:t xml:space="preserve">information </w:t>
      </w:r>
      <w:r w:rsidR="0083321C">
        <w:t>after the pre-arrival report has been submitted.</w:t>
      </w:r>
    </w:p>
    <w:p w14:paraId="50B94D7A" w14:textId="1046B78F" w:rsidR="009937A0" w:rsidRPr="00183564" w:rsidRDefault="0083321C" w:rsidP="0083321C">
      <w:pPr>
        <w:pStyle w:val="BodyText"/>
      </w:pPr>
      <w:r>
        <w:t xml:space="preserve">Making provision for this in the regulations will offer flexibility to configure pre-arrival reporting settings to </w:t>
      </w:r>
      <w:r w:rsidR="007F359A">
        <w:t xml:space="preserve">appropriately </w:t>
      </w:r>
      <w:r>
        <w:t>respond to biosecurity risks in the future.</w:t>
      </w:r>
    </w:p>
    <w:p w14:paraId="0AA0A674" w14:textId="21B8D97B" w:rsidR="00B75D97" w:rsidRPr="000F79A8" w:rsidRDefault="000A47CA" w:rsidP="00B75D97">
      <w:pPr>
        <w:keepNext/>
        <w:rPr>
          <w:i/>
          <w:iCs/>
        </w:rPr>
      </w:pPr>
      <w:r>
        <w:rPr>
          <w:i/>
          <w:iCs/>
        </w:rPr>
        <w:t xml:space="preserve">Improvements in application of </w:t>
      </w:r>
      <w:r w:rsidR="00400A05">
        <w:rPr>
          <w:i/>
          <w:iCs/>
        </w:rPr>
        <w:t>P</w:t>
      </w:r>
      <w:r w:rsidR="00B75D97">
        <w:rPr>
          <w:i/>
          <w:iCs/>
        </w:rPr>
        <w:t>ratique</w:t>
      </w:r>
      <w:r>
        <w:rPr>
          <w:i/>
          <w:iCs/>
        </w:rPr>
        <w:t xml:space="preserve"> (including </w:t>
      </w:r>
      <w:r w:rsidR="00400A05">
        <w:rPr>
          <w:i/>
          <w:iCs/>
        </w:rPr>
        <w:t>N</w:t>
      </w:r>
      <w:r>
        <w:rPr>
          <w:i/>
          <w:iCs/>
        </w:rPr>
        <w:t xml:space="preserve">egative </w:t>
      </w:r>
      <w:r w:rsidR="00400A05">
        <w:rPr>
          <w:i/>
          <w:iCs/>
        </w:rPr>
        <w:t>P</w:t>
      </w:r>
      <w:r>
        <w:rPr>
          <w:i/>
          <w:iCs/>
        </w:rPr>
        <w:t>ratique)</w:t>
      </w:r>
    </w:p>
    <w:p w14:paraId="7EBD152B" w14:textId="753A597F" w:rsidR="00242E96" w:rsidRDefault="000B7A8E" w:rsidP="00855B97">
      <w:pPr>
        <w:pStyle w:val="BodyText"/>
      </w:pPr>
      <w:r>
        <w:t xml:space="preserve">Option 3 </w:t>
      </w:r>
      <w:r w:rsidR="000F347B">
        <w:t>aim</w:t>
      </w:r>
      <w:r w:rsidR="003C424F">
        <w:t>s</w:t>
      </w:r>
      <w:r w:rsidR="000F347B">
        <w:t xml:space="preserve"> to </w:t>
      </w:r>
      <w:r w:rsidR="007C3D38">
        <w:t>deter n</w:t>
      </w:r>
      <w:r w:rsidR="007C3D38" w:rsidRPr="007C3D38">
        <w:t xml:space="preserve">on-compliance with pratique </w:t>
      </w:r>
      <w:r w:rsidR="00E07CA5">
        <w:t xml:space="preserve">by improving </w:t>
      </w:r>
      <w:r w:rsidR="00855B97">
        <w:t>enforcement and compliance mechanisms</w:t>
      </w:r>
      <w:r w:rsidR="00E07CA5">
        <w:t>.</w:t>
      </w:r>
      <w:r w:rsidR="007C3D38">
        <w:t xml:space="preserve"> </w:t>
      </w:r>
      <w:r w:rsidR="00242E96">
        <w:t>The requirement to comply with negative pratique obligations will be extended to also include the person in charge of a vessel or aircraft (instead of only the</w:t>
      </w:r>
      <w:r w:rsidR="00855B97">
        <w:t xml:space="preserve"> </w:t>
      </w:r>
      <w:r w:rsidR="00242E96">
        <w:t>operator). This would more appropriately reflect responsibility for the vessel or aircraft and more effectively target obligations for compliance.</w:t>
      </w:r>
    </w:p>
    <w:p w14:paraId="376E17DE" w14:textId="5A88655B" w:rsidR="00242E96" w:rsidRPr="00183564" w:rsidRDefault="00242E96" w:rsidP="00242E96">
      <w:pPr>
        <w:pStyle w:val="BodyText"/>
      </w:pPr>
      <w:r>
        <w:t>To further deter non-compliance with requirements, the existing civil penalty that applies to a</w:t>
      </w:r>
      <w:r w:rsidR="00855B97">
        <w:t>n</w:t>
      </w:r>
      <w:r>
        <w:t xml:space="preserve"> operator </w:t>
      </w:r>
      <w:r w:rsidR="00182952">
        <w:t>would</w:t>
      </w:r>
      <w:r>
        <w:t xml:space="preserve"> be increased, and a new civil penalty provision </w:t>
      </w:r>
      <w:r w:rsidR="00182952">
        <w:t>would</w:t>
      </w:r>
      <w:r>
        <w:t xml:space="preserve"> be inserted for the person in charge of the vessel or aircraft.</w:t>
      </w:r>
    </w:p>
    <w:p w14:paraId="6D12B5EC" w14:textId="23F4EAF2" w:rsidR="000F43FA" w:rsidRPr="000F79A8" w:rsidRDefault="000F43FA" w:rsidP="000F79A8">
      <w:pPr>
        <w:rPr>
          <w:b/>
        </w:rPr>
      </w:pPr>
      <w:r w:rsidRPr="000F79A8">
        <w:rPr>
          <w:b/>
        </w:rPr>
        <w:t>Benefits to the Broader Australian Economy and the Australian Cruise Industry</w:t>
      </w:r>
    </w:p>
    <w:p w14:paraId="01DA00E5" w14:textId="10EA720D" w:rsidR="000F43FA" w:rsidRDefault="000F43FA" w:rsidP="000F79A8">
      <w:pPr>
        <w:pStyle w:val="BodyText"/>
      </w:pPr>
      <w:r>
        <w:t>A key</w:t>
      </w:r>
      <w:r w:rsidRPr="00183564">
        <w:t xml:space="preserve"> benefit expected to materialise </w:t>
      </w:r>
      <w:proofErr w:type="gramStart"/>
      <w:r w:rsidRPr="00183564">
        <w:t>as a result of</w:t>
      </w:r>
      <w:proofErr w:type="gramEnd"/>
      <w:r w:rsidRPr="00183564">
        <w:t xml:space="preserve"> the proposed amendments is the support it lends toward the recovery of the cruise industry, to pre-pandemic levels. This includes refilling the </w:t>
      </w:r>
      <w:r>
        <w:t xml:space="preserve">more than 18,000 </w:t>
      </w:r>
      <w:r w:rsidRPr="00183564">
        <w:t>jobs that existed at the end of the 2018-19 financial year and building back up to the $5.2 billion in annual economic output that was generated directly and indirectly by the industry.</w:t>
      </w:r>
    </w:p>
    <w:p w14:paraId="236102DF" w14:textId="77777777" w:rsidR="000F43FA" w:rsidRPr="00183564" w:rsidRDefault="000F43FA" w:rsidP="000F43FA">
      <w:pPr>
        <w:pStyle w:val="BodyText"/>
        <w:spacing w:after="0"/>
        <w:jc w:val="center"/>
      </w:pPr>
      <w:r w:rsidRPr="00183564">
        <w:rPr>
          <w:noProof/>
          <w:lang w:eastAsia="en-AU"/>
        </w:rPr>
        <w:drawing>
          <wp:inline distT="0" distB="0" distL="0" distR="0" wp14:anchorId="1DA6B6E2" wp14:editId="1FC2C3CF">
            <wp:extent cx="4355739" cy="86439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3605" cy="869923"/>
                    </a:xfrm>
                    <a:prstGeom prst="rect">
                      <a:avLst/>
                    </a:prstGeom>
                    <a:noFill/>
                    <a:ln>
                      <a:noFill/>
                    </a:ln>
                  </pic:spPr>
                </pic:pic>
              </a:graphicData>
            </a:graphic>
          </wp:inline>
        </w:drawing>
      </w:r>
    </w:p>
    <w:p w14:paraId="05694433" w14:textId="77777777" w:rsidR="00034181" w:rsidRDefault="00034181" w:rsidP="00CA3B3B">
      <w:pPr>
        <w:pStyle w:val="BodyText"/>
      </w:pPr>
    </w:p>
    <w:p w14:paraId="21C7F381" w14:textId="307EA413" w:rsidR="00CA3B3B" w:rsidRPr="00183564" w:rsidRDefault="00CA3B3B" w:rsidP="00CA3B3B">
      <w:pPr>
        <w:pStyle w:val="BodyText"/>
      </w:pPr>
      <w:r>
        <w:t xml:space="preserve">This is </w:t>
      </w:r>
      <w:r w:rsidR="002F3517">
        <w:t>described</w:t>
      </w:r>
      <w:r>
        <w:t xml:space="preserve"> in </w:t>
      </w:r>
      <w:r w:rsidR="00B847A1">
        <w:t xml:space="preserve">more detail in </w:t>
      </w:r>
      <w:r>
        <w:t xml:space="preserve">Appendix D - </w:t>
      </w:r>
      <w:r w:rsidRPr="00A31607">
        <w:t>Benefits to the Broader Australian Economy and the Australian Cruise Industry</w:t>
      </w:r>
      <w:r>
        <w:t>.</w:t>
      </w:r>
    </w:p>
    <w:p w14:paraId="6082ACE5" w14:textId="6BC6AFE0" w:rsidR="00177C70" w:rsidRDefault="00711123" w:rsidP="00147596">
      <w:pPr>
        <w:pStyle w:val="Heading4"/>
        <w:keepNext/>
      </w:pPr>
      <w:r w:rsidRPr="00183564">
        <w:t>4.</w:t>
      </w:r>
      <w:r w:rsidR="00A32B70" w:rsidRPr="00183564">
        <w:t>3</w:t>
      </w:r>
      <w:r w:rsidRPr="00183564">
        <w:t xml:space="preserve">.2 </w:t>
      </w:r>
      <w:r w:rsidR="00F84628">
        <w:t>Impacts</w:t>
      </w:r>
    </w:p>
    <w:p w14:paraId="2339BF60" w14:textId="5D41B17C" w:rsidR="002C5D84" w:rsidRPr="00A556C4" w:rsidRDefault="002C5D84" w:rsidP="002C5D84">
      <w:r w:rsidRPr="00A556C4">
        <w:t xml:space="preserve">The </w:t>
      </w:r>
      <w:r w:rsidR="007122E3">
        <w:t>elements of</w:t>
      </w:r>
      <w:r w:rsidR="00A556C4">
        <w:t xml:space="preserve"> Option 3 </w:t>
      </w:r>
      <w:r w:rsidR="007122E3">
        <w:t xml:space="preserve">are targeted at </w:t>
      </w:r>
      <w:r w:rsidRPr="00A556C4">
        <w:t xml:space="preserve">the problems outlined in Chapter 1 and </w:t>
      </w:r>
      <w:r w:rsidR="00B773A4">
        <w:t>specifically</w:t>
      </w:r>
      <w:r w:rsidR="00C30BA7">
        <w:t xml:space="preserve"> informed </w:t>
      </w:r>
      <w:r w:rsidR="00D45376">
        <w:t>by the</w:t>
      </w:r>
      <w:r w:rsidRPr="00A556C4">
        <w:t xml:space="preserve"> recommendations from the independent reviews (</w:t>
      </w:r>
      <w:r w:rsidR="0000713B" w:rsidRPr="004D6670">
        <w:t>see</w:t>
      </w:r>
      <w:r w:rsidRPr="004D6670">
        <w:t xml:space="preserve"> </w:t>
      </w:r>
      <w:r w:rsidRPr="00A556C4">
        <w:t>Appendix A and Appendix B).</w:t>
      </w:r>
    </w:p>
    <w:p w14:paraId="40176DB6" w14:textId="7062327E" w:rsidR="00D00886" w:rsidRDefault="008D362F" w:rsidP="00B70B8E">
      <w:pPr>
        <w:pStyle w:val="BodyText"/>
      </w:pPr>
      <w:r w:rsidRPr="00FC41B0">
        <w:t>A consideration with regards to pre-</w:t>
      </w:r>
      <w:r w:rsidR="008F3D15" w:rsidRPr="00FC41B0">
        <w:t>arrival</w:t>
      </w:r>
      <w:r w:rsidRPr="00FC41B0">
        <w:t xml:space="preserve"> reporting is </w:t>
      </w:r>
      <w:r w:rsidR="008F3D15" w:rsidRPr="00FC41B0">
        <w:t xml:space="preserve">the </w:t>
      </w:r>
      <w:r w:rsidRPr="00FC41B0">
        <w:t xml:space="preserve">potential </w:t>
      </w:r>
      <w:r w:rsidR="008F3D15" w:rsidRPr="00FC41B0">
        <w:t xml:space="preserve">for </w:t>
      </w:r>
      <w:r w:rsidRPr="00FC41B0">
        <w:t xml:space="preserve">delays to business </w:t>
      </w:r>
      <w:proofErr w:type="gramStart"/>
      <w:r w:rsidRPr="00FC41B0">
        <w:t>deliverables</w:t>
      </w:r>
      <w:r w:rsidR="00B87445">
        <w:t>, if</w:t>
      </w:r>
      <w:proofErr w:type="gramEnd"/>
      <w:r w:rsidR="00B87445">
        <w:t xml:space="preserve"> up-to-date information is not provided in relation to an aircraft or vessel</w:t>
      </w:r>
      <w:r w:rsidRPr="00FC41B0">
        <w:t xml:space="preserve">. </w:t>
      </w:r>
      <w:r w:rsidR="00B87445">
        <w:t xml:space="preserve">The amendments to require further information to be provided to </w:t>
      </w:r>
      <w:r w:rsidRPr="00FC41B0">
        <w:t xml:space="preserve">Biosecurity Officers </w:t>
      </w:r>
      <w:r w:rsidR="00B87445">
        <w:t xml:space="preserve">will allow them </w:t>
      </w:r>
      <w:r w:rsidRPr="00FC41B0">
        <w:t xml:space="preserve">sufficient time to </w:t>
      </w:r>
      <w:r w:rsidR="00B87445">
        <w:t xml:space="preserve">assess </w:t>
      </w:r>
      <w:r w:rsidRPr="00FC41B0">
        <w:t>pre-arrival reports and make decisions, thereby mitigating the risk of delays.</w:t>
      </w:r>
    </w:p>
    <w:p w14:paraId="0A57AA60" w14:textId="78B48909" w:rsidR="00252AA5" w:rsidRPr="00B70B8E" w:rsidRDefault="00C2050E" w:rsidP="00B70B8E">
      <w:pPr>
        <w:pStyle w:val="BodyText"/>
      </w:pPr>
      <w:r w:rsidRPr="00E979B6">
        <w:t>A</w:t>
      </w:r>
      <w:r w:rsidR="00833E73" w:rsidRPr="00E979B6">
        <w:t xml:space="preserve">dditional resources </w:t>
      </w:r>
      <w:r w:rsidR="00FB5CDC" w:rsidRPr="00E979B6">
        <w:t xml:space="preserve">will also be </w:t>
      </w:r>
      <w:r w:rsidR="00833E73" w:rsidRPr="00E979B6">
        <w:t xml:space="preserve">required for the </w:t>
      </w:r>
      <w:r w:rsidR="005B2779">
        <w:t>department</w:t>
      </w:r>
      <w:r w:rsidR="00833E73" w:rsidRPr="00E979B6">
        <w:t xml:space="preserve"> and other bodies to manage new information</w:t>
      </w:r>
      <w:r w:rsidR="008235E4" w:rsidRPr="00E979B6">
        <w:t>,</w:t>
      </w:r>
      <w:r w:rsidR="00833E73" w:rsidRPr="00E979B6">
        <w:t xml:space="preserve"> and</w:t>
      </w:r>
      <w:r w:rsidR="00FB5CDC" w:rsidRPr="00B70B8E">
        <w:t xml:space="preserve"> </w:t>
      </w:r>
      <w:r w:rsidR="008235E4" w:rsidRPr="00E979B6">
        <w:t>to</w:t>
      </w:r>
      <w:r w:rsidR="00833E73" w:rsidRPr="00E979B6">
        <w:t xml:space="preserve"> activate a </w:t>
      </w:r>
      <w:r w:rsidR="001A0E92">
        <w:t>new</w:t>
      </w:r>
      <w:r w:rsidR="00833E73" w:rsidRPr="00E979B6">
        <w:t xml:space="preserve"> management regime in response</w:t>
      </w:r>
      <w:r w:rsidR="008235E4" w:rsidRPr="00E979B6">
        <w:t>.</w:t>
      </w:r>
      <w:r w:rsidR="005546F7" w:rsidRPr="00E979B6">
        <w:t xml:space="preserve"> These costs are highly variable and difficult to quantify with any reasonable</w:t>
      </w:r>
      <w:r w:rsidR="005546F7">
        <w:t xml:space="preserve"> level of </w:t>
      </w:r>
      <w:r w:rsidR="005546F7">
        <w:lastRenderedPageBreak/>
        <w:t>certainty. In particular, t</w:t>
      </w:r>
      <w:r w:rsidR="006E44BB">
        <w:t xml:space="preserve">he </w:t>
      </w:r>
      <w:r w:rsidR="00231E89">
        <w:t xml:space="preserve">resources required </w:t>
      </w:r>
      <w:r w:rsidR="001E46F9">
        <w:t xml:space="preserve">to </w:t>
      </w:r>
      <w:r w:rsidR="00AE7B35">
        <w:t>implement</w:t>
      </w:r>
      <w:r w:rsidR="00231E89">
        <w:t xml:space="preserve"> the</w:t>
      </w:r>
      <w:r w:rsidR="006E44BB">
        <w:t xml:space="preserve"> Human Biosecurity Group Direction</w:t>
      </w:r>
      <w:r w:rsidR="0040307D">
        <w:t xml:space="preserve">, </w:t>
      </w:r>
      <w:r w:rsidR="00252AA5" w:rsidRPr="00B70B8E">
        <w:t xml:space="preserve">will depend on </w:t>
      </w:r>
      <w:r w:rsidR="00D12CCF">
        <w:t xml:space="preserve">the </w:t>
      </w:r>
      <w:r w:rsidR="00252AA5" w:rsidRPr="00B70B8E">
        <w:t>frequency</w:t>
      </w:r>
      <w:r w:rsidR="00D12CCF">
        <w:t xml:space="preserve"> and</w:t>
      </w:r>
      <w:r w:rsidR="00252AA5" w:rsidRPr="00B70B8E">
        <w:t xml:space="preserve"> duration</w:t>
      </w:r>
      <w:r w:rsidR="00D12CCF">
        <w:t xml:space="preserve"> of these directions</w:t>
      </w:r>
      <w:r w:rsidR="00252AA5" w:rsidRPr="00B70B8E">
        <w:t xml:space="preserve">. </w:t>
      </w:r>
    </w:p>
    <w:p w14:paraId="602FE59D" w14:textId="52EF020D" w:rsidR="00252AA5" w:rsidRPr="00B70B8E" w:rsidRDefault="00A17BEA" w:rsidP="00B70B8E">
      <w:pPr>
        <w:pStyle w:val="BodyText"/>
      </w:pPr>
      <w:r>
        <w:t>N</w:t>
      </w:r>
      <w:r w:rsidR="00252AA5" w:rsidRPr="00B70B8E">
        <w:t xml:space="preserve">o additional costs </w:t>
      </w:r>
      <w:r>
        <w:t xml:space="preserve">are </w:t>
      </w:r>
      <w:r w:rsidR="00252AA5" w:rsidRPr="00B70B8E">
        <w:t xml:space="preserve">foreseen for </w:t>
      </w:r>
      <w:r w:rsidR="00A6735F">
        <w:t>government</w:t>
      </w:r>
      <w:r w:rsidR="00252AA5">
        <w:t xml:space="preserve"> </w:t>
      </w:r>
      <w:r w:rsidR="00252AA5" w:rsidRPr="00B70B8E">
        <w:t>agencies</w:t>
      </w:r>
      <w:r>
        <w:t xml:space="preserve"> </w:t>
      </w:r>
      <w:r w:rsidR="007824F1">
        <w:t>to</w:t>
      </w:r>
      <w:r>
        <w:t xml:space="preserve"> </w:t>
      </w:r>
      <w:r w:rsidR="00251B02">
        <w:t xml:space="preserve">implement the amendments regarding </w:t>
      </w:r>
      <w:r w:rsidR="007B0564">
        <w:t>negative pratique</w:t>
      </w:r>
      <w:r w:rsidR="002B5456">
        <w:t xml:space="preserve">, </w:t>
      </w:r>
      <w:r w:rsidR="00B87445">
        <w:t xml:space="preserve">including the </w:t>
      </w:r>
      <w:r w:rsidR="009E5A13">
        <w:t xml:space="preserve">changes to the </w:t>
      </w:r>
      <w:r w:rsidR="009E5A13" w:rsidRPr="009E5A13">
        <w:t>penalties for breaches of pratique</w:t>
      </w:r>
      <w:r w:rsidR="00B202A1">
        <w:t>.</w:t>
      </w:r>
      <w:r w:rsidR="002B5456">
        <w:t xml:space="preserve"> </w:t>
      </w:r>
    </w:p>
    <w:p w14:paraId="5D869B1E" w14:textId="36DFBB0B" w:rsidR="00711123" w:rsidRPr="000F79A8" w:rsidRDefault="00711123" w:rsidP="000F79A8">
      <w:pPr>
        <w:keepNext/>
        <w:rPr>
          <w:b/>
          <w:bCs/>
        </w:rPr>
      </w:pPr>
      <w:r w:rsidRPr="000F79A8">
        <w:rPr>
          <w:b/>
          <w:bCs/>
        </w:rPr>
        <w:t>Regulatory burden estimate</w:t>
      </w:r>
      <w:r w:rsidR="00E63C7C">
        <w:rPr>
          <w:b/>
          <w:bCs/>
        </w:rPr>
        <w:t xml:space="preserve"> </w:t>
      </w:r>
    </w:p>
    <w:p w14:paraId="05649BB6" w14:textId="17DA1648" w:rsidR="00D1037B" w:rsidRDefault="009C4E7B" w:rsidP="00D1037B">
      <w:pPr>
        <w:pStyle w:val="BodyText"/>
      </w:pPr>
      <w:r>
        <w:fldChar w:fldCharType="begin"/>
      </w:r>
      <w:r>
        <w:instrText xml:space="preserve"> REF _Ref78906152 \h </w:instrText>
      </w:r>
      <w:r>
        <w:fldChar w:fldCharType="separate"/>
      </w:r>
      <w:r w:rsidR="004C4CE2">
        <w:t xml:space="preserve">Table </w:t>
      </w:r>
      <w:r w:rsidR="004C4CE2">
        <w:rPr>
          <w:noProof/>
        </w:rPr>
        <w:t>5</w:t>
      </w:r>
      <w:r>
        <w:fldChar w:fldCharType="end"/>
      </w:r>
      <w:r w:rsidR="00D1037B">
        <w:t xml:space="preserve"> below presents a matrix </w:t>
      </w:r>
      <w:r w:rsidR="00D2035D">
        <w:t>mapping</w:t>
      </w:r>
      <w:r w:rsidR="00D1037B">
        <w:t xml:space="preserve"> the proposed legislative amendments against the segments </w:t>
      </w:r>
      <w:r w:rsidR="00BE4748">
        <w:t xml:space="preserve">expected to </w:t>
      </w:r>
      <w:r w:rsidR="00D1037B">
        <w:t>incur an additional regulatory burden</w:t>
      </w:r>
      <w:r w:rsidR="00351535">
        <w:t xml:space="preserve"> </w:t>
      </w:r>
      <w:proofErr w:type="gramStart"/>
      <w:r w:rsidR="00351535">
        <w:t>as a result of</w:t>
      </w:r>
      <w:proofErr w:type="gramEnd"/>
      <w:r w:rsidR="00351535">
        <w:t xml:space="preserve"> these</w:t>
      </w:r>
      <w:r w:rsidR="00D2035D">
        <w:t xml:space="preserve"> amendments</w:t>
      </w:r>
      <w:r w:rsidR="00D1037B">
        <w:t>.</w:t>
      </w:r>
      <w:r w:rsidR="00BE4748">
        <w:t xml:space="preserve"> </w:t>
      </w:r>
    </w:p>
    <w:tbl>
      <w:tblPr>
        <w:tblW w:w="10019" w:type="dxa"/>
        <w:jc w:val="center"/>
        <w:tblLook w:val="04A0" w:firstRow="1" w:lastRow="0" w:firstColumn="1" w:lastColumn="0" w:noHBand="0" w:noVBand="1"/>
      </w:tblPr>
      <w:tblGrid>
        <w:gridCol w:w="6653"/>
        <w:gridCol w:w="1106"/>
        <w:gridCol w:w="1052"/>
        <w:gridCol w:w="1208"/>
      </w:tblGrid>
      <w:tr w:rsidR="00D1037B" w:rsidRPr="00EE6C3B" w14:paraId="262A8DA2" w14:textId="77777777" w:rsidTr="007A7319">
        <w:trPr>
          <w:trHeight w:val="20"/>
          <w:jc w:val="center"/>
        </w:trPr>
        <w:tc>
          <w:tcPr>
            <w:tcW w:w="6653" w:type="dxa"/>
            <w:tcBorders>
              <w:top w:val="single" w:sz="8" w:space="0" w:color="auto"/>
              <w:left w:val="single" w:sz="8" w:space="0" w:color="auto"/>
              <w:bottom w:val="single" w:sz="4" w:space="0" w:color="auto"/>
              <w:right w:val="single" w:sz="4" w:space="0" w:color="auto"/>
            </w:tcBorders>
            <w:shd w:val="clear" w:color="auto" w:fill="014463" w:themeFill="text2"/>
            <w:hideMark/>
          </w:tcPr>
          <w:p w14:paraId="7FB63B2D" w14:textId="77777777" w:rsidR="00D1037B" w:rsidRPr="00EE6C3B" w:rsidRDefault="00D1037B" w:rsidP="007A7319">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Proposed amendment</w:t>
            </w:r>
          </w:p>
        </w:tc>
        <w:tc>
          <w:tcPr>
            <w:tcW w:w="1106" w:type="dxa"/>
            <w:tcBorders>
              <w:top w:val="single" w:sz="8" w:space="0" w:color="auto"/>
              <w:left w:val="nil"/>
              <w:bottom w:val="single" w:sz="4" w:space="0" w:color="auto"/>
              <w:right w:val="single" w:sz="4" w:space="0" w:color="auto"/>
            </w:tcBorders>
            <w:shd w:val="clear" w:color="auto" w:fill="014463" w:themeFill="text2"/>
          </w:tcPr>
          <w:p w14:paraId="0D09380B" w14:textId="77777777" w:rsidR="00D1037B" w:rsidRPr="00EE6C3B" w:rsidRDefault="00D1037B" w:rsidP="00A42C35">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Businesses</w:t>
            </w:r>
          </w:p>
        </w:tc>
        <w:tc>
          <w:tcPr>
            <w:tcW w:w="1052" w:type="dxa"/>
            <w:tcBorders>
              <w:top w:val="single" w:sz="8" w:space="0" w:color="auto"/>
              <w:left w:val="nil"/>
              <w:bottom w:val="single" w:sz="4" w:space="0" w:color="auto"/>
              <w:right w:val="single" w:sz="4" w:space="0" w:color="auto"/>
            </w:tcBorders>
            <w:shd w:val="clear" w:color="auto" w:fill="014463" w:themeFill="text2"/>
          </w:tcPr>
          <w:p w14:paraId="35B7B9DD" w14:textId="77777777" w:rsidR="00D1037B" w:rsidRPr="00EE6C3B" w:rsidRDefault="00D1037B" w:rsidP="00C11299">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Individuals</w:t>
            </w:r>
          </w:p>
        </w:tc>
        <w:tc>
          <w:tcPr>
            <w:tcW w:w="1208" w:type="dxa"/>
            <w:tcBorders>
              <w:top w:val="single" w:sz="8" w:space="0" w:color="auto"/>
              <w:left w:val="nil"/>
              <w:bottom w:val="single" w:sz="4" w:space="0" w:color="auto"/>
              <w:right w:val="single" w:sz="8" w:space="0" w:color="auto"/>
            </w:tcBorders>
            <w:shd w:val="clear" w:color="auto" w:fill="014463" w:themeFill="text2"/>
          </w:tcPr>
          <w:p w14:paraId="64623224" w14:textId="77777777" w:rsidR="00D1037B" w:rsidRPr="00EE6C3B" w:rsidRDefault="00D1037B" w:rsidP="00C11299">
            <w:pPr>
              <w:keepNext/>
              <w:spacing w:after="0" w:line="240" w:lineRule="auto"/>
              <w:jc w:val="center"/>
              <w:rPr>
                <w:rFonts w:asciiTheme="majorHAnsi" w:eastAsia="Times New Roman" w:hAnsiTheme="majorHAnsi" w:cstheme="minorHAnsi"/>
                <w:b/>
                <w:bCs/>
                <w:color w:val="FFFFFF"/>
                <w:sz w:val="16"/>
                <w:szCs w:val="16"/>
                <w:lang w:eastAsia="en-AU"/>
              </w:rPr>
            </w:pPr>
            <w:r w:rsidRPr="00EE6C3B">
              <w:rPr>
                <w:rFonts w:asciiTheme="majorHAnsi" w:eastAsia="Times New Roman" w:hAnsiTheme="majorHAnsi" w:cstheme="minorHAnsi"/>
                <w:b/>
                <w:bCs/>
                <w:color w:val="FFFFFF"/>
                <w:sz w:val="16"/>
                <w:szCs w:val="16"/>
                <w:lang w:eastAsia="en-AU"/>
              </w:rPr>
              <w:t>Community Organisation</w:t>
            </w:r>
          </w:p>
        </w:tc>
      </w:tr>
      <w:tr w:rsidR="00D1037B" w:rsidRPr="00EE6C3B" w14:paraId="166FC13C" w14:textId="77777777" w:rsidTr="009F760D">
        <w:trPr>
          <w:trHeight w:val="397"/>
          <w:jc w:val="center"/>
        </w:trPr>
        <w:tc>
          <w:tcPr>
            <w:tcW w:w="6653" w:type="dxa"/>
            <w:tcBorders>
              <w:top w:val="nil"/>
              <w:left w:val="single" w:sz="8" w:space="0" w:color="auto"/>
              <w:bottom w:val="single" w:sz="4" w:space="0" w:color="auto"/>
              <w:right w:val="single" w:sz="4" w:space="0" w:color="auto"/>
            </w:tcBorders>
            <w:shd w:val="clear" w:color="000000" w:fill="D9E1F2"/>
            <w:vAlign w:val="center"/>
          </w:tcPr>
          <w:p w14:paraId="370502E1" w14:textId="77777777" w:rsidR="00D1037B" w:rsidRPr="00CF3A3E" w:rsidRDefault="00D1037B" w:rsidP="000F79A8">
            <w:pPr>
              <w:keepNext/>
              <w:spacing w:after="0" w:line="240" w:lineRule="auto"/>
              <w:rPr>
                <w:rFonts w:asciiTheme="majorHAnsi" w:eastAsia="Times New Roman" w:hAnsiTheme="majorHAnsi" w:cstheme="minorHAnsi"/>
                <w:color w:val="000000"/>
                <w:sz w:val="16"/>
                <w:szCs w:val="14"/>
                <w:lang w:eastAsia="en-AU"/>
              </w:rPr>
            </w:pPr>
            <w:r w:rsidRPr="00CF3A3E">
              <w:rPr>
                <w:rFonts w:asciiTheme="majorHAnsi" w:hAnsiTheme="majorHAnsi" w:cstheme="minorHAnsi"/>
                <w:sz w:val="16"/>
                <w:szCs w:val="14"/>
              </w:rPr>
              <w:t>Multiple pre-arrival reporting requirements </w:t>
            </w:r>
          </w:p>
        </w:tc>
        <w:tc>
          <w:tcPr>
            <w:tcW w:w="1106" w:type="dxa"/>
            <w:tcBorders>
              <w:top w:val="nil"/>
              <w:left w:val="nil"/>
              <w:bottom w:val="single" w:sz="4" w:space="0" w:color="auto"/>
              <w:right w:val="single" w:sz="4" w:space="0" w:color="auto"/>
            </w:tcBorders>
            <w:shd w:val="clear" w:color="auto" w:fill="auto"/>
            <w:noWrap/>
            <w:vAlign w:val="center"/>
          </w:tcPr>
          <w:p w14:paraId="564C4A01"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r w:rsidRPr="005D5F61">
              <w:rPr>
                <w:rFonts w:asciiTheme="majorHAnsi" w:eastAsia="Times New Roman" w:hAnsiTheme="majorHAnsi" w:cstheme="minorHAnsi"/>
                <w:b/>
                <w:bCs/>
                <w:color w:val="000000"/>
                <w:sz w:val="16"/>
                <w:szCs w:val="16"/>
                <w:lang w:eastAsia="en-AU"/>
              </w:rPr>
              <w:t>X</w:t>
            </w:r>
          </w:p>
        </w:tc>
        <w:tc>
          <w:tcPr>
            <w:tcW w:w="1052" w:type="dxa"/>
            <w:tcBorders>
              <w:top w:val="nil"/>
              <w:left w:val="nil"/>
              <w:bottom w:val="single" w:sz="4" w:space="0" w:color="auto"/>
              <w:right w:val="single" w:sz="4" w:space="0" w:color="auto"/>
            </w:tcBorders>
            <w:shd w:val="clear" w:color="auto" w:fill="auto"/>
            <w:noWrap/>
            <w:vAlign w:val="center"/>
          </w:tcPr>
          <w:p w14:paraId="47BFE127"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c>
          <w:tcPr>
            <w:tcW w:w="1208" w:type="dxa"/>
            <w:tcBorders>
              <w:top w:val="nil"/>
              <w:left w:val="nil"/>
              <w:bottom w:val="single" w:sz="4" w:space="0" w:color="auto"/>
              <w:right w:val="single" w:sz="8" w:space="0" w:color="auto"/>
            </w:tcBorders>
            <w:shd w:val="clear" w:color="auto" w:fill="auto"/>
            <w:noWrap/>
            <w:vAlign w:val="center"/>
          </w:tcPr>
          <w:p w14:paraId="272D7860"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r>
      <w:tr w:rsidR="00D1037B" w:rsidRPr="00EE6C3B" w14:paraId="46A052BF" w14:textId="77777777" w:rsidTr="009F760D">
        <w:trPr>
          <w:trHeight w:val="397"/>
          <w:jc w:val="center"/>
        </w:trPr>
        <w:tc>
          <w:tcPr>
            <w:tcW w:w="6653" w:type="dxa"/>
            <w:tcBorders>
              <w:top w:val="nil"/>
              <w:left w:val="single" w:sz="8" w:space="0" w:color="auto"/>
              <w:bottom w:val="single" w:sz="4" w:space="0" w:color="auto"/>
              <w:right w:val="single" w:sz="4" w:space="0" w:color="auto"/>
            </w:tcBorders>
            <w:shd w:val="clear" w:color="000000" w:fill="D9E1F2"/>
            <w:vAlign w:val="center"/>
          </w:tcPr>
          <w:p w14:paraId="5854E3C7" w14:textId="77777777" w:rsidR="00D1037B" w:rsidRPr="00CF3A3E" w:rsidRDefault="00D1037B" w:rsidP="000F79A8">
            <w:pPr>
              <w:keepNext/>
              <w:spacing w:after="0" w:line="240" w:lineRule="auto"/>
              <w:rPr>
                <w:rFonts w:asciiTheme="majorHAnsi" w:eastAsia="Times New Roman" w:hAnsiTheme="majorHAnsi" w:cstheme="minorHAnsi"/>
                <w:color w:val="000000"/>
                <w:sz w:val="16"/>
                <w:szCs w:val="14"/>
                <w:lang w:eastAsia="en-AU"/>
              </w:rPr>
            </w:pPr>
            <w:r w:rsidRPr="00CF3A3E">
              <w:rPr>
                <w:rFonts w:asciiTheme="majorHAnsi" w:hAnsiTheme="majorHAnsi" w:cstheme="minorHAnsi"/>
                <w:sz w:val="16"/>
                <w:szCs w:val="14"/>
              </w:rPr>
              <w:t>Requirements to update pre-arrival reporting</w:t>
            </w:r>
          </w:p>
        </w:tc>
        <w:tc>
          <w:tcPr>
            <w:tcW w:w="1106" w:type="dxa"/>
            <w:tcBorders>
              <w:top w:val="nil"/>
              <w:left w:val="nil"/>
              <w:bottom w:val="single" w:sz="4" w:space="0" w:color="auto"/>
              <w:right w:val="single" w:sz="4" w:space="0" w:color="auto"/>
            </w:tcBorders>
            <w:shd w:val="clear" w:color="auto" w:fill="auto"/>
            <w:noWrap/>
            <w:vAlign w:val="center"/>
          </w:tcPr>
          <w:p w14:paraId="4BB31FFC"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r w:rsidRPr="005D5F61">
              <w:rPr>
                <w:rFonts w:asciiTheme="majorHAnsi" w:eastAsia="Times New Roman" w:hAnsiTheme="majorHAnsi" w:cstheme="minorHAnsi"/>
                <w:b/>
                <w:bCs/>
                <w:color w:val="000000"/>
                <w:sz w:val="16"/>
                <w:szCs w:val="16"/>
                <w:lang w:eastAsia="en-AU"/>
              </w:rPr>
              <w:t>X</w:t>
            </w:r>
          </w:p>
        </w:tc>
        <w:tc>
          <w:tcPr>
            <w:tcW w:w="1052" w:type="dxa"/>
            <w:tcBorders>
              <w:top w:val="nil"/>
              <w:left w:val="nil"/>
              <w:bottom w:val="single" w:sz="4" w:space="0" w:color="auto"/>
              <w:right w:val="single" w:sz="4" w:space="0" w:color="auto"/>
            </w:tcBorders>
            <w:shd w:val="clear" w:color="auto" w:fill="auto"/>
            <w:noWrap/>
            <w:vAlign w:val="center"/>
          </w:tcPr>
          <w:p w14:paraId="31DEE675"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c>
          <w:tcPr>
            <w:tcW w:w="1208" w:type="dxa"/>
            <w:tcBorders>
              <w:top w:val="nil"/>
              <w:left w:val="nil"/>
              <w:bottom w:val="single" w:sz="4" w:space="0" w:color="auto"/>
              <w:right w:val="single" w:sz="8" w:space="0" w:color="auto"/>
            </w:tcBorders>
            <w:shd w:val="clear" w:color="auto" w:fill="auto"/>
            <w:noWrap/>
            <w:vAlign w:val="center"/>
          </w:tcPr>
          <w:p w14:paraId="4F3BDD29"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r>
      <w:tr w:rsidR="00D1037B" w:rsidRPr="00EE6C3B" w14:paraId="04ECD94D" w14:textId="77777777" w:rsidTr="009F760D">
        <w:trPr>
          <w:trHeight w:val="397"/>
          <w:jc w:val="center"/>
        </w:trPr>
        <w:tc>
          <w:tcPr>
            <w:tcW w:w="6653" w:type="dxa"/>
            <w:tcBorders>
              <w:top w:val="nil"/>
              <w:left w:val="single" w:sz="8" w:space="0" w:color="auto"/>
              <w:bottom w:val="single" w:sz="4" w:space="0" w:color="auto"/>
              <w:right w:val="single" w:sz="4" w:space="0" w:color="auto"/>
            </w:tcBorders>
            <w:shd w:val="clear" w:color="000000" w:fill="D9E1F2"/>
            <w:vAlign w:val="center"/>
          </w:tcPr>
          <w:p w14:paraId="0F9355F6" w14:textId="77777777" w:rsidR="00D1037B" w:rsidRPr="00CF3A3E" w:rsidRDefault="00D1037B" w:rsidP="000F79A8">
            <w:pPr>
              <w:keepNext/>
              <w:spacing w:after="0" w:line="240" w:lineRule="auto"/>
              <w:rPr>
                <w:rFonts w:asciiTheme="majorHAnsi" w:eastAsia="Times New Roman" w:hAnsiTheme="majorHAnsi" w:cstheme="minorHAnsi"/>
                <w:color w:val="000000"/>
                <w:sz w:val="16"/>
                <w:szCs w:val="14"/>
                <w:lang w:eastAsia="en-AU"/>
              </w:rPr>
            </w:pPr>
            <w:r w:rsidRPr="00CF3A3E">
              <w:rPr>
                <w:rFonts w:asciiTheme="majorHAnsi" w:hAnsiTheme="majorHAnsi" w:cstheme="minorHAnsi"/>
                <w:sz w:val="16"/>
                <w:szCs w:val="14"/>
              </w:rPr>
              <w:t>Expand negative pratique obligations</w:t>
            </w:r>
          </w:p>
        </w:tc>
        <w:tc>
          <w:tcPr>
            <w:tcW w:w="1106" w:type="dxa"/>
            <w:tcBorders>
              <w:top w:val="nil"/>
              <w:left w:val="nil"/>
              <w:bottom w:val="single" w:sz="4" w:space="0" w:color="auto"/>
              <w:right w:val="single" w:sz="4" w:space="0" w:color="auto"/>
            </w:tcBorders>
            <w:shd w:val="clear" w:color="auto" w:fill="auto"/>
            <w:noWrap/>
            <w:vAlign w:val="center"/>
          </w:tcPr>
          <w:p w14:paraId="2255796A"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c>
          <w:tcPr>
            <w:tcW w:w="1052" w:type="dxa"/>
            <w:tcBorders>
              <w:top w:val="nil"/>
              <w:left w:val="nil"/>
              <w:bottom w:val="single" w:sz="4" w:space="0" w:color="auto"/>
              <w:right w:val="single" w:sz="4" w:space="0" w:color="auto"/>
            </w:tcBorders>
            <w:shd w:val="clear" w:color="auto" w:fill="auto"/>
            <w:noWrap/>
            <w:vAlign w:val="center"/>
          </w:tcPr>
          <w:p w14:paraId="441F9014"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c>
          <w:tcPr>
            <w:tcW w:w="1208" w:type="dxa"/>
            <w:tcBorders>
              <w:top w:val="nil"/>
              <w:left w:val="nil"/>
              <w:bottom w:val="single" w:sz="4" w:space="0" w:color="auto"/>
              <w:right w:val="single" w:sz="8" w:space="0" w:color="auto"/>
            </w:tcBorders>
            <w:shd w:val="clear" w:color="auto" w:fill="auto"/>
            <w:noWrap/>
            <w:vAlign w:val="center"/>
          </w:tcPr>
          <w:p w14:paraId="09E72E6E"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r>
      <w:tr w:rsidR="00D1037B" w:rsidRPr="00EE6C3B" w14:paraId="769446D9" w14:textId="77777777" w:rsidTr="009F760D">
        <w:trPr>
          <w:trHeight w:val="454"/>
          <w:jc w:val="center"/>
        </w:trPr>
        <w:tc>
          <w:tcPr>
            <w:tcW w:w="6653" w:type="dxa"/>
            <w:tcBorders>
              <w:top w:val="nil"/>
              <w:left w:val="single" w:sz="8" w:space="0" w:color="auto"/>
              <w:bottom w:val="single" w:sz="8" w:space="0" w:color="auto"/>
              <w:right w:val="single" w:sz="4" w:space="0" w:color="auto"/>
            </w:tcBorders>
            <w:shd w:val="clear" w:color="000000" w:fill="D9E1F2"/>
            <w:vAlign w:val="center"/>
          </w:tcPr>
          <w:p w14:paraId="0D592050" w14:textId="3F2A5ABD" w:rsidR="00D1037B" w:rsidRPr="00FB2AE3" w:rsidRDefault="00D1037B" w:rsidP="000F79A8">
            <w:pPr>
              <w:keepNext/>
              <w:spacing w:after="0" w:line="240" w:lineRule="auto"/>
              <w:rPr>
                <w:rFonts w:asciiTheme="majorHAnsi" w:hAnsiTheme="majorHAnsi" w:cstheme="minorHAnsi"/>
                <w:sz w:val="16"/>
                <w:szCs w:val="14"/>
              </w:rPr>
            </w:pPr>
            <w:r w:rsidRPr="00CF3A3E">
              <w:rPr>
                <w:rFonts w:asciiTheme="majorHAnsi" w:hAnsiTheme="majorHAnsi" w:cstheme="minorHAnsi"/>
                <w:sz w:val="16"/>
                <w:szCs w:val="14"/>
              </w:rPr>
              <w:t>Create a power to issue directions to apply to a group of persons</w:t>
            </w:r>
            <w:r w:rsidR="00FB2AE3">
              <w:rPr>
                <w:rFonts w:asciiTheme="majorHAnsi" w:hAnsiTheme="majorHAnsi" w:cstheme="minorHAnsi"/>
                <w:sz w:val="16"/>
                <w:szCs w:val="14"/>
              </w:rPr>
              <w:br/>
            </w:r>
            <w:r w:rsidR="00C53F8D">
              <w:rPr>
                <w:rFonts w:asciiTheme="majorHAnsi" w:hAnsiTheme="majorHAnsi" w:cstheme="minorHAnsi"/>
                <w:sz w:val="16"/>
                <w:szCs w:val="14"/>
              </w:rPr>
              <w:t>(Human Biosecurity Group Direction, or HBGD)</w:t>
            </w:r>
          </w:p>
        </w:tc>
        <w:tc>
          <w:tcPr>
            <w:tcW w:w="1106" w:type="dxa"/>
            <w:tcBorders>
              <w:top w:val="nil"/>
              <w:left w:val="nil"/>
              <w:bottom w:val="single" w:sz="8" w:space="0" w:color="auto"/>
              <w:right w:val="single" w:sz="4" w:space="0" w:color="auto"/>
            </w:tcBorders>
            <w:shd w:val="clear" w:color="auto" w:fill="auto"/>
            <w:noWrap/>
            <w:vAlign w:val="center"/>
          </w:tcPr>
          <w:p w14:paraId="2F395F86" w14:textId="39DF3A3E" w:rsidR="00D1037B" w:rsidRPr="00D97D39" w:rsidRDefault="00D1037B" w:rsidP="0069593B">
            <w:pPr>
              <w:keepNext/>
              <w:spacing w:after="0" w:line="240" w:lineRule="auto"/>
              <w:jc w:val="center"/>
              <w:rPr>
                <w:rFonts w:asciiTheme="majorHAnsi" w:eastAsia="Times New Roman" w:hAnsiTheme="majorHAnsi" w:cstheme="minorHAnsi"/>
                <w:i/>
                <w:color w:val="000000"/>
                <w:sz w:val="16"/>
                <w:szCs w:val="16"/>
                <w:lang w:eastAsia="en-AU"/>
              </w:rPr>
            </w:pPr>
            <w:r w:rsidRPr="005D5F61">
              <w:rPr>
                <w:rFonts w:asciiTheme="majorHAnsi" w:eastAsia="Times New Roman" w:hAnsiTheme="majorHAnsi" w:cstheme="minorHAnsi"/>
                <w:b/>
                <w:bCs/>
                <w:color w:val="000000"/>
                <w:sz w:val="16"/>
                <w:szCs w:val="16"/>
                <w:lang w:eastAsia="en-AU"/>
              </w:rPr>
              <w:t>X</w:t>
            </w:r>
          </w:p>
        </w:tc>
        <w:tc>
          <w:tcPr>
            <w:tcW w:w="1052" w:type="dxa"/>
            <w:tcBorders>
              <w:top w:val="nil"/>
              <w:left w:val="nil"/>
              <w:bottom w:val="single" w:sz="8" w:space="0" w:color="auto"/>
              <w:right w:val="single" w:sz="4" w:space="0" w:color="auto"/>
            </w:tcBorders>
            <w:shd w:val="clear" w:color="auto" w:fill="auto"/>
            <w:noWrap/>
            <w:vAlign w:val="center"/>
          </w:tcPr>
          <w:p w14:paraId="471275F0" w14:textId="53DDC41B" w:rsidR="00D1037B" w:rsidRPr="00D97D39" w:rsidRDefault="00D1037B" w:rsidP="0069593B">
            <w:pPr>
              <w:keepNext/>
              <w:spacing w:after="0" w:line="240" w:lineRule="auto"/>
              <w:jc w:val="center"/>
              <w:rPr>
                <w:rFonts w:asciiTheme="majorHAnsi" w:eastAsia="Times New Roman" w:hAnsiTheme="majorHAnsi" w:cstheme="minorHAnsi"/>
                <w:i/>
                <w:color w:val="000000"/>
                <w:sz w:val="16"/>
                <w:szCs w:val="16"/>
                <w:lang w:eastAsia="en-AU"/>
              </w:rPr>
            </w:pPr>
            <w:r w:rsidRPr="005D5F61">
              <w:rPr>
                <w:rFonts w:asciiTheme="majorHAnsi" w:eastAsia="Times New Roman" w:hAnsiTheme="majorHAnsi" w:cstheme="minorHAnsi"/>
                <w:b/>
                <w:bCs/>
                <w:color w:val="000000"/>
                <w:sz w:val="16"/>
                <w:szCs w:val="16"/>
                <w:lang w:eastAsia="en-AU"/>
              </w:rPr>
              <w:t>X</w:t>
            </w:r>
          </w:p>
        </w:tc>
        <w:tc>
          <w:tcPr>
            <w:tcW w:w="1208" w:type="dxa"/>
            <w:tcBorders>
              <w:top w:val="nil"/>
              <w:left w:val="nil"/>
              <w:bottom w:val="single" w:sz="8" w:space="0" w:color="auto"/>
              <w:right w:val="single" w:sz="8" w:space="0" w:color="auto"/>
            </w:tcBorders>
            <w:shd w:val="clear" w:color="auto" w:fill="auto"/>
            <w:noWrap/>
            <w:vAlign w:val="center"/>
          </w:tcPr>
          <w:p w14:paraId="2A43655C" w14:textId="77777777" w:rsidR="00D1037B" w:rsidRPr="005D5F61" w:rsidRDefault="00D1037B" w:rsidP="000F79A8">
            <w:pPr>
              <w:keepNext/>
              <w:spacing w:after="0" w:line="240" w:lineRule="auto"/>
              <w:jc w:val="center"/>
              <w:rPr>
                <w:rFonts w:asciiTheme="majorHAnsi" w:eastAsia="Times New Roman" w:hAnsiTheme="majorHAnsi" w:cstheme="minorHAnsi"/>
                <w:b/>
                <w:bCs/>
                <w:color w:val="000000"/>
                <w:sz w:val="16"/>
                <w:szCs w:val="16"/>
                <w:lang w:eastAsia="en-AU"/>
              </w:rPr>
            </w:pPr>
          </w:p>
        </w:tc>
      </w:tr>
    </w:tbl>
    <w:p w14:paraId="316ED72A" w14:textId="656122F8" w:rsidR="00D1037B" w:rsidRDefault="00D1037B" w:rsidP="00DB7749">
      <w:pPr>
        <w:pStyle w:val="Caption"/>
        <w:keepNext w:val="0"/>
        <w:jc w:val="center"/>
      </w:pPr>
      <w:bookmarkStart w:id="41" w:name="_Ref78906152"/>
      <w:r>
        <w:t xml:space="preserve">Table </w:t>
      </w:r>
      <w:r w:rsidR="00733E8D">
        <w:fldChar w:fldCharType="begin"/>
      </w:r>
      <w:r w:rsidR="00733E8D">
        <w:instrText xml:space="preserve"> SEQ Table \* ARABIC </w:instrText>
      </w:r>
      <w:r w:rsidR="00733E8D">
        <w:fldChar w:fldCharType="separate"/>
      </w:r>
      <w:r w:rsidR="004C4CE2">
        <w:rPr>
          <w:noProof/>
        </w:rPr>
        <w:t>5</w:t>
      </w:r>
      <w:r w:rsidR="00733E8D">
        <w:rPr>
          <w:noProof/>
        </w:rPr>
        <w:fldChar w:fldCharType="end"/>
      </w:r>
      <w:bookmarkEnd w:id="41"/>
      <w:r>
        <w:t xml:space="preserve"> </w:t>
      </w:r>
      <w:r w:rsidR="00AF5BB0">
        <w:t>–</w:t>
      </w:r>
      <w:r>
        <w:t xml:space="preserve"> </w:t>
      </w:r>
      <w:r w:rsidR="00AF5BB0">
        <w:t>Anticipated</w:t>
      </w:r>
      <w:r>
        <w:t xml:space="preserve"> Regulatory Burden mapped </w:t>
      </w:r>
      <w:r>
        <w:rPr>
          <w:noProof/>
        </w:rPr>
        <w:t>against Segments</w:t>
      </w:r>
    </w:p>
    <w:p w14:paraId="6608B7AA" w14:textId="7C677EA1" w:rsidR="00F73E96" w:rsidRDefault="00A70B75" w:rsidP="00711123">
      <w:r>
        <w:t>A</w:t>
      </w:r>
      <w:r w:rsidR="00313590">
        <w:t>s no</w:t>
      </w:r>
      <w:r w:rsidR="0027187B">
        <w:t>t</w:t>
      </w:r>
      <w:r w:rsidR="00313590">
        <w:t xml:space="preserve">ed in </w:t>
      </w:r>
      <w:r w:rsidR="00313590">
        <w:fldChar w:fldCharType="begin"/>
      </w:r>
      <w:r w:rsidR="00313590">
        <w:instrText xml:space="preserve"> REF _Ref78906152 \h </w:instrText>
      </w:r>
      <w:r w:rsidR="00313590">
        <w:fldChar w:fldCharType="separate"/>
      </w:r>
      <w:r w:rsidR="00313590">
        <w:t xml:space="preserve">Table </w:t>
      </w:r>
      <w:r w:rsidR="00313590">
        <w:rPr>
          <w:noProof/>
        </w:rPr>
        <w:t>5</w:t>
      </w:r>
      <w:r w:rsidR="00313590">
        <w:fldChar w:fldCharType="end"/>
      </w:r>
      <w:r w:rsidR="00313590">
        <w:t xml:space="preserve"> above,</w:t>
      </w:r>
      <w:r w:rsidR="00ED7282">
        <w:t xml:space="preserve"> </w:t>
      </w:r>
      <w:r w:rsidR="0027187B">
        <w:t>a</w:t>
      </w:r>
      <w:r w:rsidR="00ED7282">
        <w:t xml:space="preserve"> regulatory burden estimate</w:t>
      </w:r>
      <w:r>
        <w:t xml:space="preserve"> was </w:t>
      </w:r>
      <w:r w:rsidR="00CA32F4">
        <w:t>calculated for the proposed amendments relating to “Multiple pre-arrival reporting requirements”, “Requirements to update pre-arrival reporting”</w:t>
      </w:r>
      <w:r w:rsidR="0027187B">
        <w:t xml:space="preserve"> and </w:t>
      </w:r>
      <w:r w:rsidR="00625505">
        <w:t>“</w:t>
      </w:r>
      <w:r w:rsidR="0027187B">
        <w:t>Create a power to issue directions to apply to a group of persons</w:t>
      </w:r>
      <w:r w:rsidR="00067890">
        <w:t xml:space="preserve"> </w:t>
      </w:r>
      <w:r w:rsidR="0027187B">
        <w:t>(Human Biosecurity Group Direction, or HBGD)</w:t>
      </w:r>
      <w:r w:rsidR="00625505">
        <w:t>”</w:t>
      </w:r>
      <w:r w:rsidR="00CA32F4">
        <w:t>.</w:t>
      </w:r>
      <w:r w:rsidR="00C94EEF">
        <w:t xml:space="preserve"> </w:t>
      </w:r>
      <w:r w:rsidR="008B7F45">
        <w:t>T</w:t>
      </w:r>
      <w:r w:rsidR="003F4801">
        <w:t>he</w:t>
      </w:r>
      <w:r w:rsidR="008537FC">
        <w:t xml:space="preserve"> </w:t>
      </w:r>
      <w:r w:rsidR="00600929">
        <w:t>underlying</w:t>
      </w:r>
      <w:r w:rsidR="008537FC">
        <w:t xml:space="preserve"> cost drivers</w:t>
      </w:r>
      <w:r w:rsidR="003F4801">
        <w:t xml:space="preserve"> </w:t>
      </w:r>
      <w:r w:rsidR="00C529F6">
        <w:t xml:space="preserve">could be determined with </w:t>
      </w:r>
      <w:r w:rsidR="008B7F45">
        <w:t xml:space="preserve">varying </w:t>
      </w:r>
      <w:r w:rsidR="00C529F6">
        <w:t>level</w:t>
      </w:r>
      <w:r w:rsidR="008B7F45">
        <w:t>s</w:t>
      </w:r>
      <w:r w:rsidR="00C529F6">
        <w:t xml:space="preserve"> of certainty</w:t>
      </w:r>
      <w:r w:rsidR="008537FC">
        <w:t>.</w:t>
      </w:r>
    </w:p>
    <w:p w14:paraId="3178E06E" w14:textId="70DE2AE3" w:rsidR="000A1F30" w:rsidRDefault="00F73E96" w:rsidP="00711123">
      <w:proofErr w:type="gramStart"/>
      <w:r>
        <w:t xml:space="preserve">In particular, </w:t>
      </w:r>
      <w:r w:rsidR="00905BBF">
        <w:t>a</w:t>
      </w:r>
      <w:proofErr w:type="gramEnd"/>
      <w:r w:rsidR="000A1F30" w:rsidRPr="00AB4DDB">
        <w:t xml:space="preserve"> </w:t>
      </w:r>
      <w:r w:rsidR="006770BD">
        <w:t xml:space="preserve">significant level of uncertainty exists </w:t>
      </w:r>
      <w:r w:rsidR="00227612">
        <w:t>with regards to the</w:t>
      </w:r>
      <w:r w:rsidR="000A1F30" w:rsidRPr="00AB4DDB">
        <w:t xml:space="preserve"> </w:t>
      </w:r>
      <w:r w:rsidR="00905BBF">
        <w:t xml:space="preserve">estimated </w:t>
      </w:r>
      <w:r w:rsidR="000A1F30" w:rsidRPr="00AB4DDB">
        <w:t xml:space="preserve">burden imposed </w:t>
      </w:r>
      <w:r w:rsidR="00AB4AB0" w:rsidRPr="00AB4DDB">
        <w:t>on businesses and</w:t>
      </w:r>
      <w:r w:rsidR="00AB4AB0">
        <w:t xml:space="preserve"> individuals by the </w:t>
      </w:r>
      <w:r w:rsidR="000F6D77">
        <w:t>proposed Human Biosecurity Group Direct</w:t>
      </w:r>
      <w:r w:rsidR="0055137B">
        <w:t>ion</w:t>
      </w:r>
      <w:r w:rsidR="00313EB9">
        <w:t>. A</w:t>
      </w:r>
      <w:r w:rsidR="0027782E">
        <w:t xml:space="preserve"> </w:t>
      </w:r>
      <w:r w:rsidR="00313EB9">
        <w:t xml:space="preserve">sensitivity analysis was performed, the result of which is outlined in Appendix </w:t>
      </w:r>
      <w:r w:rsidR="0027782E">
        <w:t>C below.</w:t>
      </w:r>
    </w:p>
    <w:p w14:paraId="748BD355" w14:textId="4E777403" w:rsidR="004908CD" w:rsidRPr="00183564" w:rsidRDefault="005B264C" w:rsidP="004908CD">
      <w:pPr>
        <w:pStyle w:val="BodyText"/>
      </w:pPr>
      <w:r>
        <w:fldChar w:fldCharType="begin"/>
      </w:r>
      <w:r>
        <w:instrText xml:space="preserve"> REF _Ref78897159 \h </w:instrText>
      </w:r>
      <w:r>
        <w:fldChar w:fldCharType="separate"/>
      </w:r>
      <w:r w:rsidR="004C4CE2">
        <w:t xml:space="preserve">Table </w:t>
      </w:r>
      <w:r w:rsidR="004C4CE2">
        <w:rPr>
          <w:noProof/>
        </w:rPr>
        <w:t>6</w:t>
      </w:r>
      <w:r>
        <w:fldChar w:fldCharType="end"/>
      </w:r>
      <w:r w:rsidR="004908CD">
        <w:t xml:space="preserve"> below </w:t>
      </w:r>
      <w:r w:rsidR="004908CD" w:rsidRPr="00183564">
        <w:t>presents the quantifiable impacts, derived using the Regulatory Burden Measurement Framework.</w:t>
      </w:r>
    </w:p>
    <w:tbl>
      <w:tblPr>
        <w:tblStyle w:val="PMCTableStyle2"/>
        <w:tblW w:w="0" w:type="auto"/>
        <w:tblLook w:val="0660" w:firstRow="1" w:lastRow="1" w:firstColumn="0" w:lastColumn="0" w:noHBand="1" w:noVBand="1"/>
      </w:tblPr>
      <w:tblGrid>
        <w:gridCol w:w="3964"/>
        <w:gridCol w:w="1418"/>
        <w:gridCol w:w="1559"/>
        <w:gridCol w:w="1444"/>
        <w:gridCol w:w="1616"/>
        <w:gridCol w:w="27"/>
      </w:tblGrid>
      <w:tr w:rsidR="004908CD" w:rsidRPr="00740060" w14:paraId="6F188A99" w14:textId="77777777" w:rsidTr="00F13BCF">
        <w:trPr>
          <w:cnfStyle w:val="100000000000" w:firstRow="1" w:lastRow="0" w:firstColumn="0" w:lastColumn="0" w:oddVBand="0" w:evenVBand="0" w:oddHBand="0" w:evenHBand="0" w:firstRowFirstColumn="0" w:firstRowLastColumn="0" w:lastRowFirstColumn="0" w:lastRowLastColumn="0"/>
          <w:trHeight w:val="454"/>
        </w:trPr>
        <w:tc>
          <w:tcPr>
            <w:tcW w:w="10028" w:type="dxa"/>
            <w:gridSpan w:val="6"/>
            <w:vAlign w:val="center"/>
          </w:tcPr>
          <w:p w14:paraId="33376488" w14:textId="22CA973E" w:rsidR="004908CD" w:rsidRPr="00183564" w:rsidRDefault="00164C55" w:rsidP="00A11D5B">
            <w:pPr>
              <w:pStyle w:val="TableHeading"/>
              <w:keepNext/>
            </w:pPr>
            <w:r>
              <w:t>Change in a</w:t>
            </w:r>
            <w:r w:rsidR="004908CD" w:rsidRPr="00740060">
              <w:t>verage</w:t>
            </w:r>
            <w:r w:rsidR="004908CD" w:rsidRPr="00183564">
              <w:t xml:space="preserve"> annual regulatory costs</w:t>
            </w:r>
            <w:r w:rsidR="00EC6BF7" w:rsidRPr="00EC6BF7">
              <w:t xml:space="preserve"> </w:t>
            </w:r>
            <w:r w:rsidR="00D3081D" w:rsidRPr="00EC6BF7">
              <w:t>($ million)</w:t>
            </w:r>
          </w:p>
        </w:tc>
      </w:tr>
      <w:tr w:rsidR="00F84EDB" w:rsidRPr="00740060" w14:paraId="4A50ABD2" w14:textId="77777777" w:rsidTr="00F13BCF">
        <w:trPr>
          <w:gridAfter w:val="1"/>
          <w:wAfter w:w="27" w:type="dxa"/>
          <w:trHeight w:val="350"/>
        </w:trPr>
        <w:tc>
          <w:tcPr>
            <w:tcW w:w="3964" w:type="dxa"/>
            <w:shd w:val="clear" w:color="auto" w:fill="F2F2F2" w:themeFill="background1" w:themeFillShade="F2"/>
          </w:tcPr>
          <w:p w14:paraId="1B89FD94" w14:textId="62A28F75" w:rsidR="004908CD" w:rsidRPr="00740060" w:rsidRDefault="00EC6BF7" w:rsidP="00A11D5B">
            <w:pPr>
              <w:pStyle w:val="TableBody"/>
              <w:keepNext/>
              <w:jc w:val="center"/>
              <w:rPr>
                <w:rFonts w:asciiTheme="majorHAnsi" w:hAnsiTheme="majorHAnsi"/>
                <w:b/>
                <w:color w:val="262626" w:themeColor="text1" w:themeTint="D9"/>
              </w:rPr>
            </w:pPr>
            <w:r>
              <w:rPr>
                <w:rFonts w:asciiTheme="majorHAnsi" w:hAnsiTheme="majorHAnsi"/>
                <w:b/>
                <w:bCs/>
                <w:color w:val="262626" w:themeColor="text1" w:themeTint="D9"/>
              </w:rPr>
              <w:t>Proposed amendment</w:t>
            </w:r>
          </w:p>
        </w:tc>
        <w:tc>
          <w:tcPr>
            <w:tcW w:w="1418" w:type="dxa"/>
            <w:shd w:val="clear" w:color="auto" w:fill="F2F2F2" w:themeFill="background1" w:themeFillShade="F2"/>
            <w:tcMar>
              <w:left w:w="142" w:type="dxa"/>
              <w:right w:w="142" w:type="dxa"/>
            </w:tcMar>
          </w:tcPr>
          <w:p w14:paraId="17D1E31F" w14:textId="77777777" w:rsidR="004908CD" w:rsidRPr="00740060" w:rsidRDefault="004908CD" w:rsidP="00A11D5B">
            <w:pPr>
              <w:pStyle w:val="TableBody"/>
              <w:keepNext/>
              <w:jc w:val="center"/>
              <w:rPr>
                <w:rFonts w:asciiTheme="majorHAnsi" w:hAnsiTheme="majorHAnsi"/>
                <w:b/>
                <w:color w:val="262626" w:themeColor="text1" w:themeTint="D9"/>
              </w:rPr>
            </w:pPr>
            <w:r w:rsidRPr="00740060">
              <w:rPr>
                <w:rFonts w:asciiTheme="majorHAnsi" w:hAnsiTheme="majorHAnsi"/>
                <w:b/>
              </w:rPr>
              <w:t>Individuals</w:t>
            </w:r>
          </w:p>
        </w:tc>
        <w:tc>
          <w:tcPr>
            <w:tcW w:w="1559" w:type="dxa"/>
            <w:shd w:val="clear" w:color="auto" w:fill="F2F2F2" w:themeFill="background1" w:themeFillShade="F2"/>
            <w:tcMar>
              <w:left w:w="142" w:type="dxa"/>
              <w:right w:w="142" w:type="dxa"/>
            </w:tcMar>
          </w:tcPr>
          <w:p w14:paraId="6A02D342" w14:textId="77777777" w:rsidR="004908CD" w:rsidRPr="00740060" w:rsidRDefault="004908CD" w:rsidP="00A11D5B">
            <w:pPr>
              <w:pStyle w:val="TableBullet"/>
              <w:keepNext/>
              <w:numPr>
                <w:ilvl w:val="0"/>
                <w:numId w:val="0"/>
              </w:numPr>
              <w:ind w:left="284"/>
              <w:jc w:val="center"/>
              <w:rPr>
                <w:rFonts w:asciiTheme="majorHAnsi" w:hAnsiTheme="majorHAnsi"/>
                <w:b/>
              </w:rPr>
            </w:pPr>
            <w:r w:rsidRPr="00740060">
              <w:rPr>
                <w:rFonts w:asciiTheme="majorHAnsi" w:hAnsiTheme="majorHAnsi"/>
                <w:b/>
              </w:rPr>
              <w:t>Business</w:t>
            </w:r>
          </w:p>
        </w:tc>
        <w:tc>
          <w:tcPr>
            <w:tcW w:w="1444" w:type="dxa"/>
            <w:shd w:val="clear" w:color="auto" w:fill="F2F2F2" w:themeFill="background1" w:themeFillShade="F2"/>
            <w:tcMar>
              <w:left w:w="142" w:type="dxa"/>
              <w:right w:w="142" w:type="dxa"/>
            </w:tcMar>
          </w:tcPr>
          <w:p w14:paraId="096F7142" w14:textId="77777777" w:rsidR="004908CD" w:rsidRPr="00740060" w:rsidRDefault="004908CD" w:rsidP="00A11D5B">
            <w:pPr>
              <w:pStyle w:val="TableBody"/>
              <w:keepNext/>
              <w:jc w:val="center"/>
              <w:rPr>
                <w:rFonts w:asciiTheme="majorHAnsi" w:hAnsiTheme="majorHAnsi"/>
                <w:b/>
              </w:rPr>
            </w:pPr>
            <w:r w:rsidRPr="00740060">
              <w:rPr>
                <w:rFonts w:asciiTheme="majorHAnsi" w:hAnsiTheme="majorHAnsi"/>
                <w:b/>
              </w:rPr>
              <w:t>Community organisations</w:t>
            </w:r>
          </w:p>
        </w:tc>
        <w:tc>
          <w:tcPr>
            <w:tcW w:w="1616" w:type="dxa"/>
            <w:shd w:val="clear" w:color="auto" w:fill="F2F2F2" w:themeFill="background1" w:themeFillShade="F2"/>
            <w:tcMar>
              <w:left w:w="113" w:type="dxa"/>
              <w:right w:w="113" w:type="dxa"/>
            </w:tcMar>
          </w:tcPr>
          <w:p w14:paraId="1358A222" w14:textId="77777777" w:rsidR="004908CD" w:rsidRPr="00740060" w:rsidRDefault="004908CD" w:rsidP="00A11D5B">
            <w:pPr>
              <w:pStyle w:val="TableNumbering"/>
              <w:keepNext/>
              <w:numPr>
                <w:ilvl w:val="0"/>
                <w:numId w:val="0"/>
              </w:numPr>
              <w:jc w:val="center"/>
              <w:rPr>
                <w:rFonts w:asciiTheme="majorHAnsi" w:hAnsiTheme="majorHAnsi"/>
                <w:b/>
              </w:rPr>
            </w:pPr>
            <w:r w:rsidRPr="00740060">
              <w:rPr>
                <w:rFonts w:asciiTheme="majorHAnsi" w:hAnsiTheme="majorHAnsi"/>
                <w:b/>
              </w:rPr>
              <w:t>Total change in cost</w:t>
            </w:r>
          </w:p>
        </w:tc>
      </w:tr>
      <w:tr w:rsidR="00411B4E" w:rsidRPr="00740060" w14:paraId="592286C3" w14:textId="77777777" w:rsidTr="00F13BCF">
        <w:trPr>
          <w:gridAfter w:val="1"/>
          <w:wAfter w:w="27" w:type="dxa"/>
          <w:trHeight w:val="350"/>
        </w:trPr>
        <w:tc>
          <w:tcPr>
            <w:tcW w:w="3964" w:type="dxa"/>
          </w:tcPr>
          <w:p w14:paraId="76EBF0E3" w14:textId="5D0986B4" w:rsidR="00411B4E" w:rsidRPr="00740060" w:rsidRDefault="00450699" w:rsidP="00A11D5B">
            <w:pPr>
              <w:pStyle w:val="TableBody"/>
              <w:keepNext/>
              <w:jc w:val="center"/>
              <w:rPr>
                <w:rFonts w:asciiTheme="majorHAnsi" w:hAnsiTheme="majorHAnsi"/>
                <w:b/>
                <w:bCs/>
              </w:rPr>
            </w:pPr>
            <w:r>
              <w:rPr>
                <w:rFonts w:asciiTheme="majorHAnsi" w:eastAsia="Times New Roman" w:hAnsiTheme="majorHAnsi" w:cs="Arial"/>
                <w:color w:val="000000"/>
                <w:szCs w:val="18"/>
                <w:lang w:eastAsia="en-AU"/>
              </w:rPr>
              <w:t>Multiple</w:t>
            </w:r>
            <w:r w:rsidR="00411B4E" w:rsidRPr="00740060">
              <w:rPr>
                <w:rFonts w:asciiTheme="majorHAnsi" w:eastAsia="Times New Roman" w:hAnsiTheme="majorHAnsi" w:cs="Arial"/>
                <w:color w:val="000000"/>
                <w:szCs w:val="18"/>
                <w:lang w:eastAsia="en-AU"/>
              </w:rPr>
              <w:t xml:space="preserve"> pre-arrival reporting (sea pathway)</w:t>
            </w:r>
          </w:p>
        </w:tc>
        <w:tc>
          <w:tcPr>
            <w:tcW w:w="1418" w:type="dxa"/>
          </w:tcPr>
          <w:p w14:paraId="54851C8A" w14:textId="77777777" w:rsidR="00411B4E" w:rsidRPr="00740060" w:rsidRDefault="00411B4E" w:rsidP="00A11D5B">
            <w:pPr>
              <w:pStyle w:val="TableBody"/>
              <w:keepNext/>
              <w:ind w:right="209"/>
              <w:jc w:val="right"/>
              <w:rPr>
                <w:rFonts w:asciiTheme="majorHAnsi" w:hAnsiTheme="majorHAnsi"/>
              </w:rPr>
            </w:pPr>
          </w:p>
        </w:tc>
        <w:tc>
          <w:tcPr>
            <w:tcW w:w="1559" w:type="dxa"/>
          </w:tcPr>
          <w:p w14:paraId="11A4BF84" w14:textId="059F30E1" w:rsidR="00411B4E" w:rsidRPr="00740060" w:rsidRDefault="00411B4E" w:rsidP="00A11D5B">
            <w:pPr>
              <w:pStyle w:val="TableBullet"/>
              <w:keepNext/>
              <w:numPr>
                <w:ilvl w:val="0"/>
                <w:numId w:val="0"/>
              </w:numPr>
              <w:ind w:left="284" w:hanging="284"/>
              <w:jc w:val="right"/>
              <w:rPr>
                <w:rFonts w:asciiTheme="majorHAnsi" w:hAnsiTheme="majorHAnsi"/>
              </w:rPr>
            </w:pPr>
            <w:r>
              <w:rPr>
                <w:rFonts w:asciiTheme="majorHAnsi" w:eastAsia="Times New Roman" w:hAnsiTheme="majorHAnsi" w:cs="Arial"/>
                <w:color w:val="000000"/>
                <w:szCs w:val="18"/>
                <w:lang w:eastAsia="en-AU"/>
              </w:rPr>
              <w:t>(</w:t>
            </w:r>
            <w:r w:rsidRPr="00740060">
              <w:rPr>
                <w:rFonts w:asciiTheme="majorHAnsi" w:eastAsia="Times New Roman" w:hAnsiTheme="majorHAnsi" w:cs="Arial"/>
                <w:color w:val="000000"/>
                <w:szCs w:val="18"/>
                <w:lang w:eastAsia="en-AU"/>
              </w:rPr>
              <w:t>$</w:t>
            </w:r>
            <w:r>
              <w:rPr>
                <w:rFonts w:asciiTheme="majorHAnsi" w:eastAsia="Times New Roman" w:hAnsiTheme="majorHAnsi" w:cs="Arial"/>
                <w:color w:val="000000"/>
                <w:szCs w:val="18"/>
                <w:lang w:eastAsia="en-AU"/>
              </w:rPr>
              <w:t> 0.153)</w:t>
            </w:r>
          </w:p>
        </w:tc>
        <w:tc>
          <w:tcPr>
            <w:tcW w:w="1444" w:type="dxa"/>
          </w:tcPr>
          <w:p w14:paraId="7853D536" w14:textId="77777777" w:rsidR="00411B4E" w:rsidRPr="00740060" w:rsidRDefault="00411B4E" w:rsidP="00A11D5B">
            <w:pPr>
              <w:pStyle w:val="TableNumbering"/>
              <w:keepNext/>
              <w:numPr>
                <w:ilvl w:val="0"/>
                <w:numId w:val="0"/>
              </w:numPr>
              <w:ind w:right="253"/>
              <w:jc w:val="right"/>
              <w:rPr>
                <w:rFonts w:asciiTheme="majorHAnsi" w:hAnsiTheme="majorHAnsi"/>
              </w:rPr>
            </w:pPr>
          </w:p>
        </w:tc>
        <w:tc>
          <w:tcPr>
            <w:tcW w:w="1616" w:type="dxa"/>
          </w:tcPr>
          <w:p w14:paraId="4327638A" w14:textId="597F4BBE" w:rsidR="00411B4E" w:rsidRPr="00411B4E" w:rsidRDefault="00411B4E" w:rsidP="00A11D5B">
            <w:pPr>
              <w:pStyle w:val="TableNumbering"/>
              <w:keepNext/>
              <w:numPr>
                <w:ilvl w:val="0"/>
                <w:numId w:val="0"/>
              </w:numPr>
              <w:tabs>
                <w:tab w:val="left" w:pos="1090"/>
              </w:tabs>
              <w:jc w:val="right"/>
              <w:rPr>
                <w:rFonts w:asciiTheme="majorHAnsi" w:hAnsiTheme="majorHAnsi"/>
                <w:b/>
                <w:bCs/>
              </w:rPr>
            </w:pPr>
            <w:r w:rsidRPr="00411B4E">
              <w:rPr>
                <w:rFonts w:asciiTheme="majorHAnsi" w:eastAsia="Times New Roman" w:hAnsiTheme="majorHAnsi" w:cs="Arial"/>
                <w:b/>
                <w:bCs/>
                <w:color w:val="000000"/>
                <w:szCs w:val="18"/>
                <w:lang w:eastAsia="en-AU"/>
              </w:rPr>
              <w:t>(</w:t>
            </w:r>
            <w:r w:rsidRPr="00740060">
              <w:rPr>
                <w:rFonts w:asciiTheme="majorHAnsi" w:eastAsia="Times New Roman" w:hAnsiTheme="majorHAnsi" w:cs="Arial"/>
                <w:b/>
                <w:bCs/>
                <w:color w:val="000000"/>
                <w:szCs w:val="18"/>
                <w:lang w:eastAsia="en-AU"/>
              </w:rPr>
              <w:t>$</w:t>
            </w:r>
            <w:r w:rsidRPr="00411B4E">
              <w:rPr>
                <w:rFonts w:asciiTheme="majorHAnsi" w:eastAsia="Times New Roman" w:hAnsiTheme="majorHAnsi" w:cs="Arial"/>
                <w:b/>
                <w:bCs/>
                <w:color w:val="000000"/>
                <w:szCs w:val="18"/>
                <w:lang w:eastAsia="en-AU"/>
              </w:rPr>
              <w:t> 0.153)</w:t>
            </w:r>
          </w:p>
        </w:tc>
      </w:tr>
      <w:tr w:rsidR="00411B4E" w:rsidRPr="00740060" w14:paraId="2BA7B3B7" w14:textId="77777777" w:rsidTr="00F13BCF">
        <w:trPr>
          <w:gridAfter w:val="1"/>
          <w:wAfter w:w="27" w:type="dxa"/>
          <w:trHeight w:val="350"/>
        </w:trPr>
        <w:tc>
          <w:tcPr>
            <w:tcW w:w="3964" w:type="dxa"/>
          </w:tcPr>
          <w:p w14:paraId="74C58B7D" w14:textId="362EA0DD" w:rsidR="00411B4E" w:rsidRPr="00740060" w:rsidRDefault="00420E55" w:rsidP="00A11D5B">
            <w:pPr>
              <w:pStyle w:val="TableBody"/>
              <w:keepNext/>
              <w:jc w:val="center"/>
              <w:rPr>
                <w:rFonts w:asciiTheme="majorHAnsi" w:hAnsiTheme="majorHAnsi"/>
                <w:b/>
                <w:bCs/>
              </w:rPr>
            </w:pPr>
            <w:r>
              <w:rPr>
                <w:rFonts w:asciiTheme="majorHAnsi" w:eastAsia="Times New Roman" w:hAnsiTheme="majorHAnsi" w:cs="Arial"/>
                <w:color w:val="000000"/>
                <w:szCs w:val="18"/>
                <w:lang w:eastAsia="en-AU"/>
              </w:rPr>
              <w:t>Updated</w:t>
            </w:r>
            <w:r w:rsidR="00411B4E" w:rsidRPr="00740060">
              <w:rPr>
                <w:rFonts w:asciiTheme="majorHAnsi" w:eastAsia="Times New Roman" w:hAnsiTheme="majorHAnsi" w:cs="Arial"/>
                <w:color w:val="000000"/>
                <w:szCs w:val="18"/>
                <w:lang w:eastAsia="en-AU"/>
              </w:rPr>
              <w:t xml:space="preserve"> information reporting (</w:t>
            </w:r>
            <w:r w:rsidR="00B87445">
              <w:rPr>
                <w:rFonts w:asciiTheme="majorHAnsi" w:eastAsia="Times New Roman" w:hAnsiTheme="majorHAnsi" w:cs="Arial"/>
                <w:color w:val="000000"/>
                <w:szCs w:val="18"/>
                <w:lang w:eastAsia="en-AU"/>
              </w:rPr>
              <w:t>s</w:t>
            </w:r>
            <w:r w:rsidR="00411B4E" w:rsidRPr="00740060">
              <w:rPr>
                <w:rFonts w:asciiTheme="majorHAnsi" w:eastAsia="Times New Roman" w:hAnsiTheme="majorHAnsi" w:cs="Arial"/>
                <w:color w:val="000000"/>
                <w:szCs w:val="18"/>
                <w:lang w:eastAsia="en-AU"/>
              </w:rPr>
              <w:t>ea pathway</w:t>
            </w:r>
            <w:r w:rsidR="004B6A7A">
              <w:rPr>
                <w:rFonts w:asciiTheme="majorHAnsi" w:eastAsia="Times New Roman" w:hAnsiTheme="majorHAnsi" w:cs="Arial"/>
                <w:color w:val="000000"/>
                <w:szCs w:val="18"/>
                <w:lang w:eastAsia="en-AU"/>
              </w:rPr>
              <w:t xml:space="preserve"> only</w:t>
            </w:r>
            <w:r w:rsidR="00411B4E" w:rsidRPr="00740060">
              <w:rPr>
                <w:rFonts w:asciiTheme="majorHAnsi" w:eastAsia="Times New Roman" w:hAnsiTheme="majorHAnsi" w:cs="Arial"/>
                <w:color w:val="000000"/>
                <w:szCs w:val="18"/>
                <w:lang w:eastAsia="en-AU"/>
              </w:rPr>
              <w:t>)</w:t>
            </w:r>
          </w:p>
        </w:tc>
        <w:tc>
          <w:tcPr>
            <w:tcW w:w="1418" w:type="dxa"/>
          </w:tcPr>
          <w:p w14:paraId="5985433A" w14:textId="77777777" w:rsidR="00411B4E" w:rsidRPr="00740060" w:rsidRDefault="00411B4E" w:rsidP="00A11D5B">
            <w:pPr>
              <w:pStyle w:val="TableBody"/>
              <w:keepNext/>
              <w:ind w:right="209"/>
              <w:jc w:val="right"/>
              <w:rPr>
                <w:rFonts w:asciiTheme="majorHAnsi" w:hAnsiTheme="majorHAnsi"/>
              </w:rPr>
            </w:pPr>
          </w:p>
        </w:tc>
        <w:tc>
          <w:tcPr>
            <w:tcW w:w="1559" w:type="dxa"/>
          </w:tcPr>
          <w:p w14:paraId="6870FBFB" w14:textId="66C343EC" w:rsidR="00411B4E" w:rsidRPr="00740060" w:rsidRDefault="00411B4E" w:rsidP="00A11D5B">
            <w:pPr>
              <w:pStyle w:val="TableBullet"/>
              <w:keepNext/>
              <w:numPr>
                <w:ilvl w:val="0"/>
                <w:numId w:val="0"/>
              </w:numPr>
              <w:ind w:left="284" w:hanging="284"/>
              <w:jc w:val="right"/>
              <w:rPr>
                <w:rFonts w:asciiTheme="majorHAnsi" w:hAnsiTheme="majorHAnsi"/>
              </w:rPr>
            </w:pPr>
            <w:r>
              <w:rPr>
                <w:rFonts w:asciiTheme="majorHAnsi" w:eastAsia="Times New Roman" w:hAnsiTheme="majorHAnsi" w:cs="Arial"/>
                <w:color w:val="000000"/>
                <w:szCs w:val="18"/>
                <w:lang w:eastAsia="en-AU"/>
              </w:rPr>
              <w:t>(</w:t>
            </w:r>
            <w:r w:rsidRPr="00740060">
              <w:rPr>
                <w:rFonts w:asciiTheme="majorHAnsi" w:eastAsia="Times New Roman" w:hAnsiTheme="majorHAnsi" w:cs="Arial"/>
                <w:color w:val="000000"/>
                <w:szCs w:val="18"/>
                <w:lang w:eastAsia="en-AU"/>
              </w:rPr>
              <w:t>$</w:t>
            </w:r>
            <w:r>
              <w:rPr>
                <w:rFonts w:asciiTheme="majorHAnsi" w:eastAsia="Times New Roman" w:hAnsiTheme="majorHAnsi" w:cs="Arial"/>
                <w:color w:val="000000"/>
                <w:szCs w:val="18"/>
                <w:lang w:eastAsia="en-AU"/>
              </w:rPr>
              <w:t> 0.0</w:t>
            </w:r>
            <w:r w:rsidR="00953D9E">
              <w:rPr>
                <w:rFonts w:asciiTheme="majorHAnsi" w:eastAsia="Times New Roman" w:hAnsiTheme="majorHAnsi" w:cs="Arial"/>
                <w:color w:val="000000"/>
                <w:szCs w:val="18"/>
                <w:lang w:eastAsia="en-AU"/>
              </w:rPr>
              <w:t>0</w:t>
            </w:r>
            <w:r w:rsidR="00901B40">
              <w:rPr>
                <w:rFonts w:asciiTheme="majorHAnsi" w:eastAsia="Times New Roman" w:hAnsiTheme="majorHAnsi" w:cs="Arial"/>
                <w:color w:val="000000"/>
                <w:szCs w:val="18"/>
                <w:lang w:eastAsia="en-AU"/>
              </w:rPr>
              <w:t>3</w:t>
            </w:r>
            <w:r>
              <w:rPr>
                <w:rFonts w:asciiTheme="majorHAnsi" w:eastAsia="Times New Roman" w:hAnsiTheme="majorHAnsi" w:cs="Arial"/>
                <w:color w:val="000000"/>
                <w:szCs w:val="18"/>
                <w:lang w:eastAsia="en-AU"/>
              </w:rPr>
              <w:t>)</w:t>
            </w:r>
          </w:p>
        </w:tc>
        <w:tc>
          <w:tcPr>
            <w:tcW w:w="1444" w:type="dxa"/>
          </w:tcPr>
          <w:p w14:paraId="517FCC4F" w14:textId="77777777" w:rsidR="00411B4E" w:rsidRPr="00740060" w:rsidRDefault="00411B4E" w:rsidP="00A11D5B">
            <w:pPr>
              <w:pStyle w:val="TableNumbering"/>
              <w:keepNext/>
              <w:numPr>
                <w:ilvl w:val="0"/>
                <w:numId w:val="0"/>
              </w:numPr>
              <w:ind w:right="253"/>
              <w:jc w:val="right"/>
              <w:rPr>
                <w:rFonts w:asciiTheme="majorHAnsi" w:hAnsiTheme="majorHAnsi"/>
              </w:rPr>
            </w:pPr>
          </w:p>
        </w:tc>
        <w:tc>
          <w:tcPr>
            <w:tcW w:w="1616" w:type="dxa"/>
          </w:tcPr>
          <w:p w14:paraId="2ECDE3C4" w14:textId="33533665" w:rsidR="00411B4E" w:rsidRPr="00411B4E" w:rsidRDefault="00411B4E" w:rsidP="00A11D5B">
            <w:pPr>
              <w:pStyle w:val="TableNumbering"/>
              <w:keepNext/>
              <w:numPr>
                <w:ilvl w:val="0"/>
                <w:numId w:val="0"/>
              </w:numPr>
              <w:tabs>
                <w:tab w:val="left" w:pos="1090"/>
              </w:tabs>
              <w:jc w:val="right"/>
              <w:rPr>
                <w:rFonts w:asciiTheme="majorHAnsi" w:hAnsiTheme="majorHAnsi"/>
                <w:b/>
                <w:bCs/>
              </w:rPr>
            </w:pPr>
            <w:r w:rsidRPr="00411B4E">
              <w:rPr>
                <w:rFonts w:asciiTheme="majorHAnsi" w:eastAsia="Times New Roman" w:hAnsiTheme="majorHAnsi" w:cs="Arial"/>
                <w:b/>
                <w:bCs/>
                <w:color w:val="000000"/>
                <w:szCs w:val="18"/>
                <w:lang w:eastAsia="en-AU"/>
              </w:rPr>
              <w:t>(</w:t>
            </w:r>
            <w:r w:rsidRPr="00740060">
              <w:rPr>
                <w:rFonts w:asciiTheme="majorHAnsi" w:eastAsia="Times New Roman" w:hAnsiTheme="majorHAnsi" w:cs="Arial"/>
                <w:b/>
                <w:bCs/>
                <w:color w:val="000000"/>
                <w:szCs w:val="18"/>
                <w:lang w:eastAsia="en-AU"/>
              </w:rPr>
              <w:t>$</w:t>
            </w:r>
            <w:r w:rsidRPr="00411B4E">
              <w:rPr>
                <w:rFonts w:asciiTheme="majorHAnsi" w:eastAsia="Times New Roman" w:hAnsiTheme="majorHAnsi" w:cs="Arial"/>
                <w:b/>
                <w:bCs/>
                <w:color w:val="000000"/>
                <w:szCs w:val="18"/>
                <w:lang w:eastAsia="en-AU"/>
              </w:rPr>
              <w:t> 0.0</w:t>
            </w:r>
            <w:r w:rsidR="00901B40">
              <w:rPr>
                <w:rFonts w:asciiTheme="majorHAnsi" w:eastAsia="Times New Roman" w:hAnsiTheme="majorHAnsi" w:cs="Arial"/>
                <w:b/>
                <w:bCs/>
                <w:color w:val="000000"/>
                <w:szCs w:val="18"/>
                <w:lang w:eastAsia="en-AU"/>
              </w:rPr>
              <w:t>03</w:t>
            </w:r>
            <w:r w:rsidRPr="00411B4E">
              <w:rPr>
                <w:rFonts w:asciiTheme="majorHAnsi" w:eastAsia="Times New Roman" w:hAnsiTheme="majorHAnsi" w:cs="Arial"/>
                <w:b/>
                <w:bCs/>
                <w:color w:val="000000"/>
                <w:szCs w:val="18"/>
                <w:lang w:eastAsia="en-AU"/>
              </w:rPr>
              <w:t>)</w:t>
            </w:r>
          </w:p>
        </w:tc>
      </w:tr>
      <w:tr w:rsidR="00E71CF0" w:rsidRPr="00740060" w14:paraId="56FF73B3" w14:textId="77777777" w:rsidTr="00F13BCF">
        <w:trPr>
          <w:gridAfter w:val="1"/>
          <w:wAfter w:w="27" w:type="dxa"/>
          <w:trHeight w:val="454"/>
        </w:trPr>
        <w:tc>
          <w:tcPr>
            <w:tcW w:w="3964" w:type="dxa"/>
          </w:tcPr>
          <w:p w14:paraId="3DF8559D" w14:textId="5875EFBD" w:rsidR="00E71CF0" w:rsidRDefault="00E71CF0" w:rsidP="00E71CF0">
            <w:pPr>
              <w:pStyle w:val="TableBody"/>
              <w:keepNext/>
              <w:jc w:val="center"/>
              <w:rPr>
                <w:rFonts w:asciiTheme="majorHAnsi" w:eastAsia="Times New Roman" w:hAnsiTheme="majorHAnsi" w:cs="Arial"/>
                <w:color w:val="000000"/>
                <w:szCs w:val="18"/>
                <w:lang w:eastAsia="en-AU"/>
              </w:rPr>
            </w:pPr>
            <w:r w:rsidRPr="004059BC">
              <w:rPr>
                <w:rFonts w:asciiTheme="majorHAnsi" w:eastAsia="Times New Roman" w:hAnsiTheme="majorHAnsi" w:cs="Arial"/>
                <w:color w:val="000000"/>
                <w:szCs w:val="18"/>
                <w:lang w:eastAsia="en-AU"/>
              </w:rPr>
              <w:t>Human Biosecurity Group Direction</w:t>
            </w:r>
          </w:p>
        </w:tc>
        <w:tc>
          <w:tcPr>
            <w:tcW w:w="1418" w:type="dxa"/>
          </w:tcPr>
          <w:p w14:paraId="7AF9392E" w14:textId="70F3A860" w:rsidR="00E71CF0" w:rsidRPr="00740060" w:rsidRDefault="00E71CF0" w:rsidP="00E71CF0">
            <w:pPr>
              <w:pStyle w:val="TableBody"/>
              <w:keepNext/>
              <w:ind w:right="5"/>
              <w:jc w:val="right"/>
              <w:rPr>
                <w:rFonts w:asciiTheme="majorHAnsi" w:hAnsiTheme="majorHAnsi"/>
              </w:rPr>
            </w:pPr>
            <w:r>
              <w:rPr>
                <w:rFonts w:asciiTheme="majorHAnsi" w:eastAsia="Times New Roman" w:hAnsiTheme="majorHAnsi" w:cs="Arial"/>
                <w:color w:val="000000"/>
                <w:szCs w:val="18"/>
                <w:lang w:eastAsia="en-AU"/>
              </w:rPr>
              <w:t>(</w:t>
            </w:r>
            <w:r w:rsidRPr="00740060">
              <w:rPr>
                <w:rFonts w:asciiTheme="majorHAnsi" w:eastAsia="Times New Roman" w:hAnsiTheme="majorHAnsi" w:cs="Arial"/>
                <w:color w:val="000000"/>
                <w:szCs w:val="18"/>
                <w:lang w:eastAsia="en-AU"/>
              </w:rPr>
              <w:t>$</w:t>
            </w:r>
            <w:r>
              <w:rPr>
                <w:rFonts w:asciiTheme="majorHAnsi" w:eastAsia="Times New Roman" w:hAnsiTheme="majorHAnsi" w:cs="Arial"/>
                <w:color w:val="000000"/>
                <w:szCs w:val="18"/>
                <w:lang w:eastAsia="en-AU"/>
              </w:rPr>
              <w:t> 0.119)</w:t>
            </w:r>
          </w:p>
        </w:tc>
        <w:tc>
          <w:tcPr>
            <w:tcW w:w="1559" w:type="dxa"/>
          </w:tcPr>
          <w:p w14:paraId="46138F0C" w14:textId="77777777" w:rsidR="00E71CF0" w:rsidRDefault="00E71CF0" w:rsidP="00E71CF0">
            <w:pPr>
              <w:pStyle w:val="TableBullet"/>
              <w:keepNext/>
              <w:numPr>
                <w:ilvl w:val="0"/>
                <w:numId w:val="0"/>
              </w:numPr>
              <w:ind w:left="284" w:hanging="284"/>
              <w:jc w:val="right"/>
              <w:rPr>
                <w:rFonts w:asciiTheme="majorHAnsi" w:eastAsia="Times New Roman" w:hAnsiTheme="majorHAnsi" w:cs="Arial"/>
                <w:color w:val="000000"/>
                <w:szCs w:val="18"/>
                <w:lang w:eastAsia="en-AU"/>
              </w:rPr>
            </w:pPr>
          </w:p>
        </w:tc>
        <w:tc>
          <w:tcPr>
            <w:tcW w:w="1444" w:type="dxa"/>
          </w:tcPr>
          <w:p w14:paraId="7763AA94" w14:textId="77777777" w:rsidR="00E71CF0" w:rsidRPr="00740060" w:rsidRDefault="00E71CF0" w:rsidP="00E71CF0">
            <w:pPr>
              <w:pStyle w:val="TableNumbering"/>
              <w:keepNext/>
              <w:numPr>
                <w:ilvl w:val="0"/>
                <w:numId w:val="0"/>
              </w:numPr>
              <w:ind w:right="253"/>
              <w:jc w:val="right"/>
              <w:rPr>
                <w:rFonts w:asciiTheme="majorHAnsi" w:hAnsiTheme="majorHAnsi"/>
              </w:rPr>
            </w:pPr>
          </w:p>
        </w:tc>
        <w:tc>
          <w:tcPr>
            <w:tcW w:w="1616" w:type="dxa"/>
          </w:tcPr>
          <w:p w14:paraId="4593ED32" w14:textId="636DBCA4" w:rsidR="00E71CF0" w:rsidRPr="00411B4E" w:rsidRDefault="00E71CF0" w:rsidP="00E71CF0">
            <w:pPr>
              <w:pStyle w:val="TableNumbering"/>
              <w:keepNext/>
              <w:numPr>
                <w:ilvl w:val="0"/>
                <w:numId w:val="0"/>
              </w:numPr>
              <w:tabs>
                <w:tab w:val="left" w:pos="1090"/>
              </w:tabs>
              <w:jc w:val="right"/>
              <w:rPr>
                <w:rFonts w:asciiTheme="majorHAnsi" w:eastAsia="Times New Roman" w:hAnsiTheme="majorHAnsi" w:cs="Arial"/>
                <w:b/>
                <w:bCs/>
                <w:color w:val="000000"/>
                <w:szCs w:val="18"/>
                <w:lang w:eastAsia="en-AU"/>
              </w:rPr>
            </w:pPr>
            <w:r w:rsidRPr="00411B4E">
              <w:rPr>
                <w:rFonts w:asciiTheme="majorHAnsi" w:eastAsia="Times New Roman" w:hAnsiTheme="majorHAnsi" w:cs="Arial"/>
                <w:b/>
                <w:bCs/>
                <w:color w:val="000000"/>
                <w:szCs w:val="18"/>
                <w:lang w:eastAsia="en-AU"/>
              </w:rPr>
              <w:t>(</w:t>
            </w:r>
            <w:r w:rsidRPr="00740060">
              <w:rPr>
                <w:rFonts w:asciiTheme="majorHAnsi" w:eastAsia="Times New Roman" w:hAnsiTheme="majorHAnsi" w:cs="Arial"/>
                <w:b/>
                <w:bCs/>
                <w:color w:val="000000"/>
                <w:szCs w:val="18"/>
                <w:lang w:eastAsia="en-AU"/>
              </w:rPr>
              <w:t>$</w:t>
            </w:r>
            <w:r w:rsidRPr="00411B4E">
              <w:rPr>
                <w:rFonts w:asciiTheme="majorHAnsi" w:eastAsia="Times New Roman" w:hAnsiTheme="majorHAnsi" w:cs="Arial"/>
                <w:b/>
                <w:bCs/>
                <w:color w:val="000000"/>
                <w:szCs w:val="18"/>
                <w:lang w:eastAsia="en-AU"/>
              </w:rPr>
              <w:t> 0.</w:t>
            </w:r>
            <w:r>
              <w:rPr>
                <w:rFonts w:asciiTheme="majorHAnsi" w:eastAsia="Times New Roman" w:hAnsiTheme="majorHAnsi" w:cs="Arial"/>
                <w:b/>
                <w:bCs/>
                <w:color w:val="000000"/>
                <w:szCs w:val="18"/>
                <w:lang w:eastAsia="en-AU"/>
              </w:rPr>
              <w:t>119</w:t>
            </w:r>
            <w:r w:rsidRPr="00411B4E">
              <w:rPr>
                <w:rFonts w:asciiTheme="majorHAnsi" w:eastAsia="Times New Roman" w:hAnsiTheme="majorHAnsi" w:cs="Arial"/>
                <w:b/>
                <w:bCs/>
                <w:color w:val="000000"/>
                <w:szCs w:val="18"/>
                <w:lang w:eastAsia="en-AU"/>
              </w:rPr>
              <w:t>)</w:t>
            </w:r>
          </w:p>
        </w:tc>
      </w:tr>
      <w:tr w:rsidR="00486DA3" w:rsidRPr="00740060" w14:paraId="0212662E" w14:textId="77777777" w:rsidTr="00F13BCF">
        <w:trPr>
          <w:gridAfter w:val="1"/>
          <w:wAfter w:w="27" w:type="dxa"/>
          <w:trHeight w:val="350"/>
        </w:trPr>
        <w:tc>
          <w:tcPr>
            <w:tcW w:w="3964" w:type="dxa"/>
            <w:shd w:val="clear" w:color="auto" w:fill="F2F2F2" w:themeFill="background1" w:themeFillShade="F2"/>
          </w:tcPr>
          <w:p w14:paraId="13DC7D58" w14:textId="77777777" w:rsidR="00486DA3" w:rsidRPr="00740060" w:rsidRDefault="00486DA3" w:rsidP="00486DA3">
            <w:pPr>
              <w:pStyle w:val="TableBody"/>
              <w:keepNext/>
              <w:jc w:val="center"/>
              <w:rPr>
                <w:rFonts w:asciiTheme="majorHAnsi" w:hAnsiTheme="majorHAnsi"/>
                <w:b/>
                <w:color w:val="262626" w:themeColor="text1" w:themeTint="D9"/>
              </w:rPr>
            </w:pPr>
            <w:r w:rsidRPr="00740060">
              <w:rPr>
                <w:rFonts w:asciiTheme="majorHAnsi" w:hAnsiTheme="majorHAnsi"/>
                <w:b/>
              </w:rPr>
              <w:t>Total, by sector</w:t>
            </w:r>
          </w:p>
        </w:tc>
        <w:tc>
          <w:tcPr>
            <w:tcW w:w="1418" w:type="dxa"/>
            <w:shd w:val="clear" w:color="auto" w:fill="F2F2F2" w:themeFill="background1" w:themeFillShade="F2"/>
          </w:tcPr>
          <w:p w14:paraId="0CC15B95" w14:textId="7B52D6D1" w:rsidR="00486DA3" w:rsidRPr="00273CF8" w:rsidRDefault="00486DA3" w:rsidP="00486DA3">
            <w:pPr>
              <w:pStyle w:val="TableBody"/>
              <w:keepNext/>
              <w:jc w:val="right"/>
              <w:rPr>
                <w:rFonts w:asciiTheme="majorHAnsi" w:hAnsiTheme="majorHAnsi"/>
                <w:b/>
                <w:color w:val="262626" w:themeColor="text1" w:themeTint="D9"/>
              </w:rPr>
            </w:pPr>
            <w:r w:rsidRPr="00273CF8">
              <w:rPr>
                <w:rFonts w:asciiTheme="majorHAnsi" w:hAnsiTheme="majorHAnsi"/>
                <w:b/>
              </w:rPr>
              <w:t>($ 0.</w:t>
            </w:r>
            <w:r>
              <w:rPr>
                <w:rFonts w:asciiTheme="majorHAnsi" w:hAnsiTheme="majorHAnsi"/>
                <w:b/>
                <w:bCs/>
              </w:rPr>
              <w:t>119</w:t>
            </w:r>
            <w:r w:rsidRPr="00273CF8">
              <w:rPr>
                <w:rFonts w:asciiTheme="majorHAnsi" w:hAnsiTheme="majorHAnsi"/>
                <w:b/>
              </w:rPr>
              <w:t>)</w:t>
            </w:r>
          </w:p>
        </w:tc>
        <w:tc>
          <w:tcPr>
            <w:tcW w:w="1559" w:type="dxa"/>
            <w:shd w:val="clear" w:color="auto" w:fill="F2F2F2" w:themeFill="background1" w:themeFillShade="F2"/>
          </w:tcPr>
          <w:p w14:paraId="70E328F6" w14:textId="7C672410" w:rsidR="00486DA3" w:rsidRPr="00273CF8" w:rsidRDefault="00486DA3" w:rsidP="00486DA3">
            <w:pPr>
              <w:pStyle w:val="TableBullet"/>
              <w:keepNext/>
              <w:numPr>
                <w:ilvl w:val="0"/>
                <w:numId w:val="0"/>
              </w:numPr>
              <w:ind w:left="284" w:hanging="284"/>
              <w:jc w:val="right"/>
              <w:rPr>
                <w:rFonts w:asciiTheme="majorHAnsi" w:hAnsiTheme="majorHAnsi"/>
                <w:b/>
              </w:rPr>
            </w:pPr>
            <w:r w:rsidRPr="00273CF8">
              <w:rPr>
                <w:rFonts w:asciiTheme="majorHAnsi" w:hAnsiTheme="majorHAnsi"/>
                <w:b/>
              </w:rPr>
              <w:t>($ 0.</w:t>
            </w:r>
            <w:r>
              <w:rPr>
                <w:rFonts w:asciiTheme="majorHAnsi" w:hAnsiTheme="majorHAnsi"/>
                <w:b/>
                <w:bCs/>
              </w:rPr>
              <w:t>156</w:t>
            </w:r>
            <w:r w:rsidRPr="00273CF8">
              <w:rPr>
                <w:rFonts w:asciiTheme="majorHAnsi" w:hAnsiTheme="majorHAnsi"/>
                <w:b/>
              </w:rPr>
              <w:t>)</w:t>
            </w:r>
          </w:p>
        </w:tc>
        <w:tc>
          <w:tcPr>
            <w:tcW w:w="1444" w:type="dxa"/>
            <w:shd w:val="clear" w:color="auto" w:fill="F2F2F2" w:themeFill="background1" w:themeFillShade="F2"/>
          </w:tcPr>
          <w:p w14:paraId="55A74A4B" w14:textId="77777777" w:rsidR="00486DA3" w:rsidRPr="00273CF8" w:rsidRDefault="00486DA3" w:rsidP="00486DA3">
            <w:pPr>
              <w:pStyle w:val="TableNumbering"/>
              <w:keepNext/>
              <w:numPr>
                <w:ilvl w:val="0"/>
                <w:numId w:val="0"/>
              </w:numPr>
              <w:ind w:right="253"/>
              <w:jc w:val="right"/>
              <w:rPr>
                <w:rFonts w:asciiTheme="majorHAnsi" w:hAnsiTheme="majorHAnsi"/>
                <w:b/>
              </w:rPr>
            </w:pPr>
            <w:r w:rsidRPr="00273CF8">
              <w:rPr>
                <w:rFonts w:asciiTheme="majorHAnsi" w:hAnsiTheme="majorHAnsi"/>
                <w:b/>
              </w:rPr>
              <w:t>    -</w:t>
            </w:r>
          </w:p>
        </w:tc>
        <w:tc>
          <w:tcPr>
            <w:tcW w:w="1616" w:type="dxa"/>
            <w:shd w:val="clear" w:color="auto" w:fill="F2F2F2" w:themeFill="background1" w:themeFillShade="F2"/>
          </w:tcPr>
          <w:p w14:paraId="0DDA12DD" w14:textId="1620434C" w:rsidR="00486DA3" w:rsidRPr="00740060" w:rsidRDefault="00486DA3" w:rsidP="00486DA3">
            <w:pPr>
              <w:pStyle w:val="TableNumbering"/>
              <w:keepNext/>
              <w:numPr>
                <w:ilvl w:val="0"/>
                <w:numId w:val="0"/>
              </w:numPr>
              <w:tabs>
                <w:tab w:val="left" w:pos="1090"/>
              </w:tabs>
              <w:jc w:val="right"/>
              <w:rPr>
                <w:rFonts w:asciiTheme="majorHAnsi" w:hAnsiTheme="majorHAnsi"/>
                <w:b/>
              </w:rPr>
            </w:pPr>
            <w:r w:rsidRPr="00740060">
              <w:rPr>
                <w:rFonts w:asciiTheme="majorHAnsi" w:hAnsiTheme="majorHAnsi"/>
                <w:b/>
              </w:rPr>
              <w:t>($ 0.</w:t>
            </w:r>
            <w:r w:rsidR="00E47F42">
              <w:rPr>
                <w:rFonts w:asciiTheme="majorHAnsi" w:hAnsiTheme="majorHAnsi"/>
                <w:b/>
                <w:bCs/>
              </w:rPr>
              <w:t>275</w:t>
            </w:r>
            <w:r w:rsidRPr="00740060">
              <w:rPr>
                <w:rFonts w:asciiTheme="majorHAnsi" w:hAnsiTheme="majorHAnsi"/>
                <w:b/>
              </w:rPr>
              <w:t>)</w:t>
            </w:r>
          </w:p>
        </w:tc>
      </w:tr>
    </w:tbl>
    <w:p w14:paraId="16E6A78A" w14:textId="5A6AC62D" w:rsidR="004908CD" w:rsidRPr="00183564" w:rsidRDefault="004908CD" w:rsidP="000E72D0">
      <w:pPr>
        <w:pStyle w:val="Caption"/>
        <w:keepNext w:val="0"/>
        <w:jc w:val="center"/>
        <w:rPr>
          <w:sz w:val="24"/>
          <w:szCs w:val="24"/>
        </w:rPr>
      </w:pPr>
      <w:bookmarkStart w:id="42" w:name="_Ref78897159"/>
      <w:r>
        <w:t xml:space="preserve">Table </w:t>
      </w:r>
      <w:r w:rsidR="00733E8D">
        <w:fldChar w:fldCharType="begin"/>
      </w:r>
      <w:r w:rsidR="00733E8D">
        <w:instrText xml:space="preserve"> SEQ Table \* ARABIC </w:instrText>
      </w:r>
      <w:r w:rsidR="00733E8D">
        <w:fldChar w:fldCharType="separate"/>
      </w:r>
      <w:r w:rsidR="004C4CE2">
        <w:rPr>
          <w:noProof/>
        </w:rPr>
        <w:t>6</w:t>
      </w:r>
      <w:r w:rsidR="00733E8D">
        <w:rPr>
          <w:noProof/>
        </w:rPr>
        <w:fldChar w:fldCharType="end"/>
      </w:r>
      <w:bookmarkEnd w:id="42"/>
      <w:r>
        <w:t xml:space="preserve"> – Option 3 Regulatory Burden Estimate</w:t>
      </w:r>
    </w:p>
    <w:p w14:paraId="4BA0B11E" w14:textId="38865F25" w:rsidR="003F63C4" w:rsidRDefault="00775E48" w:rsidP="008B7203">
      <w:pPr>
        <w:rPr>
          <w:lang w:eastAsia="en-AU"/>
        </w:rPr>
      </w:pPr>
      <w:r>
        <w:rPr>
          <w:lang w:eastAsia="en-AU"/>
        </w:rPr>
        <w:t>The</w:t>
      </w:r>
      <w:r w:rsidR="008C38EF">
        <w:rPr>
          <w:lang w:eastAsia="en-AU"/>
        </w:rPr>
        <w:t xml:space="preserve"> </w:t>
      </w:r>
      <w:r w:rsidR="00FC257E">
        <w:rPr>
          <w:lang w:eastAsia="en-AU"/>
        </w:rPr>
        <w:t xml:space="preserve">data and assumptions </w:t>
      </w:r>
      <w:r w:rsidR="00C30874">
        <w:rPr>
          <w:lang w:eastAsia="en-AU"/>
        </w:rPr>
        <w:t>under</w:t>
      </w:r>
      <w:r w:rsidR="000B5168">
        <w:rPr>
          <w:lang w:eastAsia="en-AU"/>
        </w:rPr>
        <w:t xml:space="preserve">pinning </w:t>
      </w:r>
      <w:r w:rsidR="00DF58CA">
        <w:rPr>
          <w:lang w:eastAsia="en-AU"/>
        </w:rPr>
        <w:t xml:space="preserve">the </w:t>
      </w:r>
      <w:r w:rsidR="008C38EF">
        <w:rPr>
          <w:lang w:eastAsia="en-AU"/>
        </w:rPr>
        <w:t>regulatory burden estimate outlined in</w:t>
      </w:r>
      <w:r>
        <w:rPr>
          <w:lang w:eastAsia="en-AU"/>
        </w:rPr>
        <w:t xml:space="preserve"> </w:t>
      </w:r>
      <w:r w:rsidR="005B264C" w:rsidRPr="000F79A8">
        <w:rPr>
          <w:lang w:eastAsia="en-AU"/>
        </w:rPr>
        <w:fldChar w:fldCharType="begin"/>
      </w:r>
      <w:r w:rsidR="005B264C" w:rsidRPr="000F79A8">
        <w:rPr>
          <w:lang w:eastAsia="en-AU"/>
        </w:rPr>
        <w:instrText xml:space="preserve"> REF _Ref78897159 \h  \* MERGEFORMAT </w:instrText>
      </w:r>
      <w:r w:rsidR="005B264C" w:rsidRPr="000F79A8">
        <w:rPr>
          <w:lang w:eastAsia="en-AU"/>
        </w:rPr>
      </w:r>
      <w:r w:rsidR="005B264C" w:rsidRPr="000F79A8">
        <w:rPr>
          <w:lang w:eastAsia="en-AU"/>
        </w:rPr>
        <w:fldChar w:fldCharType="separate"/>
      </w:r>
      <w:r w:rsidR="00B34948" w:rsidRPr="0086752E">
        <w:rPr>
          <w:bCs/>
          <w:lang w:eastAsia="en-AU"/>
        </w:rPr>
        <w:t>Table 6</w:t>
      </w:r>
      <w:r w:rsidR="005B264C" w:rsidRPr="000F79A8">
        <w:rPr>
          <w:lang w:eastAsia="en-AU"/>
        </w:rPr>
        <w:fldChar w:fldCharType="end"/>
      </w:r>
      <w:r w:rsidR="003F63C4" w:rsidRPr="000F79A8">
        <w:rPr>
          <w:lang w:eastAsia="en-AU"/>
        </w:rPr>
        <w:t xml:space="preserve"> </w:t>
      </w:r>
      <w:r w:rsidR="008C38EF">
        <w:rPr>
          <w:lang w:eastAsia="en-AU"/>
        </w:rPr>
        <w:t>above</w:t>
      </w:r>
      <w:r w:rsidR="000B5168">
        <w:rPr>
          <w:lang w:eastAsia="en-AU"/>
        </w:rPr>
        <w:t>,</w:t>
      </w:r>
      <w:r w:rsidR="008C38EF">
        <w:rPr>
          <w:lang w:eastAsia="en-AU"/>
        </w:rPr>
        <w:t xml:space="preserve"> </w:t>
      </w:r>
      <w:r w:rsidR="005973BA">
        <w:rPr>
          <w:lang w:eastAsia="en-AU"/>
        </w:rPr>
        <w:t xml:space="preserve">are </w:t>
      </w:r>
      <w:r w:rsidR="00DF58CA">
        <w:rPr>
          <w:lang w:eastAsia="en-AU"/>
        </w:rPr>
        <w:t xml:space="preserve">presented in </w:t>
      </w:r>
      <w:r w:rsidR="000640CC">
        <w:rPr>
          <w:lang w:eastAsia="en-AU"/>
        </w:rPr>
        <w:t>Appendix C below.</w:t>
      </w:r>
    </w:p>
    <w:p w14:paraId="095095CC" w14:textId="35DE0698" w:rsidR="00576044" w:rsidRDefault="00177E85" w:rsidP="00150E89">
      <w:r>
        <w:t>The increased regulatory burden is offset</w:t>
      </w:r>
      <w:r w:rsidR="0012664A">
        <w:t xml:space="preserve">, </w:t>
      </w:r>
      <w:r w:rsidR="00D42258">
        <w:t xml:space="preserve">at least </w:t>
      </w:r>
      <w:r w:rsidR="0012664A">
        <w:t xml:space="preserve">partly, by anticipated savings </w:t>
      </w:r>
      <w:r w:rsidR="00A41B50">
        <w:t>due to the</w:t>
      </w:r>
      <w:r w:rsidR="0025425D">
        <w:t xml:space="preserve"> </w:t>
      </w:r>
      <w:r w:rsidR="00A41B50">
        <w:t xml:space="preserve">more </w:t>
      </w:r>
      <w:r w:rsidR="0025425D" w:rsidRPr="0025425D">
        <w:t>nuanced human health risk management regime</w:t>
      </w:r>
      <w:r w:rsidR="0025425D">
        <w:t xml:space="preserve"> in option 3</w:t>
      </w:r>
      <w:r w:rsidR="0025425D" w:rsidRPr="0025425D">
        <w:t xml:space="preserve"> in which some level of disembarkation </w:t>
      </w:r>
      <w:r w:rsidR="00B87445">
        <w:t xml:space="preserve">of passengers </w:t>
      </w:r>
      <w:r w:rsidR="0025425D" w:rsidRPr="0025425D">
        <w:t xml:space="preserve">and loading and unloading </w:t>
      </w:r>
      <w:r w:rsidR="00B87445">
        <w:t xml:space="preserve">of goods </w:t>
      </w:r>
      <w:r w:rsidR="0025425D" w:rsidRPr="0025425D">
        <w:t>can occur according to the assessment of risk.</w:t>
      </w:r>
      <w:r w:rsidR="00A71370">
        <w:t xml:space="preserve"> </w:t>
      </w:r>
      <w:r w:rsidR="00B87445">
        <w:t xml:space="preserve">Vessel operators </w:t>
      </w:r>
      <w:r w:rsidR="000F3176">
        <w:t xml:space="preserve">incur additional costs due to </w:t>
      </w:r>
      <w:r w:rsidR="00C42E82">
        <w:t>delays</w:t>
      </w:r>
      <w:r w:rsidR="000F3176">
        <w:t xml:space="preserve"> arising from negative pratique, including the </w:t>
      </w:r>
      <w:r w:rsidR="001023FF">
        <w:t xml:space="preserve">ship operating costs and the </w:t>
      </w:r>
      <w:r w:rsidR="000F3176">
        <w:t>costs of</w:t>
      </w:r>
      <w:r w:rsidR="00E749F5">
        <w:t xml:space="preserve"> holdin</w:t>
      </w:r>
      <w:r w:rsidR="001023FF">
        <w:t xml:space="preserve">g </w:t>
      </w:r>
      <w:r w:rsidR="008C75A7">
        <w:t>inventory</w:t>
      </w:r>
      <w:r w:rsidR="0005277A">
        <w:t>.</w:t>
      </w:r>
      <w:r w:rsidR="0047336E">
        <w:t xml:space="preserve"> One est</w:t>
      </w:r>
      <w:r w:rsidR="000670A7">
        <w:t>im</w:t>
      </w:r>
      <w:r w:rsidR="0047336E">
        <w:t>ate</w:t>
      </w:r>
      <w:r w:rsidR="00ED4634">
        <w:t xml:space="preserve"> </w:t>
      </w:r>
      <w:r w:rsidR="000963BB">
        <w:t xml:space="preserve">puts the </w:t>
      </w:r>
      <w:r w:rsidR="00B72DFF">
        <w:t xml:space="preserve">cost of </w:t>
      </w:r>
      <w:r w:rsidR="00041CFA">
        <w:t>waiting time</w:t>
      </w:r>
      <w:r w:rsidR="005F5666">
        <w:t xml:space="preserve"> for cargo vessels</w:t>
      </w:r>
      <w:r w:rsidR="00041CFA">
        <w:t xml:space="preserve"> to berth</w:t>
      </w:r>
      <w:r w:rsidR="000963BB">
        <w:t xml:space="preserve"> </w:t>
      </w:r>
      <w:r w:rsidR="009D45C4">
        <w:t xml:space="preserve">at </w:t>
      </w:r>
      <w:r w:rsidR="00F76D05">
        <w:t xml:space="preserve">a foreign port at </w:t>
      </w:r>
      <w:r w:rsidR="009D45C4">
        <w:t>USD</w:t>
      </w:r>
      <w:r w:rsidR="004978DF">
        <w:t xml:space="preserve">2,150 to </w:t>
      </w:r>
      <w:r w:rsidR="005F5666">
        <w:t>USD5,300 per day, depending on the size of the vesse</w:t>
      </w:r>
      <w:r w:rsidR="003B4425">
        <w:t>l</w:t>
      </w:r>
      <w:r w:rsidR="00527B59">
        <w:t xml:space="preserve"> </w:t>
      </w:r>
      <w:r w:rsidR="003B4425">
        <w:t>(Nguyen</w:t>
      </w:r>
      <w:r w:rsidR="00D6760F">
        <w:t>)</w:t>
      </w:r>
      <w:r w:rsidR="005F5666">
        <w:t>.</w:t>
      </w:r>
      <w:r w:rsidR="0047336E">
        <w:t xml:space="preserve"> </w:t>
      </w:r>
      <w:r w:rsidR="00F554EB">
        <w:t xml:space="preserve">Allowing </w:t>
      </w:r>
      <w:r w:rsidR="00F76D05">
        <w:t>p</w:t>
      </w:r>
      <w:r w:rsidR="00F554EB">
        <w:t xml:space="preserve">ratique to be granted while </w:t>
      </w:r>
      <w:r w:rsidR="008C5375">
        <w:t xml:space="preserve">managing the human health risks </w:t>
      </w:r>
      <w:r w:rsidR="00990BB1">
        <w:t xml:space="preserve">reduces these costs as the ship </w:t>
      </w:r>
      <w:r w:rsidR="00AA4F33">
        <w:t>can</w:t>
      </w:r>
      <w:r w:rsidR="00AD5D0A">
        <w:t xml:space="preserve"> </w:t>
      </w:r>
      <w:r w:rsidR="00990BB1">
        <w:t xml:space="preserve">berth and unload </w:t>
      </w:r>
      <w:r w:rsidR="00990BB1">
        <w:lastRenderedPageBreak/>
        <w:t xml:space="preserve">goods and possibly some passengers. </w:t>
      </w:r>
      <w:r w:rsidR="00C42E82">
        <w:t xml:space="preserve">The quantum </w:t>
      </w:r>
      <w:r w:rsidR="008D69E3">
        <w:t>o</w:t>
      </w:r>
      <w:r w:rsidR="00C42E82">
        <w:t xml:space="preserve">f savings cannot be estimated with any certainty, due to the number of </w:t>
      </w:r>
      <w:r w:rsidR="008D69E3">
        <w:t>variables including</w:t>
      </w:r>
      <w:r w:rsidR="00EE0D9D">
        <w:t xml:space="preserve"> the frequency </w:t>
      </w:r>
      <w:r w:rsidR="00CA3CF3">
        <w:t xml:space="preserve">and length </w:t>
      </w:r>
      <w:r w:rsidR="00EE0D9D">
        <w:t xml:space="preserve">of </w:t>
      </w:r>
      <w:r w:rsidR="00D731AE">
        <w:t>delays</w:t>
      </w:r>
      <w:r w:rsidR="005D318C">
        <w:t xml:space="preserve"> and</w:t>
      </w:r>
      <w:r w:rsidR="0047336E">
        <w:t xml:space="preserve"> </w:t>
      </w:r>
      <w:r w:rsidR="000E0EDD">
        <w:t>the size, type and number of vessels affecte</w:t>
      </w:r>
      <w:r w:rsidR="00FF25A9">
        <w:t>d.</w:t>
      </w:r>
    </w:p>
    <w:p w14:paraId="0CB169AE" w14:textId="21AFB390" w:rsidR="00150E89" w:rsidRPr="00183564" w:rsidRDefault="00150E89" w:rsidP="00150E89">
      <w:r>
        <w:t xml:space="preserve">It is </w:t>
      </w:r>
      <w:r w:rsidR="00FD79FB">
        <w:t xml:space="preserve">also </w:t>
      </w:r>
      <w:r>
        <w:t>worth noting that the potential</w:t>
      </w:r>
      <w:r w:rsidRPr="00183564">
        <w:t xml:space="preserve"> cost </w:t>
      </w:r>
      <w:r>
        <w:t xml:space="preserve">to affected individuals imposed by the proposed new </w:t>
      </w:r>
      <w:r w:rsidR="00197BA2">
        <w:t xml:space="preserve">mechanism </w:t>
      </w:r>
      <w:r>
        <w:t>to issue HBGDs is</w:t>
      </w:r>
      <w:r w:rsidRPr="00183564">
        <w:t xml:space="preserve"> </w:t>
      </w:r>
      <w:r>
        <w:t xml:space="preserve">greatly </w:t>
      </w:r>
      <w:r w:rsidRPr="00183564">
        <w:t xml:space="preserve">offset by the wider economic benefit of </w:t>
      </w:r>
      <w:r>
        <w:t xml:space="preserve">better management of the risk of a listed human disease entering the community, for example by </w:t>
      </w:r>
      <w:r w:rsidRPr="00183564">
        <w:t xml:space="preserve">ensuring </w:t>
      </w:r>
      <w:r>
        <w:t xml:space="preserve">symptomatic </w:t>
      </w:r>
      <w:r w:rsidRPr="00183564">
        <w:t>passengers are not disembark</w:t>
      </w:r>
      <w:r>
        <w:t xml:space="preserve">ed, thereby avoiding </w:t>
      </w:r>
      <w:r w:rsidRPr="00183564">
        <w:t>greater harm to the economy.</w:t>
      </w:r>
    </w:p>
    <w:p w14:paraId="0DF64124" w14:textId="77777777" w:rsidR="007D771D" w:rsidRPr="00183564" w:rsidRDefault="007D771D" w:rsidP="007D771D">
      <w:pPr>
        <w:pStyle w:val="BodyText"/>
        <w:rPr>
          <w:rFonts w:asciiTheme="majorHAnsi" w:hAnsiTheme="majorHAnsi"/>
          <w:b/>
          <w:color w:val="014463" w:themeColor="text2"/>
          <w:sz w:val="60"/>
          <w:szCs w:val="60"/>
        </w:rPr>
      </w:pPr>
    </w:p>
    <w:p w14:paraId="14939157" w14:textId="53B27C81" w:rsidR="007C5FA7" w:rsidRPr="00183564" w:rsidRDefault="007C5FA7" w:rsidP="00D55A67">
      <w:pPr>
        <w:pStyle w:val="Heading2"/>
      </w:pPr>
      <w:bookmarkStart w:id="43" w:name="_Toc80965315"/>
      <w:r w:rsidRPr="00183564">
        <w:t>5. Who did you consult and how did you incorporate their feedback?</w:t>
      </w:r>
      <w:bookmarkEnd w:id="43"/>
    </w:p>
    <w:p w14:paraId="2DE68D2C" w14:textId="405D2163" w:rsidR="00B77050" w:rsidRDefault="00023C61" w:rsidP="00B77050">
      <w:r>
        <w:t xml:space="preserve">The </w:t>
      </w:r>
      <w:r w:rsidR="008079D8">
        <w:t xml:space="preserve">human biosecurity risk management </w:t>
      </w:r>
      <w:r w:rsidR="008431B2">
        <w:t>issues</w:t>
      </w:r>
      <w:r>
        <w:t xml:space="preserve"> addressed in this RIS have been </w:t>
      </w:r>
      <w:r w:rsidR="00AA1912">
        <w:t xml:space="preserve">subject to </w:t>
      </w:r>
      <w:r w:rsidR="007C286E">
        <w:t xml:space="preserve">consideration and </w:t>
      </w:r>
      <w:r w:rsidR="008E48DE">
        <w:t xml:space="preserve">public </w:t>
      </w:r>
      <w:r w:rsidR="00AF3CBB">
        <w:t>consultation</w:t>
      </w:r>
      <w:r w:rsidR="00AA1912">
        <w:t xml:space="preserve"> </w:t>
      </w:r>
      <w:r w:rsidR="006F7B47">
        <w:t>i</w:t>
      </w:r>
      <w:r>
        <w:t>n</w:t>
      </w:r>
      <w:r w:rsidR="006F7B47">
        <w:t xml:space="preserve"> </w:t>
      </w:r>
      <w:r w:rsidR="0049263A">
        <w:t>the</w:t>
      </w:r>
      <w:r w:rsidR="006F7B47">
        <w:t xml:space="preserve"> </w:t>
      </w:r>
      <w:r w:rsidR="00B32D7C">
        <w:t>inquiries</w:t>
      </w:r>
      <w:r w:rsidR="0049263A">
        <w:t xml:space="preserve"> referred to above</w:t>
      </w:r>
      <w:r w:rsidR="004627C9">
        <w:t>.</w:t>
      </w:r>
      <w:r>
        <w:t xml:space="preserve"> </w:t>
      </w:r>
      <w:r w:rsidR="00B77050">
        <w:t>The New South Wales Special Commission made a call for public submissions and received 152 written submissions, including submissions from passengers on the Ruby Princess. The Commission also</w:t>
      </w:r>
      <w:r w:rsidR="00D6548A">
        <w:t xml:space="preserve"> </w:t>
      </w:r>
      <w:r w:rsidR="00B77050">
        <w:t xml:space="preserve">held public hearings into its inquiry between 22 April 2020 and 17 July 2020. The Inspector-General of Biosecurity consulted within and outside the Department of Agriculture, </w:t>
      </w:r>
      <w:proofErr w:type="gramStart"/>
      <w:r w:rsidR="00B77050">
        <w:t>Water</w:t>
      </w:r>
      <w:proofErr w:type="gramEnd"/>
      <w:r w:rsidR="00B77050">
        <w:t xml:space="preserve"> and the Environment. The Inspector-General’s report including the department’s response to the recommendations in the report was published on 29 April 2021.</w:t>
      </w:r>
    </w:p>
    <w:p w14:paraId="20D15CC2" w14:textId="1C55E8A3" w:rsidR="001B04E4" w:rsidRDefault="002B2880" w:rsidP="001B04E4">
      <w:proofErr w:type="gramStart"/>
      <w:r>
        <w:t>Subsequent to</w:t>
      </w:r>
      <w:proofErr w:type="gramEnd"/>
      <w:r>
        <w:t xml:space="preserve"> those reviews</w:t>
      </w:r>
      <w:r w:rsidR="001B04E4">
        <w:t xml:space="preserve">, </w:t>
      </w:r>
      <w:r w:rsidR="00425BE9">
        <w:t>there</w:t>
      </w:r>
      <w:r>
        <w:t xml:space="preserve"> has been</w:t>
      </w:r>
      <w:r w:rsidR="001B04E4">
        <w:t xml:space="preserve"> targeted consultation with industry and with state and territory public health officials, noting that s</w:t>
      </w:r>
      <w:r w:rsidR="001B04E4" w:rsidRPr="003C2C26">
        <w:t xml:space="preserve">ome of the policy problems </w:t>
      </w:r>
      <w:r w:rsidR="001B04E4">
        <w:t>being</w:t>
      </w:r>
      <w:r w:rsidR="001B04E4" w:rsidRPr="003C2C26">
        <w:t xml:space="preserve"> address</w:t>
      </w:r>
      <w:r w:rsidR="001B04E4">
        <w:t>ed</w:t>
      </w:r>
      <w:r w:rsidR="001B04E4" w:rsidRPr="003C2C26">
        <w:t xml:space="preserve"> had a public airing in the independent reviews</w:t>
      </w:r>
      <w:r w:rsidR="001B04E4">
        <w:t>. The reform</w:t>
      </w:r>
      <w:r w:rsidR="005403CF">
        <w:t>s</w:t>
      </w:r>
      <w:r w:rsidR="001B04E4">
        <w:t xml:space="preserve"> relate to public health question and </w:t>
      </w:r>
      <w:r w:rsidR="005403CF">
        <w:t>their</w:t>
      </w:r>
      <w:r w:rsidR="001B04E4">
        <w:t xml:space="preserve"> </w:t>
      </w:r>
      <w:r w:rsidR="001B04E4" w:rsidRPr="005B2F5C">
        <w:t xml:space="preserve">development has been guided by experts at Commonwealth and state and territory level. It is urgently required to support safe resumption of international travel in line with government priorities in short timeframes. Such constraints, along with the need to engage with all states and territories on the framework through the </w:t>
      </w:r>
      <w:r w:rsidR="001B04E4" w:rsidRPr="00183564">
        <w:t xml:space="preserve">Chief Human Biosecurity Officer </w:t>
      </w:r>
      <w:r w:rsidR="001B04E4">
        <w:t>(</w:t>
      </w:r>
      <w:r w:rsidR="001B04E4" w:rsidRPr="005B2F5C">
        <w:t>CHBO</w:t>
      </w:r>
      <w:r w:rsidR="001B04E4">
        <w:t>)</w:t>
      </w:r>
      <w:r w:rsidR="001B04E4" w:rsidRPr="005B2F5C">
        <w:t xml:space="preserve"> Forum, do not support a long public consultation lead time or the preparation of a draft exposure Bill for public consultation.</w:t>
      </w:r>
    </w:p>
    <w:p w14:paraId="2885342F" w14:textId="44FB64C7" w:rsidR="00B44AC1" w:rsidRPr="00183564" w:rsidRDefault="001A7C21" w:rsidP="00B44AC1">
      <w:r w:rsidRPr="00183564">
        <w:t xml:space="preserve">The cruise industry has been </w:t>
      </w:r>
      <w:r w:rsidR="001A206A" w:rsidRPr="00183564">
        <w:t xml:space="preserve">consulted on the proposed new </w:t>
      </w:r>
      <w:r w:rsidR="00B651CE" w:rsidRPr="00183564">
        <w:t>p</w:t>
      </w:r>
      <w:r w:rsidR="001A206A" w:rsidRPr="00183564">
        <w:t xml:space="preserve">re-arrival </w:t>
      </w:r>
      <w:r w:rsidR="00B651CE" w:rsidRPr="00183564">
        <w:t>r</w:t>
      </w:r>
      <w:r w:rsidR="001A206A" w:rsidRPr="00183564">
        <w:t xml:space="preserve">eporting process in meetings </w:t>
      </w:r>
      <w:r w:rsidR="00D20488" w:rsidRPr="00183564">
        <w:t xml:space="preserve">held </w:t>
      </w:r>
      <w:r w:rsidR="001A206A" w:rsidRPr="00183564">
        <w:t xml:space="preserve">in </w:t>
      </w:r>
      <w:r w:rsidR="00D20488" w:rsidRPr="00183564">
        <w:t xml:space="preserve">March 2021. </w:t>
      </w:r>
      <w:r w:rsidR="00B44AC1" w:rsidRPr="00183564">
        <w:t xml:space="preserve">The Department of Infrastructure, Transport, Regional Development and Communications has chaired whole-of-government meetings with the cruise industry throughout the pandemic. These meetings include </w:t>
      </w:r>
      <w:r w:rsidR="000767CC" w:rsidRPr="00183564">
        <w:t xml:space="preserve">the </w:t>
      </w:r>
      <w:r w:rsidR="00C81FBD" w:rsidRPr="00183564">
        <w:t>department</w:t>
      </w:r>
      <w:r w:rsidR="00B44AC1" w:rsidRPr="00183564">
        <w:t xml:space="preserve">, the Department of Health, and the Australian Border Force, as well as representatives from cruise companies and cruise industry </w:t>
      </w:r>
      <w:r w:rsidR="002D4A2D">
        <w:t xml:space="preserve">peak </w:t>
      </w:r>
      <w:r w:rsidR="00B44AC1" w:rsidRPr="00183564">
        <w:t xml:space="preserve">bodies. </w:t>
      </w:r>
      <w:r w:rsidR="00627E11" w:rsidRPr="00627E11">
        <w:t xml:space="preserve">Suggestions for potential reforms, including the recommendations made by the NSW Commission, were discussed with the cruise industry at a meeting held by teleconference on 17 March 2021. </w:t>
      </w:r>
    </w:p>
    <w:p w14:paraId="192FC279" w14:textId="77777777" w:rsidR="00B44AC1" w:rsidRPr="00183564" w:rsidRDefault="00B44AC1" w:rsidP="00B44AC1">
      <w:r w:rsidRPr="00183564">
        <w:t>The COVID-19 pandemic has been devastating for the cruise industry and the industry has demonstrated its eagerness to work with government to manage health risks for passengers and crew and develop a framework to support the resumption of cruise travel.</w:t>
      </w:r>
    </w:p>
    <w:p w14:paraId="4FA8BDE6" w14:textId="77777777" w:rsidR="00B77050" w:rsidRDefault="00B77050" w:rsidP="00B77050">
      <w:r>
        <w:t xml:space="preserve">The department also consulted Ports Australia in June 2021 at a meeting attended by </w:t>
      </w:r>
      <w:r w:rsidRPr="00BF6370">
        <w:t>senior operations personnel from most major public and private ports.</w:t>
      </w:r>
      <w:r>
        <w:t xml:space="preserve"> Details about the full package of proposed changes was presented at that meeting.</w:t>
      </w:r>
    </w:p>
    <w:p w14:paraId="3EC2AE1B" w14:textId="6BBF5B45" w:rsidR="005F55C9" w:rsidRDefault="005F55C9" w:rsidP="00B44AC1">
      <w:r>
        <w:t xml:space="preserve">Further consultation will be conducted with </w:t>
      </w:r>
      <w:r w:rsidR="00B87445">
        <w:t xml:space="preserve">broader industry groups </w:t>
      </w:r>
      <w:r>
        <w:t xml:space="preserve">as part of the </w:t>
      </w:r>
      <w:r w:rsidR="001369E2">
        <w:t xml:space="preserve">development of regulations and </w:t>
      </w:r>
      <w:r>
        <w:t xml:space="preserve">implementation of the proposals to develop awareness of the new </w:t>
      </w:r>
      <w:r w:rsidR="00197BA2">
        <w:t xml:space="preserve">mechanisms </w:t>
      </w:r>
      <w:r>
        <w:t xml:space="preserve">for Human </w:t>
      </w:r>
      <w:r w:rsidRPr="00E334EC">
        <w:t>Biosecurity Group Directions</w:t>
      </w:r>
      <w:r>
        <w:t xml:space="preserve"> and new and increased penalties for non-compliance with reporting and pratique requirements.</w:t>
      </w:r>
      <w:r w:rsidR="006A5C0B">
        <w:t xml:space="preserve"> The department is developing a detailed implementation plan in consultation with the Department of Health</w:t>
      </w:r>
      <w:r w:rsidR="00130BCF">
        <w:t xml:space="preserve"> that will also address the further consultation to be conducted</w:t>
      </w:r>
      <w:r w:rsidR="005F6572">
        <w:t xml:space="preserve"> with </w:t>
      </w:r>
      <w:r w:rsidR="00B87445">
        <w:t xml:space="preserve">such </w:t>
      </w:r>
      <w:r w:rsidR="005F6572">
        <w:t>industries</w:t>
      </w:r>
      <w:r w:rsidR="006A5C0B">
        <w:t>.</w:t>
      </w:r>
    </w:p>
    <w:p w14:paraId="1A24F997" w14:textId="605CB0F1" w:rsidR="00355E15" w:rsidRPr="00183564" w:rsidRDefault="00D73942" w:rsidP="007C5FA7">
      <w:r w:rsidRPr="00183564">
        <w:lastRenderedPageBreak/>
        <w:t xml:space="preserve">The Commonwealth, including </w:t>
      </w:r>
      <w:r w:rsidR="000767CC" w:rsidRPr="00183564">
        <w:t>the department</w:t>
      </w:r>
      <w:r w:rsidRPr="00183564">
        <w:t xml:space="preserve"> and </w:t>
      </w:r>
      <w:r w:rsidR="00C81FBD" w:rsidRPr="00183564">
        <w:t>the Department of</w:t>
      </w:r>
      <w:r w:rsidRPr="00183564">
        <w:t xml:space="preserve"> Health, </w:t>
      </w:r>
      <w:r w:rsidR="00A75817" w:rsidRPr="00183564">
        <w:t xml:space="preserve">consulted </w:t>
      </w:r>
      <w:proofErr w:type="gramStart"/>
      <w:r w:rsidR="00B535FC" w:rsidRPr="00183564">
        <w:t>with</w:t>
      </w:r>
      <w:proofErr w:type="gramEnd"/>
      <w:r w:rsidR="00B535FC" w:rsidRPr="00183564">
        <w:t xml:space="preserve"> </w:t>
      </w:r>
      <w:r w:rsidR="00A75817" w:rsidRPr="00183564">
        <w:t>and received feedback from</w:t>
      </w:r>
      <w:r w:rsidRPr="00183564">
        <w:t xml:space="preserve"> </w:t>
      </w:r>
      <w:r w:rsidR="00F33004" w:rsidRPr="00183564">
        <w:t>State</w:t>
      </w:r>
      <w:r w:rsidR="00A75817" w:rsidRPr="00183564">
        <w:t>s</w:t>
      </w:r>
      <w:r w:rsidR="00F33004" w:rsidRPr="00183564">
        <w:t xml:space="preserve"> and Territor</w:t>
      </w:r>
      <w:r w:rsidR="00A75817" w:rsidRPr="00183564">
        <w:t xml:space="preserve">ies through meetings of </w:t>
      </w:r>
      <w:r w:rsidR="00E15503" w:rsidRPr="00183564">
        <w:t xml:space="preserve">the </w:t>
      </w:r>
      <w:r w:rsidR="00004E8F" w:rsidRPr="00183564">
        <w:t xml:space="preserve">CBHO </w:t>
      </w:r>
      <w:r w:rsidR="00E15503" w:rsidRPr="00183564">
        <w:t xml:space="preserve">Forum. </w:t>
      </w:r>
      <w:r w:rsidR="008C3DD0" w:rsidRPr="008C3DD0">
        <w:t>This reflects that the HBOs and CHBOs are officers of the state and territories undertaking Commonwealth functions under the Act.</w:t>
      </w:r>
    </w:p>
    <w:p w14:paraId="482A2741" w14:textId="6E7AB409" w:rsidR="00AB477A" w:rsidRDefault="00293E0E" w:rsidP="007C5FA7">
      <w:pPr>
        <w:rPr>
          <w:rFonts w:eastAsia="Times New Roman"/>
        </w:rPr>
      </w:pPr>
      <w:r w:rsidRPr="00293E0E">
        <w:t xml:space="preserve">The legislation </w:t>
      </w:r>
      <w:r w:rsidR="00832D3A">
        <w:t xml:space="preserve">to implement </w:t>
      </w:r>
      <w:r w:rsidR="00A162B4">
        <w:t>Option</w:t>
      </w:r>
      <w:r w:rsidR="00832D3A">
        <w:t xml:space="preserve"> 3 </w:t>
      </w:r>
      <w:r w:rsidRPr="00293E0E">
        <w:t xml:space="preserve">is high-level in relation to changes to pre-arrival reporting with the detail to be provided in the regulations. Development of the regulations will be subject to </w:t>
      </w:r>
      <w:r w:rsidR="000E7E46">
        <w:t xml:space="preserve">further </w:t>
      </w:r>
      <w:r w:rsidRPr="00293E0E">
        <w:t>consultation</w:t>
      </w:r>
      <w:r w:rsidR="00F3514B">
        <w:t xml:space="preserve">. </w:t>
      </w:r>
      <w:r w:rsidR="000D5CAD">
        <w:rPr>
          <w:rFonts w:eastAsia="Times New Roman"/>
        </w:rPr>
        <w:t xml:space="preserve">Further implementation and operational work </w:t>
      </w:r>
      <w:r w:rsidR="00C26E23">
        <w:rPr>
          <w:rFonts w:eastAsia="Times New Roman"/>
        </w:rPr>
        <w:t>would</w:t>
      </w:r>
      <w:r w:rsidR="000D5CAD">
        <w:rPr>
          <w:rFonts w:eastAsia="Times New Roman"/>
        </w:rPr>
        <w:t xml:space="preserve"> be undertaken in close liaison with all relevant stakeholders along with communications</w:t>
      </w:r>
      <w:r w:rsidR="003B1062">
        <w:rPr>
          <w:rFonts w:eastAsia="Times New Roman"/>
        </w:rPr>
        <w:t xml:space="preserve"> in line with the implementation plan </w:t>
      </w:r>
      <w:r w:rsidR="00611A7C">
        <w:rPr>
          <w:rFonts w:eastAsia="Times New Roman"/>
        </w:rPr>
        <w:t xml:space="preserve">being developed </w:t>
      </w:r>
      <w:r w:rsidR="003B1062">
        <w:rPr>
          <w:rFonts w:eastAsia="Times New Roman"/>
        </w:rPr>
        <w:t>as discussed in section 7</w:t>
      </w:r>
      <w:r w:rsidR="000D5CAD">
        <w:rPr>
          <w:rFonts w:eastAsia="Times New Roman"/>
        </w:rPr>
        <w:t>.</w:t>
      </w:r>
    </w:p>
    <w:p w14:paraId="3B2DCAD6" w14:textId="77777777" w:rsidR="007D771D" w:rsidRPr="00183564" w:rsidRDefault="007D771D" w:rsidP="007D771D">
      <w:pPr>
        <w:pStyle w:val="BodyText"/>
        <w:rPr>
          <w:rFonts w:asciiTheme="majorHAnsi" w:hAnsiTheme="majorHAnsi"/>
          <w:b/>
          <w:color w:val="014463" w:themeColor="text2"/>
          <w:sz w:val="60"/>
          <w:szCs w:val="60"/>
        </w:rPr>
      </w:pPr>
    </w:p>
    <w:p w14:paraId="24EE3312" w14:textId="40BFF602" w:rsidR="00E6567D" w:rsidRPr="00183564" w:rsidRDefault="00E6567D" w:rsidP="00D55A67">
      <w:pPr>
        <w:pStyle w:val="Heading2"/>
      </w:pPr>
      <w:bookmarkStart w:id="44" w:name="_Toc80965316"/>
      <w:r w:rsidRPr="00183564">
        <w:t xml:space="preserve">6. </w:t>
      </w:r>
      <w:r w:rsidR="00EB3AD0" w:rsidRPr="00183564">
        <w:t>Preferred Option</w:t>
      </w:r>
      <w:bookmarkEnd w:id="44"/>
    </w:p>
    <w:p w14:paraId="3C30C9BA" w14:textId="542DCD0B" w:rsidR="00E6567D" w:rsidRPr="00183564" w:rsidRDefault="00C42332" w:rsidP="00D55A67">
      <w:pPr>
        <w:pStyle w:val="Heading3"/>
        <w:rPr>
          <w:sz w:val="24"/>
          <w:szCs w:val="24"/>
        </w:rPr>
      </w:pPr>
      <w:bookmarkStart w:id="45" w:name="_Toc80965317"/>
      <w:r w:rsidRPr="00183564">
        <w:t xml:space="preserve">Option 3: </w:t>
      </w:r>
      <w:r w:rsidR="00D918A1" w:rsidRPr="00183564">
        <w:rPr>
          <w:sz w:val="24"/>
          <w:szCs w:val="24"/>
        </w:rPr>
        <w:t>Amendments to the Biosecurity Act</w:t>
      </w:r>
      <w:bookmarkEnd w:id="45"/>
    </w:p>
    <w:p w14:paraId="45C600CC" w14:textId="63FD59C2" w:rsidR="000F43E7" w:rsidRPr="00183564" w:rsidRDefault="00AE5520" w:rsidP="00697C40">
      <w:r>
        <w:t>Option 3</w:t>
      </w:r>
      <w:r w:rsidR="00697C40" w:rsidRPr="00183564">
        <w:t xml:space="preserve"> is the preferred way of addressing the </w:t>
      </w:r>
      <w:r w:rsidR="00B91100">
        <w:t>problems</w:t>
      </w:r>
      <w:r w:rsidR="00C25298">
        <w:t xml:space="preserve"> </w:t>
      </w:r>
      <w:r w:rsidR="00FB3423">
        <w:t xml:space="preserve">identified in this RIS. </w:t>
      </w:r>
      <w:r w:rsidR="00C25298">
        <w:t xml:space="preserve"> </w:t>
      </w:r>
      <w:r w:rsidR="00FB3423" w:rsidRPr="00EA5190">
        <w:t>It</w:t>
      </w:r>
      <w:r w:rsidR="00FB3423">
        <w:t xml:space="preserve"> i</w:t>
      </w:r>
      <w:r w:rsidR="00FB3423" w:rsidRPr="00EA5190">
        <w:t xml:space="preserve">s also consistent with the recommendations </w:t>
      </w:r>
      <w:r w:rsidR="00697C40" w:rsidRPr="00183564">
        <w:t xml:space="preserve">of the </w:t>
      </w:r>
      <w:r w:rsidR="00231023" w:rsidRPr="00183564">
        <w:t xml:space="preserve">reviews into the </w:t>
      </w:r>
      <w:r w:rsidR="00974766" w:rsidRPr="00183564">
        <w:t xml:space="preserve">Ruby Princess </w:t>
      </w:r>
      <w:r w:rsidR="005C6B28">
        <w:t xml:space="preserve">cruise ship </w:t>
      </w:r>
      <w:r w:rsidR="00231023" w:rsidRPr="00183564">
        <w:t>incid</w:t>
      </w:r>
      <w:r w:rsidR="001226E1" w:rsidRPr="00183564">
        <w:t>ent</w:t>
      </w:r>
      <w:r w:rsidR="00126446">
        <w:t xml:space="preserve"> (Appendices A and B)</w:t>
      </w:r>
      <w:r w:rsidR="00880BB9" w:rsidRPr="00183564">
        <w:t>.</w:t>
      </w:r>
      <w:r w:rsidR="00697C40" w:rsidRPr="00183564">
        <w:t xml:space="preserve"> </w:t>
      </w:r>
      <w:r w:rsidR="00954461" w:rsidRPr="00183564">
        <w:t xml:space="preserve">Option </w:t>
      </w:r>
      <w:r w:rsidR="000915CC" w:rsidRPr="00183564">
        <w:t>3</w:t>
      </w:r>
      <w:r w:rsidR="00954461" w:rsidRPr="00183564">
        <w:t xml:space="preserve"> does not create a new regulatory scheme but amends the existing scheme in the Biosecurity Act. Therefore</w:t>
      </w:r>
      <w:r w:rsidR="000915CC" w:rsidRPr="00183564">
        <w:t>,</w:t>
      </w:r>
      <w:r w:rsidR="00954461" w:rsidRPr="00183564">
        <w:t xml:space="preserve"> legislative amendments are required to ensure the </w:t>
      </w:r>
      <w:r w:rsidR="009822EB" w:rsidRPr="00183564">
        <w:t xml:space="preserve">scheme is fit-for-purpose based on the </w:t>
      </w:r>
      <w:r w:rsidR="008059D3" w:rsidRPr="00183564">
        <w:t>learnings</w:t>
      </w:r>
      <w:r w:rsidR="009822EB" w:rsidRPr="00183564">
        <w:t xml:space="preserve"> from the COVID-19 pandemic.</w:t>
      </w:r>
      <w:r w:rsidR="00034EF9" w:rsidRPr="00183564">
        <w:t xml:space="preserve"> </w:t>
      </w:r>
      <w:r w:rsidR="00873C5D" w:rsidRPr="00183564">
        <w:t>The improvements will ensure that the objectives of the Biosecurity Act are met without resulting in an unnecessary regulatory burden.</w:t>
      </w:r>
    </w:p>
    <w:p w14:paraId="4DE009AE" w14:textId="7B43BF7C" w:rsidR="003D1BB2" w:rsidRDefault="003D1BB2" w:rsidP="0095030D">
      <w:r>
        <w:t>Option 3 best</w:t>
      </w:r>
      <w:r w:rsidRPr="00183564">
        <w:t xml:space="preserve"> address</w:t>
      </w:r>
      <w:r>
        <w:t>es</w:t>
      </w:r>
      <w:r w:rsidRPr="00183564">
        <w:t xml:space="preserve"> the risk of </w:t>
      </w:r>
      <w:r>
        <w:t>l</w:t>
      </w:r>
      <w:r w:rsidRPr="00183564">
        <w:t xml:space="preserve">isted </w:t>
      </w:r>
      <w:r>
        <w:t>h</w:t>
      </w:r>
      <w:r w:rsidRPr="00183564">
        <w:t xml:space="preserve">uman </w:t>
      </w:r>
      <w:r>
        <w:t>d</w:t>
      </w:r>
      <w:r w:rsidRPr="00183564">
        <w:t xml:space="preserve">iseases </w:t>
      </w:r>
      <w:proofErr w:type="gramStart"/>
      <w:r w:rsidRPr="00183564">
        <w:t>entering into</w:t>
      </w:r>
      <w:proofErr w:type="gramEnd"/>
      <w:r w:rsidRPr="00183564">
        <w:t xml:space="preserve"> Australian </w:t>
      </w:r>
      <w:r w:rsidR="00C14A13">
        <w:t>t</w:t>
      </w:r>
      <w:r w:rsidRPr="00183564">
        <w:t>erritory through international vessel arrivals and would apply in the context of the current COVID-19 pandemic, while also providing flexibility to manage infectious disease risks that Australia may face in the future.</w:t>
      </w:r>
    </w:p>
    <w:p w14:paraId="4FFC1FAD" w14:textId="7115E690" w:rsidR="00A6557E" w:rsidRDefault="000E6D3F" w:rsidP="0095030D">
      <w:r>
        <w:t>A key</w:t>
      </w:r>
      <w:r w:rsidR="00A6557E" w:rsidRPr="00A6557E">
        <w:t xml:space="preserve"> benefit expected to materialise </w:t>
      </w:r>
      <w:proofErr w:type="gramStart"/>
      <w:r w:rsidR="00A6557E" w:rsidRPr="00A6557E">
        <w:t>as a result of</w:t>
      </w:r>
      <w:proofErr w:type="gramEnd"/>
      <w:r w:rsidR="00A6557E" w:rsidRPr="00A6557E">
        <w:t xml:space="preserve"> the proposed amendments is the support it lends toward the recovery of the cruise industry, to pre-pandemic levels. This includes refilling the 18,135 jobs that existed at the end of the 2018-19 financial year and building back up to the $5.2 billion in annual economic output that was generated directly and indirectly by the industry.</w:t>
      </w:r>
    </w:p>
    <w:p w14:paraId="7FCF8C21" w14:textId="7459ACE9" w:rsidR="002F317C" w:rsidRDefault="00087376" w:rsidP="002F317C">
      <w:pPr>
        <w:pStyle w:val="BodyText"/>
      </w:pPr>
      <w:r>
        <w:t xml:space="preserve">Option 3 </w:t>
      </w:r>
      <w:r w:rsidR="006B034B">
        <w:t>provides for enhanced pre-arrival reporting requirements to</w:t>
      </w:r>
      <w:r>
        <w:t xml:space="preserve"> </w:t>
      </w:r>
      <w:r w:rsidR="00B708C3" w:rsidRPr="00B708C3">
        <w:t xml:space="preserve">ensure more timely and accurate human health information is available, to better enable Human Biosecurity Officers to identify, assess and manage human biosecurity risk, with the potential to </w:t>
      </w:r>
      <w:r w:rsidR="00B87445">
        <w:t xml:space="preserve">implement </w:t>
      </w:r>
      <w:r w:rsidR="00B708C3" w:rsidRPr="00B708C3">
        <w:t>measures to prevent the spread of disease</w:t>
      </w:r>
      <w:r w:rsidR="00B87445">
        <w:t>.</w:t>
      </w:r>
    </w:p>
    <w:p w14:paraId="30765C6B" w14:textId="6EAD6CF0" w:rsidR="002F317C" w:rsidRPr="00183564" w:rsidRDefault="002F317C" w:rsidP="002F317C">
      <w:pPr>
        <w:pStyle w:val="BodyText"/>
      </w:pPr>
      <w:r w:rsidRPr="00183564">
        <w:t xml:space="preserve">The proposed HBGD power will allow for the assessment and management of human health risks for a group of people such as on a large cruise vessel, or the crew of a commercial vessel. </w:t>
      </w:r>
    </w:p>
    <w:p w14:paraId="45AE87C4" w14:textId="4420D2DE" w:rsidR="00D861FF" w:rsidRPr="00183564" w:rsidRDefault="00D861FF" w:rsidP="002F317C">
      <w:pPr>
        <w:pStyle w:val="BodyText"/>
      </w:pPr>
      <w:bookmarkStart w:id="46" w:name="_Hlk78898147"/>
      <w:r>
        <w:t>Option 3 further aims to deter n</w:t>
      </w:r>
      <w:r w:rsidRPr="007C3D38">
        <w:t xml:space="preserve">on-compliance with pratique </w:t>
      </w:r>
      <w:r>
        <w:t>by extending the requirement to comply with negative pratique obligations to the person in charge of a vessel or aircraft (instead of only the operator). This would more appropriately reflect responsibility for the vessel or aircraft and more effectively target obligations for compliance. To further deter non-compliance with requirements, the existing civil penalty that applies to a</w:t>
      </w:r>
      <w:r w:rsidR="00DA319D">
        <w:t>n</w:t>
      </w:r>
      <w:r>
        <w:t xml:space="preserve"> operator would be increased, and a new civil penalty would </w:t>
      </w:r>
      <w:r w:rsidR="00DA319D">
        <w:t xml:space="preserve">apply to </w:t>
      </w:r>
      <w:r>
        <w:t>the person in charge of the vessel or aircraft.</w:t>
      </w:r>
    </w:p>
    <w:p w14:paraId="1BD61C67" w14:textId="0A93B050" w:rsidR="00697C40" w:rsidRPr="00183564" w:rsidRDefault="00697C40" w:rsidP="00697C40">
      <w:r w:rsidRPr="00183564">
        <w:t xml:space="preserve">Option </w:t>
      </w:r>
      <w:r w:rsidR="00FB7E93" w:rsidRPr="00183564">
        <w:t>3</w:t>
      </w:r>
      <w:r w:rsidR="00AA5FCD" w:rsidRPr="00183564">
        <w:t xml:space="preserve"> </w:t>
      </w:r>
      <w:r w:rsidRPr="00183564">
        <w:t>addresses the desired policy objectives</w:t>
      </w:r>
      <w:r w:rsidR="004F6EBD" w:rsidRPr="00183564">
        <w:t xml:space="preserve">, </w:t>
      </w:r>
      <w:r w:rsidR="00F55B63">
        <w:t>with the benefits</w:t>
      </w:r>
      <w:r w:rsidR="00F55B63" w:rsidRPr="00C11004">
        <w:t xml:space="preserve"> </w:t>
      </w:r>
      <w:r w:rsidR="004F6EBD" w:rsidRPr="00183564">
        <w:t>outweigh</w:t>
      </w:r>
      <w:r w:rsidR="00F55B63">
        <w:t>ing</w:t>
      </w:r>
      <w:r w:rsidR="004F6EBD" w:rsidRPr="00183564">
        <w:t xml:space="preserve"> </w:t>
      </w:r>
      <w:r w:rsidRPr="00183564">
        <w:t xml:space="preserve">quantifiable </w:t>
      </w:r>
      <w:r w:rsidR="000745F7" w:rsidRPr="00183564">
        <w:t xml:space="preserve">increases </w:t>
      </w:r>
      <w:r w:rsidRPr="00183564">
        <w:t xml:space="preserve">in the regulatory burden for businesses. This </w:t>
      </w:r>
      <w:r w:rsidR="00573A90">
        <w:t>regulatory burden</w:t>
      </w:r>
      <w:r w:rsidR="00896F8F">
        <w:t xml:space="preserve"> </w:t>
      </w:r>
      <w:r w:rsidRPr="00183564">
        <w:t>is estimated at $</w:t>
      </w:r>
      <w:r w:rsidRPr="00651B67">
        <w:t>0.</w:t>
      </w:r>
      <w:r w:rsidR="00D83031">
        <w:t>275</w:t>
      </w:r>
      <w:r w:rsidR="00D83031" w:rsidRPr="00183564">
        <w:t xml:space="preserve"> </w:t>
      </w:r>
      <w:r w:rsidRPr="00183564">
        <w:t>million per year or $</w:t>
      </w:r>
      <w:r w:rsidR="00D83031">
        <w:t>2.750</w:t>
      </w:r>
      <w:r w:rsidRPr="00183564">
        <w:t xml:space="preserve"> million in total over ten years</w:t>
      </w:r>
      <w:r w:rsidR="00CC07B5" w:rsidRPr="00183564">
        <w:t xml:space="preserve"> (</w:t>
      </w:r>
      <w:r w:rsidR="00307C37" w:rsidRPr="00183564">
        <w:t xml:space="preserve">expressed </w:t>
      </w:r>
      <w:r w:rsidR="00CC07B5" w:rsidRPr="00183564">
        <w:t>in present value terms)</w:t>
      </w:r>
      <w:r w:rsidR="00793DA0" w:rsidRPr="00183564">
        <w:t>,</w:t>
      </w:r>
      <w:r w:rsidRPr="00183564">
        <w:t xml:space="preserve"> over maintaining the current regulatory framework (</w:t>
      </w:r>
      <w:r w:rsidR="00926603" w:rsidRPr="00183564">
        <w:t xml:space="preserve">Option </w:t>
      </w:r>
      <w:r w:rsidR="00926603">
        <w:t>1</w:t>
      </w:r>
      <w:r w:rsidRPr="00183564">
        <w:t>).</w:t>
      </w:r>
      <w:r w:rsidR="00A43798" w:rsidRPr="00183564">
        <w:t xml:space="preserve"> The</w:t>
      </w:r>
      <w:r w:rsidR="00BD6C60">
        <w:t xml:space="preserve"> regulatory costs that are </w:t>
      </w:r>
      <w:r w:rsidR="00A43798" w:rsidRPr="00183564">
        <w:t xml:space="preserve">likely </w:t>
      </w:r>
      <w:r w:rsidR="00BD6C60">
        <w:t>to</w:t>
      </w:r>
      <w:r w:rsidR="00A43798" w:rsidRPr="00183564">
        <w:t xml:space="preserve"> arise </w:t>
      </w:r>
      <w:r w:rsidR="00BD6C60">
        <w:t xml:space="preserve">from </w:t>
      </w:r>
      <w:r w:rsidR="00926603">
        <w:t>Option</w:t>
      </w:r>
      <w:r w:rsidR="00BD6C60">
        <w:t xml:space="preserve"> 3 are </w:t>
      </w:r>
      <w:r w:rsidR="00DB0E05">
        <w:t xml:space="preserve">partly </w:t>
      </w:r>
      <w:r w:rsidR="00827D6B">
        <w:t xml:space="preserve">due to additional </w:t>
      </w:r>
      <w:r w:rsidR="00A43798" w:rsidRPr="00183564">
        <w:t>reporting requirements</w:t>
      </w:r>
      <w:r w:rsidR="0075170F">
        <w:t xml:space="preserve">, </w:t>
      </w:r>
      <w:r w:rsidR="000C20C2">
        <w:t>and partly due to</w:t>
      </w:r>
      <w:r w:rsidR="0075170F">
        <w:t xml:space="preserve"> </w:t>
      </w:r>
      <w:r w:rsidR="00827D6B">
        <w:t>the</w:t>
      </w:r>
      <w:r w:rsidR="007E716D">
        <w:t xml:space="preserve"> burden imposed on individuals by </w:t>
      </w:r>
      <w:r w:rsidR="000C20C2">
        <w:t>the</w:t>
      </w:r>
      <w:r w:rsidR="007E716D">
        <w:t xml:space="preserve"> Human Biosecurity Group Directi</w:t>
      </w:r>
      <w:r w:rsidR="00F70612">
        <w:t>on</w:t>
      </w:r>
      <w:r w:rsidR="00BD6C60">
        <w:t>.</w:t>
      </w:r>
    </w:p>
    <w:bookmarkEnd w:id="46"/>
    <w:p w14:paraId="2360FC99" w14:textId="77777777" w:rsidR="003C16F1" w:rsidRPr="00183564" w:rsidRDefault="003C16F1" w:rsidP="003C16F1">
      <w:r w:rsidRPr="00183564">
        <w:lastRenderedPageBreak/>
        <w:t xml:space="preserve">Relevant industries, including conveyance operators, associated industries and insurers, the ports and airports, and government agencies, both Commonwealth and State and Territory, will need to amend processes and agreements, direct resources to implement the amendments, provide training and education, and enforce the new regulatory requirements. </w:t>
      </w:r>
    </w:p>
    <w:p w14:paraId="29609A5A" w14:textId="7F4A5A14" w:rsidR="00765191" w:rsidRPr="00183564" w:rsidRDefault="00C963EA" w:rsidP="00E6567D">
      <w:bookmarkStart w:id="47" w:name="_Hlk78892512"/>
      <w:r w:rsidRPr="00183564">
        <w:t>This targeted reform represents a critical step towards the national COVID-19 economic recovery, including towards the resumption of the cruise ship industry</w:t>
      </w:r>
      <w:r w:rsidR="0097250F">
        <w:t xml:space="preserve"> in Australia</w:t>
      </w:r>
      <w:r w:rsidRPr="00183564">
        <w:t>, and shoring up the human health biosecurity framework into the future.</w:t>
      </w:r>
      <w:bookmarkEnd w:id="47"/>
    </w:p>
    <w:p w14:paraId="66CB3587" w14:textId="77777777" w:rsidR="007D771D" w:rsidRPr="00183564" w:rsidRDefault="007D771D" w:rsidP="007D771D">
      <w:pPr>
        <w:pStyle w:val="BodyText"/>
        <w:rPr>
          <w:rFonts w:asciiTheme="majorHAnsi" w:hAnsiTheme="majorHAnsi"/>
          <w:b/>
          <w:color w:val="014463" w:themeColor="text2"/>
          <w:sz w:val="60"/>
          <w:szCs w:val="60"/>
        </w:rPr>
      </w:pPr>
    </w:p>
    <w:p w14:paraId="58750CA0" w14:textId="7948A9D0" w:rsidR="00E6567D" w:rsidRPr="00183564" w:rsidRDefault="00E6567D" w:rsidP="00D55A67">
      <w:pPr>
        <w:pStyle w:val="Heading2"/>
      </w:pPr>
      <w:bookmarkStart w:id="48" w:name="_Toc80965318"/>
      <w:r w:rsidRPr="00183564">
        <w:t xml:space="preserve">7. </w:t>
      </w:r>
      <w:r w:rsidR="00E01B77" w:rsidRPr="00183564">
        <w:t>How will you implement and evaluate your chosen option?</w:t>
      </w:r>
      <w:bookmarkEnd w:id="48"/>
      <w:r w:rsidR="00E01B77" w:rsidRPr="00183564">
        <w:t xml:space="preserve"> </w:t>
      </w:r>
    </w:p>
    <w:p w14:paraId="4A81D19B" w14:textId="5BFFBC3B" w:rsidR="00C377F8" w:rsidRPr="00183564" w:rsidRDefault="00F34250" w:rsidP="00E6567D">
      <w:r w:rsidRPr="00183564">
        <w:t>Changes to the Bi</w:t>
      </w:r>
      <w:r w:rsidR="00BA7E55" w:rsidRPr="00183564">
        <w:t xml:space="preserve">osecurity Act will be implemented through a Bill </w:t>
      </w:r>
      <w:r w:rsidR="00BB1EFA" w:rsidRPr="00183564">
        <w:t xml:space="preserve">amending that Act. </w:t>
      </w:r>
      <w:r w:rsidR="00E05F50" w:rsidRPr="00183564">
        <w:t>The Department proposes that t</w:t>
      </w:r>
      <w:r w:rsidR="002220D9" w:rsidRPr="00183564">
        <w:t xml:space="preserve">he amendments would enter into force </w:t>
      </w:r>
      <w:r w:rsidR="008F2CB0" w:rsidRPr="00183564">
        <w:t xml:space="preserve">on </w:t>
      </w:r>
      <w:r w:rsidR="009140BD" w:rsidRPr="00183564">
        <w:t xml:space="preserve">a date </w:t>
      </w:r>
      <w:r w:rsidR="00437619" w:rsidRPr="00183564">
        <w:t xml:space="preserve">to be </w:t>
      </w:r>
      <w:r w:rsidR="009140BD" w:rsidRPr="00183564">
        <w:t>fixed by proclamation</w:t>
      </w:r>
      <w:r w:rsidR="00DA319D">
        <w:t xml:space="preserve">, or </w:t>
      </w:r>
      <w:r w:rsidR="00DA319D" w:rsidRPr="00DA319D">
        <w:t>on the day after the period of 6 months beginning on the day the proposed Act receives the Royal Assent, if not proclaimed earlier</w:t>
      </w:r>
      <w:r w:rsidR="009140BD" w:rsidRPr="00183564">
        <w:t xml:space="preserve">. </w:t>
      </w:r>
      <w:r w:rsidR="0018137F" w:rsidRPr="00183564">
        <w:t xml:space="preserve">This will provide </w:t>
      </w:r>
      <w:r w:rsidR="00A7774B" w:rsidRPr="00183564">
        <w:t xml:space="preserve">an opportunity for further consultation </w:t>
      </w:r>
      <w:r w:rsidR="00FE4AF1" w:rsidRPr="00183564">
        <w:t>with stakeholders on implementation of the proposals and development of legislative instruments</w:t>
      </w:r>
      <w:r w:rsidR="00CF3BEC">
        <w:t>, including amendments to</w:t>
      </w:r>
      <w:r w:rsidR="00DA319D">
        <w:t xml:space="preserve"> regulations</w:t>
      </w:r>
      <w:r w:rsidR="008611A6">
        <w:t xml:space="preserve">, </w:t>
      </w:r>
      <w:r w:rsidR="00FE4AF1" w:rsidRPr="00183564">
        <w:t>to support that implementation.</w:t>
      </w:r>
    </w:p>
    <w:p w14:paraId="359DE044" w14:textId="6D0F21ED" w:rsidR="008B466E" w:rsidRPr="00183564" w:rsidRDefault="008B466E" w:rsidP="00E6567D">
      <w:r w:rsidRPr="00183564">
        <w:t xml:space="preserve">The </w:t>
      </w:r>
      <w:r w:rsidR="00C93F34" w:rsidRPr="00183564">
        <w:t>d</w:t>
      </w:r>
      <w:r w:rsidRPr="00183564">
        <w:t>epartment</w:t>
      </w:r>
      <w:r w:rsidR="00997C99" w:rsidRPr="00183564">
        <w:t xml:space="preserve"> is</w:t>
      </w:r>
      <w:r w:rsidRPr="00183564">
        <w:t xml:space="preserve"> currently developing a detailed implementation plan </w:t>
      </w:r>
      <w:r w:rsidR="002C1A64" w:rsidRPr="00183564">
        <w:t xml:space="preserve">in </w:t>
      </w:r>
      <w:r w:rsidR="00997C99" w:rsidRPr="00183564">
        <w:t>consultation</w:t>
      </w:r>
      <w:r w:rsidR="002C1A64" w:rsidRPr="00183564">
        <w:t xml:space="preserve"> with the </w:t>
      </w:r>
      <w:r w:rsidR="00997C99" w:rsidRPr="00183564">
        <w:t>Department</w:t>
      </w:r>
      <w:r w:rsidR="002C1A64" w:rsidRPr="00183564">
        <w:t xml:space="preserve"> of Health. The </w:t>
      </w:r>
      <w:r w:rsidR="00997C99" w:rsidRPr="00183564">
        <w:t>implementation</w:t>
      </w:r>
      <w:r w:rsidR="002C1A64" w:rsidRPr="00183564">
        <w:t xml:space="preserve"> plan</w:t>
      </w:r>
      <w:r w:rsidR="004D2818" w:rsidRPr="00183564">
        <w:t xml:space="preserve"> </w:t>
      </w:r>
      <w:r w:rsidR="005C3FC6">
        <w:t xml:space="preserve">will </w:t>
      </w:r>
      <w:r w:rsidR="004D2818">
        <w:t>identif</w:t>
      </w:r>
      <w:r w:rsidR="005C3FC6">
        <w:t>y</w:t>
      </w:r>
      <w:r w:rsidR="004D2818" w:rsidRPr="00183564">
        <w:t xml:space="preserve"> key stakeholders </w:t>
      </w:r>
      <w:r w:rsidR="00EF2C97" w:rsidRPr="00183564">
        <w:t xml:space="preserve">and the engagement that will occur with those stakeholders. </w:t>
      </w:r>
      <w:r w:rsidR="004A39C9" w:rsidRPr="00183564">
        <w:t xml:space="preserve">The implementation plan will also address </w:t>
      </w:r>
      <w:r w:rsidR="001A4225" w:rsidRPr="00183564">
        <w:t xml:space="preserve">development and delivery of training for </w:t>
      </w:r>
      <w:r w:rsidR="00A461C5" w:rsidRPr="00183564">
        <w:t xml:space="preserve">relevant officers, </w:t>
      </w:r>
      <w:r w:rsidR="00B10A9C" w:rsidRPr="00183564">
        <w:t xml:space="preserve">updating of instructional material </w:t>
      </w:r>
      <w:r w:rsidR="002451BF">
        <w:t>for officers, and ongoing meetings with industry participants.</w:t>
      </w:r>
    </w:p>
    <w:p w14:paraId="3888AB1D" w14:textId="013B9376" w:rsidR="00C377F8" w:rsidRPr="00183564" w:rsidRDefault="005E72E7" w:rsidP="00E6567D">
      <w:r w:rsidRPr="00183564">
        <w:t xml:space="preserve">It is anticipated that the </w:t>
      </w:r>
      <w:r w:rsidR="00B35F9E" w:rsidRPr="00183564">
        <w:t xml:space="preserve">amendments to the Biosecurity Act will be made prior to resumption of cruises, so that transitional arrangements will not be required. </w:t>
      </w:r>
    </w:p>
    <w:p w14:paraId="5801781D" w14:textId="1C336C46" w:rsidR="00C377F8" w:rsidRPr="00183564" w:rsidRDefault="00C377F8" w:rsidP="00C377F8">
      <w:pPr>
        <w:pStyle w:val="BodyText"/>
      </w:pPr>
      <w:r w:rsidRPr="00183564">
        <w:t xml:space="preserve">The effectiveness of the preferred option, once implemented, will be </w:t>
      </w:r>
      <w:proofErr w:type="gramStart"/>
      <w:r w:rsidRPr="00183564">
        <w:t>monitored</w:t>
      </w:r>
      <w:proofErr w:type="gramEnd"/>
      <w:r w:rsidRPr="00183564">
        <w:t xml:space="preserve"> and reviewed over time by </w:t>
      </w:r>
      <w:r w:rsidR="00DA319D">
        <w:t>the d</w:t>
      </w:r>
      <w:r w:rsidRPr="00183564">
        <w:t>epartment</w:t>
      </w:r>
      <w:r w:rsidR="00DA319D">
        <w:t>al</w:t>
      </w:r>
      <w:r w:rsidRPr="00183564">
        <w:t xml:space="preserve"> officials and officials from the Department of Health. Careful consideration will be given to feedback from stakeholders impacted by the new requirements. It will be open to any interested parties to provide feedback to government on these implemented reforms if they are found not to be working as intended. </w:t>
      </w:r>
      <w:r w:rsidR="008819DA" w:rsidRPr="00183564">
        <w:t>The department</w:t>
      </w:r>
      <w:r w:rsidRPr="00183564">
        <w:t xml:space="preserve"> will consider necessary changes to internal processes or the regulatory requirements if necessary. </w:t>
      </w:r>
    </w:p>
    <w:p w14:paraId="4B69D8FC" w14:textId="1D6BDD78" w:rsidR="00C377F8" w:rsidRPr="00183564" w:rsidRDefault="00C377F8" w:rsidP="00C377F8">
      <w:pPr>
        <w:pStyle w:val="BodyText"/>
      </w:pPr>
      <w:r w:rsidRPr="00183564">
        <w:t xml:space="preserve">The regulatory changes </w:t>
      </w:r>
      <w:r w:rsidR="0084595C">
        <w:t>will</w:t>
      </w:r>
      <w:r w:rsidR="0084595C" w:rsidRPr="00183564">
        <w:t xml:space="preserve"> </w:t>
      </w:r>
      <w:r w:rsidRPr="00183564">
        <w:t>be</w:t>
      </w:r>
      <w:r w:rsidR="0084595C">
        <w:t xml:space="preserve"> </w:t>
      </w:r>
      <w:r w:rsidRPr="00183564">
        <w:t>review</w:t>
      </w:r>
      <w:r w:rsidR="000C0CE3">
        <w:t>ed</w:t>
      </w:r>
      <w:r w:rsidRPr="00183564">
        <w:t xml:space="preserve"> to assess the level of compliance with the new requirements and whether the objective of their implementation is being achieved. </w:t>
      </w:r>
    </w:p>
    <w:p w14:paraId="59A1C095" w14:textId="77777777" w:rsidR="00C377F8" w:rsidRPr="00183564" w:rsidRDefault="00C377F8" w:rsidP="00E6567D"/>
    <w:p w14:paraId="49DAB9FC" w14:textId="77777777" w:rsidR="007C5FA7" w:rsidRPr="00183564" w:rsidRDefault="007C5FA7" w:rsidP="00E6567D">
      <w:pPr>
        <w:rPr>
          <w:rFonts w:asciiTheme="majorHAnsi" w:hAnsiTheme="majorHAnsi"/>
          <w:b/>
          <w:color w:val="014463" w:themeColor="text2"/>
          <w:sz w:val="60"/>
          <w:szCs w:val="60"/>
        </w:rPr>
      </w:pPr>
      <w:r w:rsidRPr="00183564">
        <w:br w:type="page"/>
      </w:r>
    </w:p>
    <w:p w14:paraId="2F7C428F" w14:textId="77777777" w:rsidR="00E01B77" w:rsidRPr="00183564" w:rsidRDefault="00E01B77" w:rsidP="00D55A67">
      <w:pPr>
        <w:pStyle w:val="Heading2"/>
      </w:pPr>
      <w:bookmarkStart w:id="49" w:name="_Toc80965319"/>
      <w:r w:rsidRPr="00183564">
        <w:lastRenderedPageBreak/>
        <w:t>Reference</w:t>
      </w:r>
      <w:bookmarkEnd w:id="49"/>
    </w:p>
    <w:p w14:paraId="789273BF" w14:textId="4850D2FE" w:rsidR="00FB199A" w:rsidRPr="00183564" w:rsidRDefault="00F00023" w:rsidP="00FB199A">
      <w:r w:rsidRPr="00183564">
        <w:t>ABS</w:t>
      </w:r>
      <w:r w:rsidR="00A85B55" w:rsidRPr="00183564">
        <w:t xml:space="preserve"> </w:t>
      </w:r>
      <w:r w:rsidR="008366E2" w:rsidRPr="00183564">
        <w:t xml:space="preserve">2018, </w:t>
      </w:r>
      <w:hyperlink r:id="rId28" w:history="1">
        <w:r w:rsidR="00DB1482" w:rsidRPr="00183564">
          <w:rPr>
            <w:rStyle w:val="Hyperlink"/>
          </w:rPr>
          <w:t>Employee Earnings and Work Hours, Australia 2018</w:t>
        </w:r>
      </w:hyperlink>
      <w:r w:rsidRPr="00183564">
        <w:t>, Australian Bureau of Statistics, Canberra</w:t>
      </w:r>
    </w:p>
    <w:p w14:paraId="6017AD46" w14:textId="5FBB2460" w:rsidR="00EF1B9D" w:rsidRDefault="002D2988" w:rsidP="00EF1B9D">
      <w:r w:rsidRPr="00183564">
        <w:t>CLIA-Qualtrics Survey</w:t>
      </w:r>
      <w:r w:rsidR="006F396A" w:rsidRPr="00183564">
        <w:t xml:space="preserve"> 2021,</w:t>
      </w:r>
      <w:r w:rsidRPr="00183564">
        <w:t xml:space="preserve"> </w:t>
      </w:r>
      <w:hyperlink r:id="rId29" w:history="1">
        <w:r w:rsidR="001A2CB2" w:rsidRPr="00183564">
          <w:rPr>
            <w:rStyle w:val="Hyperlink"/>
          </w:rPr>
          <w:t>Survey Dec2020 - 4,000 International vacationers each, eight countries, U.S, Canada, Australia, UK, Germany, France, Italy and Spain</w:t>
        </w:r>
      </w:hyperlink>
      <w:r w:rsidR="006F396A" w:rsidRPr="00183564">
        <w:t xml:space="preserve">, </w:t>
      </w:r>
      <w:r w:rsidRPr="00183564">
        <w:t>CLIA-Qualtrics</w:t>
      </w:r>
      <w:r w:rsidR="00183003" w:rsidRPr="00183564">
        <w:t xml:space="preserve">, </w:t>
      </w:r>
      <w:r w:rsidR="00F5068D" w:rsidRPr="00183564">
        <w:t>Washington DC</w:t>
      </w:r>
      <w:r w:rsidRPr="00183564">
        <w:t xml:space="preserve"> </w:t>
      </w:r>
    </w:p>
    <w:p w14:paraId="6C93AE50" w14:textId="296F695E" w:rsidR="00D228CB" w:rsidRDefault="00D228CB" w:rsidP="00D228CB">
      <w:r>
        <w:t xml:space="preserve">CLIA-AEC EIA 2018/19, </w:t>
      </w:r>
      <w:hyperlink r:id="rId30" w:history="1">
        <w:r w:rsidRPr="002D7818">
          <w:rPr>
            <w:rStyle w:val="Hyperlink"/>
          </w:rPr>
          <w:t>Independent Economic Impa</w:t>
        </w:r>
        <w:bookmarkStart w:id="50" w:name="_Hlt79053979"/>
        <w:r w:rsidRPr="002D7818">
          <w:rPr>
            <w:rStyle w:val="Hyperlink"/>
          </w:rPr>
          <w:t>c</w:t>
        </w:r>
        <w:bookmarkEnd w:id="50"/>
        <w:r w:rsidRPr="002D7818">
          <w:rPr>
            <w:rStyle w:val="Hyperlink"/>
          </w:rPr>
          <w:t>t Assessmen</w:t>
        </w:r>
        <w:r>
          <w:rPr>
            <w:rStyle w:val="Hyperlink"/>
          </w:rPr>
          <w:t>t by AEC Group Pty Ltd</w:t>
        </w:r>
      </w:hyperlink>
      <w:r>
        <w:t>, CLIA 2019</w:t>
      </w:r>
    </w:p>
    <w:p w14:paraId="40B76E8D" w14:textId="322A039B" w:rsidR="00D228CB" w:rsidRDefault="00D228CB" w:rsidP="00D228CB">
      <w:r>
        <w:t xml:space="preserve">CLIA-AEC EIA 2019/20, </w:t>
      </w:r>
      <w:hyperlink r:id="rId31" w:history="1">
        <w:r w:rsidRPr="002D7818">
          <w:rPr>
            <w:rStyle w:val="Hyperlink"/>
          </w:rPr>
          <w:t>Independent Economic Impact Assessmen</w:t>
        </w:r>
        <w:r>
          <w:rPr>
            <w:rStyle w:val="Hyperlink"/>
          </w:rPr>
          <w:t>t by AEC Group Pty Ltd</w:t>
        </w:r>
      </w:hyperlink>
      <w:r>
        <w:t>, CLIA 2020</w:t>
      </w:r>
    </w:p>
    <w:p w14:paraId="0E2C292C" w14:textId="10D91D97" w:rsidR="00203B0E" w:rsidRPr="00183564" w:rsidRDefault="00203B0E" w:rsidP="00EF1B9D">
      <w:r>
        <w:t>CLIA</w:t>
      </w:r>
      <w:r w:rsidR="006667B9">
        <w:t xml:space="preserve"> Industry</w:t>
      </w:r>
      <w:r w:rsidR="00CB5FD9">
        <w:t xml:space="preserve"> </w:t>
      </w:r>
      <w:r w:rsidR="006667B9">
        <w:t>Outlook 2021</w:t>
      </w:r>
      <w:r w:rsidR="008C7163">
        <w:t>,</w:t>
      </w:r>
      <w:r w:rsidR="008108E2">
        <w:t xml:space="preserve"> </w:t>
      </w:r>
      <w:hyperlink r:id="rId32" w:history="1">
        <w:r w:rsidR="00854C4D" w:rsidRPr="00D93D9D">
          <w:rPr>
            <w:rStyle w:val="Hyperlink"/>
          </w:rPr>
          <w:t xml:space="preserve">State of the </w:t>
        </w:r>
        <w:r w:rsidR="00541F56" w:rsidRPr="00D93D9D">
          <w:rPr>
            <w:rStyle w:val="Hyperlink"/>
          </w:rPr>
          <w:t xml:space="preserve">Cruise </w:t>
        </w:r>
        <w:r w:rsidR="00854C4D" w:rsidRPr="00D93D9D">
          <w:rPr>
            <w:rStyle w:val="Hyperlink"/>
          </w:rPr>
          <w:t xml:space="preserve">Industry </w:t>
        </w:r>
        <w:r w:rsidR="00F2031F" w:rsidRPr="00D93D9D">
          <w:rPr>
            <w:rStyle w:val="Hyperlink"/>
          </w:rPr>
          <w:t>Report 2021</w:t>
        </w:r>
      </w:hyperlink>
      <w:r w:rsidR="00FA4CEA">
        <w:t xml:space="preserve">, </w:t>
      </w:r>
      <w:r w:rsidR="00D93D9D">
        <w:t xml:space="preserve">CLIA </w:t>
      </w:r>
      <w:r w:rsidR="003C619F">
        <w:t>22 December 2020</w:t>
      </w:r>
    </w:p>
    <w:p w14:paraId="13C9C106" w14:textId="2B6D72E2" w:rsidR="00376129" w:rsidRPr="00183564" w:rsidDel="00DA0607" w:rsidRDefault="005B45F6" w:rsidP="00EF1B9D">
      <w:r w:rsidDel="00DA0607">
        <w:t>Walker</w:t>
      </w:r>
      <w:r w:rsidR="00BC2BB1" w:rsidDel="00DA0607">
        <w:t xml:space="preserve"> SC</w:t>
      </w:r>
      <w:r w:rsidR="00905FDF" w:rsidDel="00DA0607">
        <w:t xml:space="preserve">, </w:t>
      </w:r>
      <w:r w:rsidR="00BC2BB1" w:rsidDel="00DA0607">
        <w:t>B</w:t>
      </w:r>
      <w:r w:rsidR="00366954" w:rsidDel="00DA0607">
        <w:t xml:space="preserve">ret, </w:t>
      </w:r>
      <w:hyperlink r:id="rId33" w:history="1">
        <w:r w:rsidR="00AE690A" w:rsidRPr="00834D71" w:rsidDel="00DA0607">
          <w:rPr>
            <w:rStyle w:val="Hyperlink"/>
          </w:rPr>
          <w:t>Special Commissi</w:t>
        </w:r>
        <w:bookmarkStart w:id="51" w:name="_Hlt78892273"/>
        <w:bookmarkStart w:id="52" w:name="_Hlt78892274"/>
        <w:r w:rsidR="00AE690A" w:rsidRPr="00834D71" w:rsidDel="00DA0607">
          <w:rPr>
            <w:rStyle w:val="Hyperlink"/>
          </w:rPr>
          <w:t>o</w:t>
        </w:r>
        <w:bookmarkEnd w:id="51"/>
        <w:bookmarkEnd w:id="52"/>
        <w:r w:rsidR="00AE690A" w:rsidRPr="00834D71" w:rsidDel="00DA0607">
          <w:rPr>
            <w:rStyle w:val="Hyperlink"/>
          </w:rPr>
          <w:t>n of Inquiry into the Ruby Princess</w:t>
        </w:r>
      </w:hyperlink>
      <w:r w:rsidR="00AE690A" w:rsidDel="00DA0607">
        <w:t>, 14 August 2020</w:t>
      </w:r>
    </w:p>
    <w:p w14:paraId="0457CE5F" w14:textId="52EEC008" w:rsidR="00DA0607" w:rsidRDefault="00380292" w:rsidP="00FB199A">
      <w:r>
        <w:t>Department of Agriculture</w:t>
      </w:r>
      <w:r w:rsidR="00A000B8">
        <w:t xml:space="preserve">, </w:t>
      </w:r>
      <w:r w:rsidR="00D6516F">
        <w:t>Regulator Performance Framework 2018-19 self-assessment for Agriculture</w:t>
      </w:r>
      <w:r w:rsidR="00383D7B">
        <w:t>, Biosecurity Overview.</w:t>
      </w:r>
    </w:p>
    <w:p w14:paraId="60BAEB9A" w14:textId="7FC9FEB5" w:rsidR="00CB687B" w:rsidRDefault="00CB687B" w:rsidP="00FB199A">
      <w:r>
        <w:t>Department of Agriculture</w:t>
      </w:r>
      <w:r w:rsidR="00A26A60">
        <w:t>, Water and the Environment</w:t>
      </w:r>
      <w:r w:rsidR="00241A24">
        <w:t>, Agency response</w:t>
      </w:r>
      <w:r w:rsidR="004474C1">
        <w:t xml:space="preserve">, Appendix A </w:t>
      </w:r>
      <w:r w:rsidR="00241A24">
        <w:t xml:space="preserve"> to the Inspector-General of Biosecurity’s report, </w:t>
      </w:r>
      <w:hyperlink r:id="rId34" w:history="1">
        <w:r w:rsidR="00241A24" w:rsidRPr="00241A24">
          <w:rPr>
            <w:rStyle w:val="Hyperlink"/>
          </w:rPr>
          <w:t>Confidence testing for at-border delivery of critical human biosecurity functions – Ruby Princess cruise ship incident</w:t>
        </w:r>
      </w:hyperlink>
      <w:r w:rsidR="00241A24">
        <w:t>, 23 April 2021</w:t>
      </w:r>
    </w:p>
    <w:p w14:paraId="3BE64428" w14:textId="1580AC1F" w:rsidR="00DB1482" w:rsidRPr="00183564" w:rsidRDefault="00BF5181" w:rsidP="00FB199A">
      <w:r>
        <w:t xml:space="preserve">Inspector-General of Biosecurity, </w:t>
      </w:r>
      <w:bookmarkStart w:id="53" w:name="_Hlk80887401"/>
      <w:r w:rsidR="00DB7228">
        <w:fldChar w:fldCharType="begin"/>
      </w:r>
      <w:r w:rsidR="00DB7228">
        <w:instrText xml:space="preserve"> HYPERLINK "https://www.igb.gov.au/sites/default/files/documents/igb-confidence-testing-report_0.pdf" </w:instrText>
      </w:r>
      <w:r w:rsidR="00DB7228">
        <w:fldChar w:fldCharType="separate"/>
      </w:r>
      <w:r w:rsidRPr="00423885">
        <w:rPr>
          <w:rStyle w:val="Hyperlink"/>
        </w:rPr>
        <w:t>Confidence testing for at-border delivery of critical human biosecurity functions – Ruby Princess cruise ship incident</w:t>
      </w:r>
      <w:r w:rsidR="00DB7228">
        <w:rPr>
          <w:rStyle w:val="Hyperlink"/>
        </w:rPr>
        <w:fldChar w:fldCharType="end"/>
      </w:r>
      <w:bookmarkEnd w:id="53"/>
      <w:r>
        <w:t xml:space="preserve">, Review Report No 2020-21/02, </w:t>
      </w:r>
      <w:r w:rsidR="00985AD3">
        <w:t>Commonwealth of Australia</w:t>
      </w:r>
      <w:r w:rsidR="00C249EC">
        <w:t>, 29 April 2021</w:t>
      </w:r>
    </w:p>
    <w:p w14:paraId="640375C7" w14:textId="3D39628A" w:rsidR="0005277A" w:rsidRDefault="0005277A" w:rsidP="00DA0607">
      <w:r>
        <w:t>Nguyen</w:t>
      </w:r>
      <w:r w:rsidR="00A954D9">
        <w:t>, M</w:t>
      </w:r>
      <w:r w:rsidR="00D15ACF">
        <w:t>inh-Duc and Kim, Sun</w:t>
      </w:r>
      <w:r w:rsidR="008004F4">
        <w:t xml:space="preserve">g-June, An estimation of the average waiting cost of vessels calling container terminals in Northern Vietnam, </w:t>
      </w:r>
      <w:r w:rsidR="001807D8" w:rsidRPr="001807D8">
        <w:t>Journal of the Korean Society of Marine Environment &amp; Safety</w:t>
      </w:r>
      <w:r w:rsidR="001807D8">
        <w:t xml:space="preserve">, </w:t>
      </w:r>
      <w:r w:rsidR="00C446A3" w:rsidRPr="00C446A3">
        <w:t>Vol. 25, No. 1, pp. 027-033, February 28, 2019</w:t>
      </w:r>
      <w:r w:rsidR="00C446A3">
        <w:t>.</w:t>
      </w:r>
    </w:p>
    <w:p w14:paraId="4EB51F5A" w14:textId="230A7A53" w:rsidR="00DA0607" w:rsidRDefault="004C4269" w:rsidP="00DA0607">
      <w:r>
        <w:t xml:space="preserve">The Parliament of the </w:t>
      </w:r>
      <w:r w:rsidR="002F2D4D">
        <w:t>C</w:t>
      </w:r>
      <w:r>
        <w:t>ommonwealth of Australia</w:t>
      </w:r>
      <w:r w:rsidR="002F2D4D">
        <w:t>, Biosecurity Bill 2014 Explanatory Memorandum</w:t>
      </w:r>
      <w:r w:rsidR="00DA0607" w:rsidRPr="00DA0607">
        <w:t xml:space="preserve"> </w:t>
      </w:r>
    </w:p>
    <w:p w14:paraId="20DD1521" w14:textId="4EAC9AA2" w:rsidR="00DA0607" w:rsidRPr="00183564" w:rsidRDefault="00DA0607" w:rsidP="00DA0607">
      <w:r>
        <w:t xml:space="preserve">Walker SC, Bret, </w:t>
      </w:r>
      <w:hyperlink r:id="rId35" w:history="1">
        <w:r w:rsidRPr="00834D71">
          <w:rPr>
            <w:rStyle w:val="Hyperlink"/>
          </w:rPr>
          <w:t>Special Commission of Inquiry into the Ruby Princess</w:t>
        </w:r>
      </w:hyperlink>
      <w:r>
        <w:t>, 14 August 2020</w:t>
      </w:r>
    </w:p>
    <w:p w14:paraId="7DD9AED7" w14:textId="5C806256" w:rsidR="004C4269" w:rsidRPr="00183564" w:rsidRDefault="004C4269" w:rsidP="00FB199A"/>
    <w:p w14:paraId="4FE5DA64" w14:textId="77777777" w:rsidR="00E01B77" w:rsidRPr="00183564" w:rsidRDefault="00E01B77">
      <w:pPr>
        <w:rPr>
          <w:rFonts w:asciiTheme="majorHAnsi" w:hAnsiTheme="majorHAnsi"/>
          <w:b/>
          <w:color w:val="014463" w:themeColor="text2"/>
          <w:sz w:val="60"/>
          <w:szCs w:val="60"/>
        </w:rPr>
      </w:pPr>
      <w:r w:rsidRPr="00183564">
        <w:br w:type="page"/>
      </w:r>
    </w:p>
    <w:p w14:paraId="2AD0FA9D" w14:textId="581883BC" w:rsidR="00E01B77" w:rsidRPr="00183564" w:rsidRDefault="00E01B77" w:rsidP="002265FA">
      <w:pPr>
        <w:pStyle w:val="Heading2"/>
      </w:pPr>
      <w:bookmarkStart w:id="54" w:name="_Toc80965320"/>
      <w:r w:rsidRPr="00183564">
        <w:lastRenderedPageBreak/>
        <w:t xml:space="preserve">Appendix </w:t>
      </w:r>
      <w:r w:rsidR="002D2DB2" w:rsidRPr="00183564">
        <w:t>A</w:t>
      </w:r>
      <w:r w:rsidR="00D3427C" w:rsidRPr="00183564">
        <w:tab/>
      </w:r>
      <w:r w:rsidR="00F61BE6" w:rsidRPr="00183564">
        <w:t xml:space="preserve">Relevant recommendations from </w:t>
      </w:r>
      <w:r w:rsidR="00173AB6" w:rsidRPr="00183564">
        <w:t>the NSW Special Commission of Inquiry</w:t>
      </w:r>
      <w:bookmarkEnd w:id="54"/>
      <w:r w:rsidR="00173AB6" w:rsidRPr="00183564">
        <w:t xml:space="preserve"> </w:t>
      </w:r>
    </w:p>
    <w:p w14:paraId="23A9A6EB" w14:textId="2575AD9A" w:rsidR="000D3A03" w:rsidRPr="00183564" w:rsidRDefault="006A528C" w:rsidP="006A528C">
      <w:pPr>
        <w:rPr>
          <w:i/>
          <w:iCs/>
        </w:rPr>
      </w:pPr>
      <w:r w:rsidRPr="00183564">
        <w:t xml:space="preserve">The New South Wales Report of the Special Commission of Inquiry into the Ruby Princess included two recommendations to amend the </w:t>
      </w:r>
      <w:r w:rsidRPr="00183564">
        <w:rPr>
          <w:i/>
          <w:iCs/>
        </w:rPr>
        <w:t>Biosecurity Act 2015.</w:t>
      </w:r>
    </w:p>
    <w:p w14:paraId="6ABB700A" w14:textId="2DD02500" w:rsidR="003369CD" w:rsidRPr="00183564" w:rsidRDefault="003369CD" w:rsidP="00170334">
      <w:pPr>
        <w:ind w:left="720"/>
      </w:pPr>
      <w:r w:rsidRPr="00183564">
        <w:t xml:space="preserve">2.22 That any future review of the Biosecurity Act </w:t>
      </w:r>
      <w:proofErr w:type="gramStart"/>
      <w:r w:rsidRPr="00183564">
        <w:t>consider</w:t>
      </w:r>
      <w:proofErr w:type="gramEnd"/>
      <w:r w:rsidRPr="00183564">
        <w:t xml:space="preserve"> the utility and possible expansion of human biosecurity control orders so as to be applicable to persons or groups.</w:t>
      </w:r>
    </w:p>
    <w:p w14:paraId="393B1A7B" w14:textId="25284A04" w:rsidR="00173AB6" w:rsidRPr="00183564" w:rsidRDefault="003369CD" w:rsidP="00170334">
      <w:pPr>
        <w:ind w:left="720"/>
      </w:pPr>
      <w:r w:rsidRPr="00183564">
        <w:t>2.23 That the Biosecurity Act make explicit a requirement to update superseded human health information.</w:t>
      </w:r>
    </w:p>
    <w:p w14:paraId="0E88BDBB" w14:textId="77777777" w:rsidR="00173AB6" w:rsidRPr="00183564" w:rsidRDefault="00173AB6" w:rsidP="00173AB6"/>
    <w:p w14:paraId="2E2B1188" w14:textId="77777777" w:rsidR="00E01B77" w:rsidRPr="00183564" w:rsidRDefault="00E01B77" w:rsidP="00E01B77">
      <w:pPr>
        <w:rPr>
          <w:rFonts w:asciiTheme="majorHAnsi" w:hAnsiTheme="majorHAnsi"/>
          <w:b/>
          <w:color w:val="014463" w:themeColor="text2"/>
          <w:sz w:val="60"/>
          <w:szCs w:val="60"/>
        </w:rPr>
      </w:pPr>
      <w:r w:rsidRPr="00183564">
        <w:br w:type="page"/>
      </w:r>
    </w:p>
    <w:p w14:paraId="1F08CD68" w14:textId="60A2941A" w:rsidR="00DF2185" w:rsidRPr="00183564" w:rsidRDefault="00DF2185" w:rsidP="00D3427C">
      <w:pPr>
        <w:pStyle w:val="Heading2"/>
      </w:pPr>
      <w:bookmarkStart w:id="55" w:name="_Toc80965321"/>
      <w:r w:rsidRPr="00183564">
        <w:lastRenderedPageBreak/>
        <w:t xml:space="preserve">Appendix </w:t>
      </w:r>
      <w:r w:rsidR="002D2DB2" w:rsidRPr="00183564">
        <w:t>B</w:t>
      </w:r>
      <w:r w:rsidR="00D3427C" w:rsidRPr="00183564">
        <w:tab/>
      </w:r>
      <w:r w:rsidR="002D2DB2" w:rsidRPr="00183564">
        <w:t xml:space="preserve">Relevant </w:t>
      </w:r>
      <w:r w:rsidR="005E7FE7" w:rsidRPr="00183564">
        <w:t>recommendations from the Inspector-General of Biosecurity</w:t>
      </w:r>
      <w:r w:rsidR="00700259" w:rsidRPr="00183564">
        <w:t xml:space="preserve">’s </w:t>
      </w:r>
      <w:r w:rsidR="00D8358D" w:rsidRPr="00183564">
        <w:t>r</w:t>
      </w:r>
      <w:r w:rsidR="008A245E" w:rsidRPr="00183564">
        <w:t>eview</w:t>
      </w:r>
      <w:bookmarkEnd w:id="55"/>
    </w:p>
    <w:p w14:paraId="0949E339" w14:textId="16EC8441" w:rsidR="00E471E0" w:rsidRPr="00183564" w:rsidRDefault="00323EE9" w:rsidP="00E471E0">
      <w:r w:rsidRPr="00183564">
        <w:t xml:space="preserve">The Inspector-General of Biosecurity’s report </w:t>
      </w:r>
      <w:r w:rsidR="00E471E0" w:rsidRPr="00183564">
        <w:rPr>
          <w:i/>
          <w:iCs/>
        </w:rPr>
        <w:t>Confidence testing for at-border delivery of critical human biosecurity functions – Ruby Princess cruise</w:t>
      </w:r>
      <w:r w:rsidR="00ED4BAE" w:rsidRPr="00183564">
        <w:rPr>
          <w:i/>
          <w:iCs/>
        </w:rPr>
        <w:t xml:space="preserve"> ship incident</w:t>
      </w:r>
      <w:r w:rsidR="00E471E0" w:rsidRPr="00183564">
        <w:t>, Review Report 2020</w:t>
      </w:r>
      <w:r w:rsidR="00ED4BAE" w:rsidRPr="00183564">
        <w:t xml:space="preserve">-21/02 included five </w:t>
      </w:r>
      <w:r w:rsidR="00173AB5" w:rsidRPr="00183564">
        <w:t>recommendations</w:t>
      </w:r>
      <w:r w:rsidR="00ED4BAE" w:rsidRPr="00183564">
        <w:t xml:space="preserve"> to amend the </w:t>
      </w:r>
      <w:r w:rsidR="00173AB5" w:rsidRPr="00183564">
        <w:rPr>
          <w:i/>
          <w:iCs/>
        </w:rPr>
        <w:t>Biosecurity</w:t>
      </w:r>
      <w:r w:rsidR="00ED4BAE" w:rsidRPr="00183564">
        <w:rPr>
          <w:i/>
          <w:iCs/>
        </w:rPr>
        <w:t xml:space="preserve"> Act 2015</w:t>
      </w:r>
      <w:r w:rsidR="00173AB5" w:rsidRPr="00183564">
        <w:t>.</w:t>
      </w:r>
    </w:p>
    <w:p w14:paraId="5275B288" w14:textId="51484DDA" w:rsidR="00A955D5" w:rsidRPr="00183564" w:rsidRDefault="006B1F19" w:rsidP="00170334">
      <w:pPr>
        <w:ind w:left="720"/>
      </w:pPr>
      <w:r w:rsidRPr="00183564">
        <w:rPr>
          <w:i/>
          <w:iCs/>
        </w:rPr>
        <w:t>Recommendation 19</w:t>
      </w:r>
      <w:r w:rsidR="00170334" w:rsidRPr="00183564">
        <w:rPr>
          <w:i/>
          <w:iCs/>
        </w:rPr>
        <w:tab/>
      </w:r>
      <w:r w:rsidRPr="00183564">
        <w:t>The provisions within the Biosecurity Act 2015 relating to pratique should be reviewed to provide greater flexibility in managing pratique based on human biosecurity risk – in particular, to allow for aircraft and vessels to load and unload cargo and stores where this represents an acceptably low level of risk. The loading of provisions for crew onboard commercial cargo vessels and cruise ships in negative pratique should be incorporated in relevant instructional material.</w:t>
      </w:r>
    </w:p>
    <w:p w14:paraId="54C0F32C" w14:textId="3BBC4209" w:rsidR="00A955D5" w:rsidRPr="00183564" w:rsidRDefault="00A955D5" w:rsidP="00170334">
      <w:pPr>
        <w:ind w:left="720"/>
      </w:pPr>
      <w:r w:rsidRPr="00183564">
        <w:rPr>
          <w:i/>
          <w:iCs/>
        </w:rPr>
        <w:t>Recommendation 20</w:t>
      </w:r>
      <w:r w:rsidR="00170334" w:rsidRPr="00183564">
        <w:rPr>
          <w:i/>
          <w:iCs/>
        </w:rPr>
        <w:tab/>
      </w:r>
      <w:r w:rsidRPr="00183564">
        <w:t>The provisions within the Biosecurity Act 2015 should be reviewed with a view to providing biosecurity officers with broader powers that will assist them in managing large numbers of passengers and crew with potential Listed Human Diseases onboard foreign commercial vessels.</w:t>
      </w:r>
    </w:p>
    <w:p w14:paraId="2FBCCFBF" w14:textId="7EA15B14" w:rsidR="00DF2185" w:rsidRPr="00183564" w:rsidRDefault="00A955D5" w:rsidP="00170334">
      <w:pPr>
        <w:ind w:left="720"/>
      </w:pPr>
      <w:r w:rsidRPr="00183564">
        <w:rPr>
          <w:i/>
          <w:iCs/>
        </w:rPr>
        <w:t>Recommendation 21</w:t>
      </w:r>
      <w:r w:rsidR="00170334" w:rsidRPr="00183564">
        <w:rPr>
          <w:i/>
          <w:iCs/>
        </w:rPr>
        <w:tab/>
      </w:r>
      <w:r w:rsidRPr="00183564">
        <w:t>The Biosecurity Act 2015 should be amended to provide biosecurity officers with greater powers to enforce negative pratique, to provide for penalties to be applied to individuals who breach negative pratique, and to make the ‘person in charge’ (and operator) of a conveyance, defined in section 22 of the Act, also responsible for any noncompliance with negative pratique. This includes provision for issuing Infringement Notices for pratique breaches.</w:t>
      </w:r>
    </w:p>
    <w:p w14:paraId="55CC7FE1" w14:textId="04F27384" w:rsidR="006B1F19" w:rsidRPr="00183564" w:rsidRDefault="00863339" w:rsidP="00170334">
      <w:pPr>
        <w:ind w:left="720"/>
      </w:pPr>
      <w:r w:rsidRPr="00183564">
        <w:rPr>
          <w:i/>
          <w:iCs/>
        </w:rPr>
        <w:t>Recommendation 22</w:t>
      </w:r>
      <w:r w:rsidR="00170334" w:rsidRPr="00183564">
        <w:rPr>
          <w:i/>
          <w:iCs/>
        </w:rPr>
        <w:tab/>
      </w:r>
      <w:r w:rsidRPr="00183564">
        <w:t>The Biosecurity Act 2015 should be amended to provide biosecurity officers with clear powers to revoke pratique, including where either incorrect or inaccurate information is supplied by the vessel operator or there are changes to the vessel’s human biosecurity risk status over time.</w:t>
      </w:r>
    </w:p>
    <w:p w14:paraId="7104F5C8" w14:textId="15705F88" w:rsidR="00863339" w:rsidRPr="00183564" w:rsidRDefault="00694717" w:rsidP="00170334">
      <w:pPr>
        <w:ind w:left="720"/>
      </w:pPr>
      <w:r w:rsidRPr="00183564">
        <w:rPr>
          <w:i/>
          <w:iCs/>
        </w:rPr>
        <w:t>Recommendation 24</w:t>
      </w:r>
      <w:r w:rsidR="00170334" w:rsidRPr="00183564">
        <w:rPr>
          <w:i/>
          <w:iCs/>
        </w:rPr>
        <w:tab/>
      </w:r>
      <w:r w:rsidRPr="00183564">
        <w:t>The Biosecurity Act 2015 should be amended to require vessel operators to report updated biosecurity information, including human biosecurity information, if there are any changes to the information required under section 193 between the time that the Pre-arrival Report was submitted and the time of the vessel’s departure from Australia.</w:t>
      </w:r>
    </w:p>
    <w:p w14:paraId="797A985E" w14:textId="77777777" w:rsidR="00DF2185" w:rsidRPr="00183564" w:rsidRDefault="00DF2185">
      <w:r w:rsidRPr="00183564">
        <w:br w:type="page"/>
      </w:r>
    </w:p>
    <w:p w14:paraId="6F109605" w14:textId="0F4D075E" w:rsidR="00364884" w:rsidRPr="00183564" w:rsidRDefault="00364884" w:rsidP="00364884">
      <w:pPr>
        <w:pStyle w:val="Heading2"/>
      </w:pPr>
      <w:bookmarkStart w:id="56" w:name="_Ref80866045"/>
      <w:bookmarkStart w:id="57" w:name="_Toc80965322"/>
      <w:r w:rsidRPr="00183564">
        <w:lastRenderedPageBreak/>
        <w:t xml:space="preserve">Appendix </w:t>
      </w:r>
      <w:r>
        <w:t>C</w:t>
      </w:r>
      <w:r w:rsidRPr="00183564">
        <w:tab/>
      </w:r>
      <w:bookmarkEnd w:id="56"/>
      <w:r w:rsidR="00EF4F50">
        <w:rPr>
          <w:lang w:eastAsia="en-AU"/>
        </w:rPr>
        <w:t>Regulatory Burden Estimate – Data and Assumptions</w:t>
      </w:r>
      <w:bookmarkEnd w:id="57"/>
    </w:p>
    <w:p w14:paraId="12BB50DF" w14:textId="4AF5A671" w:rsidR="00176BE8" w:rsidRDefault="00014E30" w:rsidP="00EC3CFC">
      <w:pPr>
        <w:rPr>
          <w:lang w:eastAsia="en-AU"/>
        </w:rPr>
      </w:pPr>
      <w:r>
        <w:rPr>
          <w:lang w:eastAsia="en-AU"/>
        </w:rPr>
        <w:t>This appendix outlines the data and assumptions driving the regulatory burden</w:t>
      </w:r>
      <w:r w:rsidR="00176BE8">
        <w:rPr>
          <w:lang w:eastAsia="en-AU"/>
        </w:rPr>
        <w:t xml:space="preserve"> estimates of </w:t>
      </w:r>
      <w:r w:rsidR="00352C6B">
        <w:rPr>
          <w:lang w:eastAsia="en-AU"/>
        </w:rPr>
        <w:t>O</w:t>
      </w:r>
      <w:r w:rsidR="00176BE8">
        <w:rPr>
          <w:lang w:eastAsia="en-AU"/>
        </w:rPr>
        <w:t>ptions 2 and 3, as follows:</w:t>
      </w:r>
    </w:p>
    <w:p w14:paraId="6501BBF7" w14:textId="4BC63BCA" w:rsidR="00EC3CFC" w:rsidRDefault="00987CF1" w:rsidP="00F13BCF">
      <w:pPr>
        <w:pStyle w:val="BodyText"/>
        <w:numPr>
          <w:ilvl w:val="0"/>
          <w:numId w:val="27"/>
        </w:numPr>
        <w:rPr>
          <w:lang w:eastAsia="en-AU"/>
        </w:rPr>
      </w:pPr>
      <w:r w:rsidRPr="00987CF1">
        <w:t>Multiple pre-arrival reporting (sea pathway)</w:t>
      </w:r>
      <w:r w:rsidR="00176BE8">
        <w:t xml:space="preserve"> </w:t>
      </w:r>
      <w:r w:rsidR="004B2F10">
        <w:t>(</w:t>
      </w:r>
      <w:r w:rsidR="00176BE8">
        <w:t xml:space="preserve">Options </w:t>
      </w:r>
      <w:r w:rsidR="004B2F10">
        <w:t>2 and 3)</w:t>
      </w:r>
    </w:p>
    <w:p w14:paraId="428B0542" w14:textId="42A8371A" w:rsidR="00987CF1" w:rsidRDefault="00987CF1" w:rsidP="00F13BCF">
      <w:pPr>
        <w:pStyle w:val="BodyText"/>
        <w:numPr>
          <w:ilvl w:val="0"/>
          <w:numId w:val="27"/>
        </w:numPr>
      </w:pPr>
      <w:r w:rsidRPr="00987CF1">
        <w:t>Updated information reporting</w:t>
      </w:r>
      <w:r w:rsidR="004B2F10">
        <w:t xml:space="preserve"> (Options 2 and 3)</w:t>
      </w:r>
    </w:p>
    <w:p w14:paraId="34A83B54" w14:textId="04F89711" w:rsidR="00987CF1" w:rsidRDefault="00987CF1" w:rsidP="00F13BCF">
      <w:pPr>
        <w:pStyle w:val="BodyText"/>
        <w:numPr>
          <w:ilvl w:val="0"/>
          <w:numId w:val="27"/>
        </w:numPr>
      </w:pPr>
      <w:r w:rsidRPr="00987CF1">
        <w:t>Human Biosecurity Group Directions</w:t>
      </w:r>
      <w:r w:rsidR="004B2F10">
        <w:t xml:space="preserve"> (Option 3 only – not available under existing legislation)</w:t>
      </w:r>
    </w:p>
    <w:p w14:paraId="0B159EC2" w14:textId="410E64C7" w:rsidR="004B2F10" w:rsidRDefault="00352C6B" w:rsidP="00020E4F">
      <w:pPr>
        <w:pStyle w:val="BodyText"/>
        <w:rPr>
          <w:lang w:eastAsia="en-AU"/>
        </w:rPr>
      </w:pPr>
      <w:r>
        <w:rPr>
          <w:lang w:eastAsia="en-AU"/>
        </w:rPr>
        <w:t xml:space="preserve">Multiple pre-arrival reporting </w:t>
      </w:r>
      <w:r w:rsidR="0044226A">
        <w:rPr>
          <w:lang w:eastAsia="en-AU"/>
        </w:rPr>
        <w:t xml:space="preserve">and </w:t>
      </w:r>
      <w:r w:rsidR="004868C2">
        <w:rPr>
          <w:lang w:eastAsia="en-AU"/>
        </w:rPr>
        <w:t>U</w:t>
      </w:r>
      <w:r w:rsidR="0044226A">
        <w:rPr>
          <w:lang w:eastAsia="en-AU"/>
        </w:rPr>
        <w:t xml:space="preserve">pdated </w:t>
      </w:r>
      <w:r w:rsidR="00236CE1">
        <w:rPr>
          <w:lang w:eastAsia="en-AU"/>
        </w:rPr>
        <w:t>I</w:t>
      </w:r>
      <w:r w:rsidR="0044226A">
        <w:rPr>
          <w:lang w:eastAsia="en-AU"/>
        </w:rPr>
        <w:t xml:space="preserve">nformation </w:t>
      </w:r>
      <w:r w:rsidR="00236CE1">
        <w:rPr>
          <w:lang w:eastAsia="en-AU"/>
        </w:rPr>
        <w:t>R</w:t>
      </w:r>
      <w:r w:rsidR="0044226A">
        <w:rPr>
          <w:lang w:eastAsia="en-AU"/>
        </w:rPr>
        <w:t>eporting are solutions</w:t>
      </w:r>
      <w:r>
        <w:rPr>
          <w:lang w:eastAsia="en-AU"/>
        </w:rPr>
        <w:t xml:space="preserve"> </w:t>
      </w:r>
      <w:r w:rsidR="001A0BDF">
        <w:rPr>
          <w:lang w:eastAsia="en-AU"/>
        </w:rPr>
        <w:t>proposed under Option 3</w:t>
      </w:r>
      <w:r w:rsidR="004868C2">
        <w:rPr>
          <w:lang w:eastAsia="en-AU"/>
        </w:rPr>
        <w:t>,</w:t>
      </w:r>
      <w:r w:rsidR="001A0BDF">
        <w:rPr>
          <w:lang w:eastAsia="en-AU"/>
        </w:rPr>
        <w:t xml:space="preserve"> through amendments to the Biosecu</w:t>
      </w:r>
      <w:r w:rsidR="004868C2">
        <w:rPr>
          <w:lang w:eastAsia="en-AU"/>
        </w:rPr>
        <w:t>rity Act.</w:t>
      </w:r>
      <w:r w:rsidR="001A0BDF">
        <w:rPr>
          <w:lang w:eastAsia="en-AU"/>
        </w:rPr>
        <w:t xml:space="preserve"> </w:t>
      </w:r>
      <w:r w:rsidR="004868C2">
        <w:rPr>
          <w:lang w:eastAsia="en-AU"/>
        </w:rPr>
        <w:t xml:space="preserve">It </w:t>
      </w:r>
      <w:r w:rsidR="00DC68D7">
        <w:rPr>
          <w:lang w:eastAsia="en-AU"/>
        </w:rPr>
        <w:t>is anticipated</w:t>
      </w:r>
      <w:r w:rsidR="004868C2">
        <w:rPr>
          <w:lang w:eastAsia="en-AU"/>
        </w:rPr>
        <w:t xml:space="preserve"> that emergency health declarations </w:t>
      </w:r>
      <w:r w:rsidR="00DC68D7">
        <w:rPr>
          <w:lang w:eastAsia="en-AU"/>
        </w:rPr>
        <w:t xml:space="preserve">can be created </w:t>
      </w:r>
      <w:r w:rsidR="00426CF2">
        <w:rPr>
          <w:lang w:eastAsia="en-AU"/>
        </w:rPr>
        <w:t xml:space="preserve">under Option 2 </w:t>
      </w:r>
      <w:r w:rsidR="00DC68D7">
        <w:rPr>
          <w:lang w:eastAsia="en-AU"/>
        </w:rPr>
        <w:t>which</w:t>
      </w:r>
      <w:r w:rsidR="00426CF2">
        <w:rPr>
          <w:lang w:eastAsia="en-AU"/>
        </w:rPr>
        <w:t xml:space="preserve"> would achieve </w:t>
      </w:r>
      <w:r w:rsidR="00DC68D7">
        <w:rPr>
          <w:lang w:eastAsia="en-AU"/>
        </w:rPr>
        <w:t xml:space="preserve">outcomes </w:t>
      </w:r>
      <w:r w:rsidR="00426CF2">
        <w:rPr>
          <w:lang w:eastAsia="en-AU"/>
        </w:rPr>
        <w:t xml:space="preserve">broadly </w:t>
      </w:r>
      <w:proofErr w:type="gramStart"/>
      <w:r w:rsidR="00426CF2">
        <w:rPr>
          <w:lang w:eastAsia="en-AU"/>
        </w:rPr>
        <w:t xml:space="preserve">similar </w:t>
      </w:r>
      <w:r w:rsidR="00DC68D7">
        <w:rPr>
          <w:lang w:eastAsia="en-AU"/>
        </w:rPr>
        <w:t>to</w:t>
      </w:r>
      <w:proofErr w:type="gramEnd"/>
      <w:r w:rsidR="00426CF2">
        <w:rPr>
          <w:lang w:eastAsia="en-AU"/>
        </w:rPr>
        <w:t xml:space="preserve"> the proposed amendments under Option 3</w:t>
      </w:r>
      <w:r w:rsidR="00F15FA3">
        <w:rPr>
          <w:lang w:eastAsia="en-AU"/>
        </w:rPr>
        <w:t>.</w:t>
      </w:r>
      <w:r w:rsidR="00426CF2">
        <w:rPr>
          <w:lang w:eastAsia="en-AU"/>
        </w:rPr>
        <w:t xml:space="preserve"> As a result, the regulatory burden for these two outcomes </w:t>
      </w:r>
      <w:r w:rsidR="00D45376">
        <w:rPr>
          <w:lang w:eastAsia="en-AU"/>
        </w:rPr>
        <w:t>is</w:t>
      </w:r>
      <w:r w:rsidR="00426CF2">
        <w:rPr>
          <w:lang w:eastAsia="en-AU"/>
        </w:rPr>
        <w:t xml:space="preserve"> calculated below </w:t>
      </w:r>
      <w:r w:rsidR="003C21D3">
        <w:rPr>
          <w:lang w:eastAsia="en-AU"/>
        </w:rPr>
        <w:t xml:space="preserve">and </w:t>
      </w:r>
      <w:r w:rsidR="00020E4F">
        <w:rPr>
          <w:lang w:eastAsia="en-AU"/>
        </w:rPr>
        <w:t>apply to</w:t>
      </w:r>
      <w:r w:rsidR="00DC2B8E">
        <w:rPr>
          <w:lang w:eastAsia="en-AU"/>
        </w:rPr>
        <w:t xml:space="preserve"> </w:t>
      </w:r>
      <w:r w:rsidR="00DD2AA7">
        <w:rPr>
          <w:lang w:eastAsia="en-AU"/>
        </w:rPr>
        <w:t>Option 2 as well as Option 3.</w:t>
      </w:r>
    </w:p>
    <w:p w14:paraId="501E5EA4" w14:textId="1658A99B" w:rsidR="004868C2" w:rsidRDefault="00BC79AB" w:rsidP="00020E4F">
      <w:pPr>
        <w:pStyle w:val="BodyText"/>
        <w:rPr>
          <w:lang w:eastAsia="en-AU"/>
        </w:rPr>
      </w:pPr>
      <w:r>
        <w:rPr>
          <w:lang w:eastAsia="en-AU"/>
        </w:rPr>
        <w:t xml:space="preserve">The third </w:t>
      </w:r>
      <w:r w:rsidR="00337E08">
        <w:rPr>
          <w:lang w:eastAsia="en-AU"/>
        </w:rPr>
        <w:t>solution</w:t>
      </w:r>
      <w:r>
        <w:rPr>
          <w:lang w:eastAsia="en-AU"/>
        </w:rPr>
        <w:t xml:space="preserve"> listed above, </w:t>
      </w:r>
      <w:r w:rsidR="000D7F3A">
        <w:rPr>
          <w:lang w:eastAsia="en-AU"/>
        </w:rPr>
        <w:t>the Human Biosecurity Group Direction</w:t>
      </w:r>
      <w:r w:rsidR="00F35CBA">
        <w:rPr>
          <w:lang w:eastAsia="en-AU"/>
        </w:rPr>
        <w:t>, is only available under Option 3</w:t>
      </w:r>
      <w:r w:rsidR="00E16131">
        <w:rPr>
          <w:lang w:eastAsia="en-AU"/>
        </w:rPr>
        <w:t xml:space="preserve">. </w:t>
      </w:r>
      <w:r w:rsidR="00E16131" w:rsidRPr="00E16131">
        <w:rPr>
          <w:lang w:eastAsia="en-AU"/>
        </w:rPr>
        <w:t xml:space="preserve">The powers available to make determination </w:t>
      </w:r>
      <w:r w:rsidR="000669A8">
        <w:rPr>
          <w:lang w:eastAsia="en-AU"/>
        </w:rPr>
        <w:t xml:space="preserve">under Option 2 </w:t>
      </w:r>
      <w:r w:rsidR="00E16131" w:rsidRPr="00E16131">
        <w:rPr>
          <w:lang w:eastAsia="en-AU"/>
        </w:rPr>
        <w:t xml:space="preserve">are </w:t>
      </w:r>
      <w:r w:rsidR="00D46288">
        <w:rPr>
          <w:lang w:eastAsia="en-AU"/>
        </w:rPr>
        <w:t xml:space="preserve">not available </w:t>
      </w:r>
      <w:r w:rsidR="00E16131" w:rsidRPr="00E16131">
        <w:rPr>
          <w:lang w:eastAsia="en-AU"/>
        </w:rPr>
        <w:t xml:space="preserve">for the management of individuals (Biosecurity Bill 2014 Explanatory Memorandum pages 294-295). </w:t>
      </w:r>
      <w:r w:rsidR="000669A8">
        <w:rPr>
          <w:lang w:eastAsia="en-AU"/>
        </w:rPr>
        <w:t>As a result, the regulatory burden associated with the introduction of a Human Biosecurity Group Direction is only included with Option 3</w:t>
      </w:r>
      <w:r w:rsidR="00DD2015">
        <w:rPr>
          <w:lang w:eastAsia="en-AU"/>
        </w:rPr>
        <w:t xml:space="preserve"> and excluded from </w:t>
      </w:r>
      <w:r w:rsidR="00701558">
        <w:rPr>
          <w:lang w:eastAsia="en-AU"/>
        </w:rPr>
        <w:t>Option 2.</w:t>
      </w:r>
    </w:p>
    <w:p w14:paraId="4D6AF446" w14:textId="4DC6F715" w:rsidR="00D116A1" w:rsidRPr="00F13BCF" w:rsidRDefault="00D116A1" w:rsidP="00020E4F">
      <w:pPr>
        <w:keepNext/>
        <w:spacing w:before="240"/>
        <w:rPr>
          <w:rStyle w:val="Strong"/>
          <w:rFonts w:asciiTheme="majorHAnsi" w:hAnsiTheme="majorHAnsi"/>
          <w:b w:val="0"/>
          <w:bCs w:val="0"/>
          <w:color w:val="014463" w:themeColor="text2"/>
          <w:sz w:val="24"/>
          <w:szCs w:val="24"/>
        </w:rPr>
      </w:pPr>
      <w:r w:rsidRPr="00020E4F">
        <w:rPr>
          <w:b/>
          <w:lang w:eastAsia="en-AU"/>
        </w:rPr>
        <w:t>Multiple pre-arrival reporting (sea pathway)</w:t>
      </w:r>
    </w:p>
    <w:p w14:paraId="1B2A0B4E" w14:textId="77777777" w:rsidR="00D116A1" w:rsidRDefault="00D116A1" w:rsidP="00D116A1">
      <w:pPr>
        <w:pStyle w:val="BodyText"/>
        <w:keepNext/>
        <w:numPr>
          <w:ilvl w:val="0"/>
          <w:numId w:val="27"/>
        </w:numPr>
        <w:ind w:left="714" w:hanging="357"/>
      </w:pPr>
      <w:r>
        <w:t>Number of businesses affected: 29</w:t>
      </w:r>
    </w:p>
    <w:p w14:paraId="37007C10" w14:textId="5F900C1D" w:rsidR="00D116A1" w:rsidRDefault="00D116A1" w:rsidP="00D116A1">
      <w:pPr>
        <w:pStyle w:val="ListParagraph"/>
      </w:pPr>
      <w:proofErr w:type="gramStart"/>
      <w:r>
        <w:t>In order to</w:t>
      </w:r>
      <w:proofErr w:type="gramEnd"/>
      <w:r>
        <w:t xml:space="preserve"> facilitate a reliable build-up of costs, i</w:t>
      </w:r>
      <w:r w:rsidRPr="00183564">
        <w:t xml:space="preserve">nformation was obtained regarding the size of the Australian Cruise market through consultation with various Government </w:t>
      </w:r>
      <w:r>
        <w:t>o</w:t>
      </w:r>
      <w:r w:rsidRPr="00183564">
        <w:t>rganisations (Department of Health, Department of Infrastructure, Transport, Regional Development and Communications</w:t>
      </w:r>
      <w:r>
        <w:t>)</w:t>
      </w:r>
      <w:r w:rsidRPr="00183564">
        <w:t xml:space="preserve"> </w:t>
      </w:r>
      <w:r>
        <w:t xml:space="preserve">and </w:t>
      </w:r>
      <w:r w:rsidRPr="00183564">
        <w:t>Ports Australia and within industry (Cruise Lines International Association).</w:t>
      </w:r>
      <w:r>
        <w:t xml:space="preserve"> </w:t>
      </w:r>
      <w:r w:rsidRPr="00183564">
        <w:t xml:space="preserve">It was established that 29 cruise operators visited Australian shores during </w:t>
      </w:r>
      <w:r>
        <w:t xml:space="preserve">the </w:t>
      </w:r>
      <w:r w:rsidRPr="00183564">
        <w:t>2019 calendar year, with a total of 2,092 cruise ship visits identified during that period</w:t>
      </w:r>
      <w:r>
        <w:t xml:space="preserve"> (refer </w:t>
      </w:r>
      <w:r>
        <w:fldChar w:fldCharType="begin"/>
      </w:r>
      <w:r>
        <w:instrText xml:space="preserve"> REF _Ref78906223 \h </w:instrText>
      </w:r>
      <w:r>
        <w:fldChar w:fldCharType="end"/>
      </w:r>
      <w:r>
        <w:t xml:space="preserve"> </w:t>
      </w:r>
      <w:r w:rsidRPr="00183564">
        <w:t>below</w:t>
      </w:r>
      <w:r>
        <w:t>).</w:t>
      </w:r>
    </w:p>
    <w:p w14:paraId="342D8F6D" w14:textId="52E408BC" w:rsidR="00AB477A" w:rsidRDefault="00AB477A">
      <w:r>
        <w:br w:type="page"/>
      </w:r>
    </w:p>
    <w:p w14:paraId="113000B9" w14:textId="77777777" w:rsidR="00AB477A" w:rsidRPr="00183564" w:rsidRDefault="00AB477A" w:rsidP="00D116A1">
      <w:pPr>
        <w:pStyle w:val="ListParagraph"/>
      </w:pPr>
    </w:p>
    <w:tbl>
      <w:tblPr>
        <w:tblStyle w:val="PMCTableStyle2"/>
        <w:tblW w:w="0" w:type="auto"/>
        <w:jc w:val="center"/>
        <w:tblLook w:val="0660" w:firstRow="1" w:lastRow="1" w:firstColumn="0" w:lastColumn="0" w:noHBand="1" w:noVBand="1"/>
      </w:tblPr>
      <w:tblGrid>
        <w:gridCol w:w="3964"/>
        <w:gridCol w:w="1985"/>
        <w:gridCol w:w="2268"/>
      </w:tblGrid>
      <w:tr w:rsidR="00D116A1" w:rsidRPr="00183564" w14:paraId="2B222DDD" w14:textId="77777777" w:rsidTr="00DB7228">
        <w:trPr>
          <w:cnfStyle w:val="100000000000" w:firstRow="1" w:lastRow="0" w:firstColumn="0" w:lastColumn="0" w:oddVBand="0" w:evenVBand="0" w:oddHBand="0" w:evenHBand="0" w:firstRowFirstColumn="0" w:firstRowLastColumn="0" w:lastRowFirstColumn="0" w:lastRowLastColumn="0"/>
          <w:trHeight w:val="350"/>
          <w:jc w:val="center"/>
        </w:trPr>
        <w:tc>
          <w:tcPr>
            <w:tcW w:w="3964" w:type="dxa"/>
          </w:tcPr>
          <w:p w14:paraId="28A44BA7" w14:textId="77777777" w:rsidR="00D116A1" w:rsidRPr="00183564" w:rsidRDefault="00D116A1" w:rsidP="00DB7228">
            <w:pPr>
              <w:pStyle w:val="TableHeading"/>
              <w:keepNext/>
              <w:jc w:val="center"/>
            </w:pPr>
            <w:r w:rsidRPr="00183564">
              <w:t>Cruise company</w:t>
            </w:r>
          </w:p>
        </w:tc>
        <w:tc>
          <w:tcPr>
            <w:tcW w:w="1985" w:type="dxa"/>
          </w:tcPr>
          <w:p w14:paraId="41F71757" w14:textId="77777777" w:rsidR="00D116A1" w:rsidRPr="00183564" w:rsidRDefault="00D116A1" w:rsidP="00DB7228">
            <w:pPr>
              <w:pStyle w:val="TableHeading"/>
              <w:keepNext/>
              <w:jc w:val="center"/>
            </w:pPr>
            <w:r w:rsidRPr="00183564">
              <w:t>Vessels Visits to Australia in 2019 Calendar Year</w:t>
            </w:r>
          </w:p>
        </w:tc>
        <w:tc>
          <w:tcPr>
            <w:tcW w:w="2268" w:type="dxa"/>
          </w:tcPr>
          <w:p w14:paraId="3F473DFF" w14:textId="77777777" w:rsidR="00D116A1" w:rsidRPr="00183564" w:rsidRDefault="00D116A1" w:rsidP="00DB7228">
            <w:pPr>
              <w:pStyle w:val="TableHeading"/>
              <w:keepNext/>
              <w:jc w:val="center"/>
            </w:pPr>
            <w:r w:rsidRPr="00183564">
              <w:t>Vessels Visits to Australia in 2019 Calendar Year (%)</w:t>
            </w:r>
          </w:p>
        </w:tc>
      </w:tr>
      <w:tr w:rsidR="00D116A1" w:rsidRPr="00183564" w14:paraId="7542EB2D" w14:textId="77777777" w:rsidTr="00DB7228">
        <w:trPr>
          <w:trHeight w:val="283"/>
          <w:jc w:val="center"/>
        </w:trPr>
        <w:tc>
          <w:tcPr>
            <w:tcW w:w="3964" w:type="dxa"/>
            <w:shd w:val="clear" w:color="auto" w:fill="BFCAD7" w:themeFill="accent1" w:themeFillTint="40"/>
          </w:tcPr>
          <w:p w14:paraId="59464309" w14:textId="77777777" w:rsidR="00D116A1" w:rsidRPr="00183564" w:rsidRDefault="00D116A1" w:rsidP="00DB7228">
            <w:pPr>
              <w:pStyle w:val="TableBody"/>
              <w:keepNext/>
              <w:rPr>
                <w:rFonts w:asciiTheme="majorHAnsi" w:hAnsiTheme="majorHAnsi"/>
                <w:color w:val="262626" w:themeColor="text1" w:themeTint="D9"/>
                <w:sz w:val="16"/>
                <w:szCs w:val="18"/>
              </w:rPr>
            </w:pPr>
            <w:r w:rsidRPr="00183564">
              <w:rPr>
                <w:rFonts w:asciiTheme="majorHAnsi" w:hAnsiTheme="majorHAnsi"/>
                <w:sz w:val="16"/>
                <w:szCs w:val="18"/>
              </w:rPr>
              <w:t xml:space="preserve"> P &amp; O Cruises </w:t>
            </w:r>
          </w:p>
        </w:tc>
        <w:tc>
          <w:tcPr>
            <w:tcW w:w="1985" w:type="dxa"/>
            <w:shd w:val="clear" w:color="auto" w:fill="BFCAD7" w:themeFill="accent1" w:themeFillTint="40"/>
          </w:tcPr>
          <w:p w14:paraId="7786A29B"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491</w:t>
            </w:r>
          </w:p>
        </w:tc>
        <w:tc>
          <w:tcPr>
            <w:tcW w:w="2268" w:type="dxa"/>
            <w:shd w:val="clear" w:color="auto" w:fill="BFCAD7" w:themeFill="accent1" w:themeFillTint="40"/>
          </w:tcPr>
          <w:p w14:paraId="03191B8F"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23.5%</w:t>
            </w:r>
          </w:p>
        </w:tc>
      </w:tr>
      <w:tr w:rsidR="00D116A1" w:rsidRPr="00183564" w14:paraId="2392F52F" w14:textId="77777777" w:rsidTr="00DB7228">
        <w:trPr>
          <w:trHeight w:val="283"/>
          <w:jc w:val="center"/>
        </w:trPr>
        <w:tc>
          <w:tcPr>
            <w:tcW w:w="3964" w:type="dxa"/>
            <w:shd w:val="clear" w:color="auto" w:fill="BFCAD7" w:themeFill="accent1" w:themeFillTint="40"/>
          </w:tcPr>
          <w:p w14:paraId="23452054"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Princess Cruises </w:t>
            </w:r>
          </w:p>
        </w:tc>
        <w:tc>
          <w:tcPr>
            <w:tcW w:w="1985" w:type="dxa"/>
            <w:shd w:val="clear" w:color="auto" w:fill="BFCAD7" w:themeFill="accent1" w:themeFillTint="40"/>
          </w:tcPr>
          <w:p w14:paraId="2DF5EE30"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209</w:t>
            </w:r>
          </w:p>
        </w:tc>
        <w:tc>
          <w:tcPr>
            <w:tcW w:w="2268" w:type="dxa"/>
            <w:shd w:val="clear" w:color="auto" w:fill="BFCAD7" w:themeFill="accent1" w:themeFillTint="40"/>
          </w:tcPr>
          <w:p w14:paraId="4EBF7FB4"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10.0%</w:t>
            </w:r>
          </w:p>
        </w:tc>
      </w:tr>
      <w:tr w:rsidR="00D116A1" w:rsidRPr="00183564" w14:paraId="5C754AB3" w14:textId="77777777" w:rsidTr="00DB7228">
        <w:trPr>
          <w:trHeight w:val="283"/>
          <w:jc w:val="center"/>
        </w:trPr>
        <w:tc>
          <w:tcPr>
            <w:tcW w:w="3964" w:type="dxa"/>
            <w:shd w:val="clear" w:color="auto" w:fill="BFCAD7" w:themeFill="accent1" w:themeFillTint="40"/>
          </w:tcPr>
          <w:p w14:paraId="57D4C8EA"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Ponant </w:t>
            </w:r>
          </w:p>
        </w:tc>
        <w:tc>
          <w:tcPr>
            <w:tcW w:w="1985" w:type="dxa"/>
            <w:shd w:val="clear" w:color="auto" w:fill="BFCAD7" w:themeFill="accent1" w:themeFillTint="40"/>
          </w:tcPr>
          <w:p w14:paraId="192CA5BB"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161</w:t>
            </w:r>
          </w:p>
        </w:tc>
        <w:tc>
          <w:tcPr>
            <w:tcW w:w="2268" w:type="dxa"/>
            <w:shd w:val="clear" w:color="auto" w:fill="BFCAD7" w:themeFill="accent1" w:themeFillTint="40"/>
          </w:tcPr>
          <w:p w14:paraId="60DEBFE9"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7.7%</w:t>
            </w:r>
          </w:p>
        </w:tc>
      </w:tr>
      <w:tr w:rsidR="00D116A1" w:rsidRPr="00183564" w14:paraId="37A7D65C" w14:textId="77777777" w:rsidTr="00DB7228">
        <w:trPr>
          <w:trHeight w:val="283"/>
          <w:jc w:val="center"/>
        </w:trPr>
        <w:tc>
          <w:tcPr>
            <w:tcW w:w="3964" w:type="dxa"/>
            <w:shd w:val="clear" w:color="auto" w:fill="BFCAD7" w:themeFill="accent1" w:themeFillTint="40"/>
          </w:tcPr>
          <w:p w14:paraId="1ABF94F0"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Carnival Cruises </w:t>
            </w:r>
          </w:p>
        </w:tc>
        <w:tc>
          <w:tcPr>
            <w:tcW w:w="1985" w:type="dxa"/>
            <w:shd w:val="clear" w:color="auto" w:fill="BFCAD7" w:themeFill="accent1" w:themeFillTint="40"/>
          </w:tcPr>
          <w:p w14:paraId="42C181D8"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147</w:t>
            </w:r>
          </w:p>
        </w:tc>
        <w:tc>
          <w:tcPr>
            <w:tcW w:w="2268" w:type="dxa"/>
            <w:shd w:val="clear" w:color="auto" w:fill="BFCAD7" w:themeFill="accent1" w:themeFillTint="40"/>
          </w:tcPr>
          <w:p w14:paraId="149F2053"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7.0%</w:t>
            </w:r>
          </w:p>
        </w:tc>
      </w:tr>
      <w:tr w:rsidR="00D116A1" w:rsidRPr="00183564" w14:paraId="65B31E63" w14:textId="77777777" w:rsidTr="00DB7228">
        <w:trPr>
          <w:trHeight w:val="283"/>
          <w:jc w:val="center"/>
        </w:trPr>
        <w:tc>
          <w:tcPr>
            <w:tcW w:w="3964" w:type="dxa"/>
            <w:shd w:val="clear" w:color="auto" w:fill="BFCAD7" w:themeFill="accent1" w:themeFillTint="40"/>
          </w:tcPr>
          <w:p w14:paraId="3CD768D4"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Royal Caribbean </w:t>
            </w:r>
          </w:p>
        </w:tc>
        <w:tc>
          <w:tcPr>
            <w:tcW w:w="1985" w:type="dxa"/>
            <w:shd w:val="clear" w:color="auto" w:fill="BFCAD7" w:themeFill="accent1" w:themeFillTint="40"/>
          </w:tcPr>
          <w:p w14:paraId="2EDD6BF3"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141</w:t>
            </w:r>
          </w:p>
        </w:tc>
        <w:tc>
          <w:tcPr>
            <w:tcW w:w="2268" w:type="dxa"/>
            <w:shd w:val="clear" w:color="auto" w:fill="BFCAD7" w:themeFill="accent1" w:themeFillTint="40"/>
          </w:tcPr>
          <w:p w14:paraId="7F83286F"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6.7%</w:t>
            </w:r>
          </w:p>
        </w:tc>
      </w:tr>
      <w:tr w:rsidR="00D116A1" w:rsidRPr="00183564" w14:paraId="4B9A5E56" w14:textId="77777777" w:rsidTr="00DB7228">
        <w:trPr>
          <w:trHeight w:val="283"/>
          <w:jc w:val="center"/>
        </w:trPr>
        <w:tc>
          <w:tcPr>
            <w:tcW w:w="3964" w:type="dxa"/>
          </w:tcPr>
          <w:p w14:paraId="23A1A3BE"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Holland America </w:t>
            </w:r>
          </w:p>
        </w:tc>
        <w:tc>
          <w:tcPr>
            <w:tcW w:w="1985" w:type="dxa"/>
          </w:tcPr>
          <w:p w14:paraId="0B137975"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121</w:t>
            </w:r>
          </w:p>
        </w:tc>
        <w:tc>
          <w:tcPr>
            <w:tcW w:w="2268" w:type="dxa"/>
          </w:tcPr>
          <w:p w14:paraId="05273149"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5.8%</w:t>
            </w:r>
          </w:p>
        </w:tc>
      </w:tr>
      <w:tr w:rsidR="00D116A1" w:rsidRPr="00183564" w14:paraId="11CFAD01" w14:textId="77777777" w:rsidTr="00DB7228">
        <w:trPr>
          <w:trHeight w:val="283"/>
          <w:jc w:val="center"/>
        </w:trPr>
        <w:tc>
          <w:tcPr>
            <w:tcW w:w="3964" w:type="dxa"/>
          </w:tcPr>
          <w:p w14:paraId="7C21F882"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Expedition Cruising APT </w:t>
            </w:r>
          </w:p>
        </w:tc>
        <w:tc>
          <w:tcPr>
            <w:tcW w:w="1985" w:type="dxa"/>
          </w:tcPr>
          <w:p w14:paraId="3E478950"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96</w:t>
            </w:r>
          </w:p>
        </w:tc>
        <w:tc>
          <w:tcPr>
            <w:tcW w:w="2268" w:type="dxa"/>
          </w:tcPr>
          <w:p w14:paraId="596BA617"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4.6%</w:t>
            </w:r>
          </w:p>
        </w:tc>
      </w:tr>
      <w:tr w:rsidR="00D116A1" w:rsidRPr="00183564" w14:paraId="40CE7923" w14:textId="77777777" w:rsidTr="00DB7228">
        <w:trPr>
          <w:trHeight w:val="283"/>
          <w:jc w:val="center"/>
        </w:trPr>
        <w:tc>
          <w:tcPr>
            <w:tcW w:w="3964" w:type="dxa"/>
          </w:tcPr>
          <w:p w14:paraId="672CC15F"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Cruise and Maritime Voyages company </w:t>
            </w:r>
          </w:p>
        </w:tc>
        <w:tc>
          <w:tcPr>
            <w:tcW w:w="1985" w:type="dxa"/>
          </w:tcPr>
          <w:p w14:paraId="3B035AB0"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86</w:t>
            </w:r>
          </w:p>
        </w:tc>
        <w:tc>
          <w:tcPr>
            <w:tcW w:w="2268" w:type="dxa"/>
          </w:tcPr>
          <w:p w14:paraId="0ABAF17A"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4.1%</w:t>
            </w:r>
          </w:p>
        </w:tc>
      </w:tr>
      <w:tr w:rsidR="00D116A1" w:rsidRPr="00183564" w14:paraId="582C3D20" w14:textId="77777777" w:rsidTr="00DB7228">
        <w:trPr>
          <w:trHeight w:val="283"/>
          <w:jc w:val="center"/>
        </w:trPr>
        <w:tc>
          <w:tcPr>
            <w:tcW w:w="3964" w:type="dxa"/>
          </w:tcPr>
          <w:p w14:paraId="4C0A06CF"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Viking Cruises </w:t>
            </w:r>
          </w:p>
        </w:tc>
        <w:tc>
          <w:tcPr>
            <w:tcW w:w="1985" w:type="dxa"/>
          </w:tcPr>
          <w:p w14:paraId="37B41DE6"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69</w:t>
            </w:r>
          </w:p>
        </w:tc>
        <w:tc>
          <w:tcPr>
            <w:tcW w:w="2268" w:type="dxa"/>
          </w:tcPr>
          <w:p w14:paraId="13EBCD36"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3.3%</w:t>
            </w:r>
          </w:p>
        </w:tc>
      </w:tr>
      <w:tr w:rsidR="00D116A1" w:rsidRPr="00183564" w14:paraId="526F510D" w14:textId="77777777" w:rsidTr="00DB7228">
        <w:trPr>
          <w:trHeight w:val="283"/>
          <w:jc w:val="center"/>
        </w:trPr>
        <w:tc>
          <w:tcPr>
            <w:tcW w:w="3964" w:type="dxa"/>
          </w:tcPr>
          <w:p w14:paraId="3431CA6B"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Regent Seven Seas Trio </w:t>
            </w:r>
          </w:p>
        </w:tc>
        <w:tc>
          <w:tcPr>
            <w:tcW w:w="1985" w:type="dxa"/>
          </w:tcPr>
          <w:p w14:paraId="752F43E2"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64</w:t>
            </w:r>
          </w:p>
        </w:tc>
        <w:tc>
          <w:tcPr>
            <w:tcW w:w="2268" w:type="dxa"/>
          </w:tcPr>
          <w:p w14:paraId="314C2D36"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3.1%</w:t>
            </w:r>
          </w:p>
        </w:tc>
      </w:tr>
      <w:tr w:rsidR="00D116A1" w:rsidRPr="00183564" w14:paraId="7C8F33B0" w14:textId="77777777" w:rsidTr="00DB7228">
        <w:trPr>
          <w:trHeight w:val="283"/>
          <w:jc w:val="center"/>
        </w:trPr>
        <w:tc>
          <w:tcPr>
            <w:tcW w:w="3964" w:type="dxa"/>
          </w:tcPr>
          <w:p w14:paraId="138530CC"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Noble Caledonia Cruises </w:t>
            </w:r>
          </w:p>
        </w:tc>
        <w:tc>
          <w:tcPr>
            <w:tcW w:w="1985" w:type="dxa"/>
          </w:tcPr>
          <w:p w14:paraId="77ADCA1D"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61</w:t>
            </w:r>
          </w:p>
        </w:tc>
        <w:tc>
          <w:tcPr>
            <w:tcW w:w="2268" w:type="dxa"/>
          </w:tcPr>
          <w:p w14:paraId="612FA9BA"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2.9%</w:t>
            </w:r>
          </w:p>
        </w:tc>
      </w:tr>
      <w:tr w:rsidR="00D116A1" w:rsidRPr="00183564" w14:paraId="770421FE" w14:textId="77777777" w:rsidTr="00DB7228">
        <w:trPr>
          <w:trHeight w:val="283"/>
          <w:jc w:val="center"/>
        </w:trPr>
        <w:tc>
          <w:tcPr>
            <w:tcW w:w="3964" w:type="dxa"/>
          </w:tcPr>
          <w:p w14:paraId="1CBECF17"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Oceania Cruises </w:t>
            </w:r>
          </w:p>
        </w:tc>
        <w:tc>
          <w:tcPr>
            <w:tcW w:w="1985" w:type="dxa"/>
          </w:tcPr>
          <w:p w14:paraId="5F1B6B69"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57</w:t>
            </w:r>
          </w:p>
        </w:tc>
        <w:tc>
          <w:tcPr>
            <w:tcW w:w="2268" w:type="dxa"/>
          </w:tcPr>
          <w:p w14:paraId="39F494FB"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2.7%</w:t>
            </w:r>
          </w:p>
        </w:tc>
      </w:tr>
      <w:tr w:rsidR="00D116A1" w:rsidRPr="00183564" w14:paraId="4C71CB39" w14:textId="77777777" w:rsidTr="00DB7228">
        <w:trPr>
          <w:trHeight w:val="283"/>
          <w:jc w:val="center"/>
        </w:trPr>
        <w:tc>
          <w:tcPr>
            <w:tcW w:w="3964" w:type="dxa"/>
          </w:tcPr>
          <w:p w14:paraId="7499120B"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Cunard </w:t>
            </w:r>
          </w:p>
        </w:tc>
        <w:tc>
          <w:tcPr>
            <w:tcW w:w="1985" w:type="dxa"/>
          </w:tcPr>
          <w:p w14:paraId="2F562B1B"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50</w:t>
            </w:r>
          </w:p>
        </w:tc>
        <w:tc>
          <w:tcPr>
            <w:tcW w:w="2268" w:type="dxa"/>
          </w:tcPr>
          <w:p w14:paraId="17C06F12"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2.4%</w:t>
            </w:r>
          </w:p>
        </w:tc>
      </w:tr>
      <w:tr w:rsidR="00D116A1" w:rsidRPr="00183564" w14:paraId="17C965A2" w14:textId="77777777" w:rsidTr="00DB7228">
        <w:trPr>
          <w:trHeight w:val="283"/>
          <w:jc w:val="center"/>
        </w:trPr>
        <w:tc>
          <w:tcPr>
            <w:tcW w:w="3964" w:type="dxa"/>
          </w:tcPr>
          <w:p w14:paraId="448E20B3" w14:textId="77777777" w:rsidR="00D116A1" w:rsidRPr="00183564" w:rsidRDefault="00D116A1" w:rsidP="00DB7228">
            <w:pPr>
              <w:pStyle w:val="TableBody"/>
              <w:rPr>
                <w:rFonts w:asciiTheme="majorHAnsi" w:hAnsiTheme="majorHAnsi"/>
                <w:color w:val="262626" w:themeColor="text1" w:themeTint="D9"/>
                <w:sz w:val="16"/>
                <w:szCs w:val="18"/>
              </w:rPr>
            </w:pPr>
            <w:r w:rsidRPr="00183564">
              <w:rPr>
                <w:rFonts w:asciiTheme="majorHAnsi" w:hAnsiTheme="majorHAnsi"/>
                <w:sz w:val="16"/>
                <w:szCs w:val="18"/>
              </w:rPr>
              <w:t xml:space="preserve"> Global Cruise Lines </w:t>
            </w:r>
          </w:p>
        </w:tc>
        <w:tc>
          <w:tcPr>
            <w:tcW w:w="1985" w:type="dxa"/>
          </w:tcPr>
          <w:p w14:paraId="1B894873"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50</w:t>
            </w:r>
          </w:p>
        </w:tc>
        <w:tc>
          <w:tcPr>
            <w:tcW w:w="2268" w:type="dxa"/>
          </w:tcPr>
          <w:p w14:paraId="7CAD19F2" w14:textId="77777777" w:rsidR="00D116A1" w:rsidRPr="00183564" w:rsidRDefault="00D116A1" w:rsidP="00DB7228">
            <w:pPr>
              <w:pStyle w:val="TableBody"/>
              <w:jc w:val="right"/>
              <w:rPr>
                <w:rFonts w:asciiTheme="majorHAnsi" w:hAnsiTheme="majorHAnsi"/>
                <w:color w:val="262626" w:themeColor="text1" w:themeTint="D9"/>
                <w:sz w:val="16"/>
                <w:szCs w:val="18"/>
              </w:rPr>
            </w:pPr>
            <w:r w:rsidRPr="00183564">
              <w:rPr>
                <w:rFonts w:asciiTheme="majorHAnsi" w:hAnsiTheme="majorHAnsi"/>
                <w:sz w:val="16"/>
                <w:szCs w:val="18"/>
              </w:rPr>
              <w:t>2.4%</w:t>
            </w:r>
          </w:p>
        </w:tc>
      </w:tr>
      <w:tr w:rsidR="00D116A1" w:rsidRPr="00183564" w14:paraId="6AD64137" w14:textId="77777777" w:rsidTr="00DB7228">
        <w:trPr>
          <w:trHeight w:val="283"/>
          <w:jc w:val="center"/>
        </w:trPr>
        <w:tc>
          <w:tcPr>
            <w:tcW w:w="3964" w:type="dxa"/>
          </w:tcPr>
          <w:p w14:paraId="244CB020" w14:textId="77777777" w:rsidR="00D116A1" w:rsidRPr="00183564" w:rsidRDefault="00D116A1" w:rsidP="00DB7228">
            <w:pPr>
              <w:pStyle w:val="TableBody"/>
              <w:keepNext/>
              <w:rPr>
                <w:rFonts w:asciiTheme="majorHAnsi" w:hAnsiTheme="majorHAnsi"/>
                <w:color w:val="262626" w:themeColor="text1" w:themeTint="D9"/>
                <w:sz w:val="16"/>
                <w:szCs w:val="18"/>
              </w:rPr>
            </w:pPr>
            <w:r w:rsidRPr="00183564">
              <w:rPr>
                <w:rFonts w:asciiTheme="majorHAnsi" w:hAnsiTheme="majorHAnsi"/>
                <w:sz w:val="16"/>
                <w:szCs w:val="18"/>
              </w:rPr>
              <w:t xml:space="preserve"> Celebrity Cruises </w:t>
            </w:r>
          </w:p>
        </w:tc>
        <w:tc>
          <w:tcPr>
            <w:tcW w:w="1985" w:type="dxa"/>
          </w:tcPr>
          <w:p w14:paraId="2D0D7EE9" w14:textId="77777777" w:rsidR="00D116A1" w:rsidRPr="00183564" w:rsidRDefault="00D116A1" w:rsidP="00DB7228">
            <w:pPr>
              <w:pStyle w:val="TableBody"/>
              <w:keepNext/>
              <w:jc w:val="right"/>
              <w:rPr>
                <w:rFonts w:asciiTheme="majorHAnsi" w:hAnsiTheme="majorHAnsi"/>
                <w:color w:val="262626" w:themeColor="text1" w:themeTint="D9"/>
                <w:sz w:val="16"/>
                <w:szCs w:val="18"/>
              </w:rPr>
            </w:pPr>
            <w:r w:rsidRPr="00183564">
              <w:rPr>
                <w:rFonts w:asciiTheme="majorHAnsi" w:hAnsiTheme="majorHAnsi"/>
                <w:sz w:val="16"/>
                <w:szCs w:val="18"/>
              </w:rPr>
              <w:t>48</w:t>
            </w:r>
          </w:p>
        </w:tc>
        <w:tc>
          <w:tcPr>
            <w:tcW w:w="2268" w:type="dxa"/>
          </w:tcPr>
          <w:p w14:paraId="79CA8ED4" w14:textId="77777777" w:rsidR="00D116A1" w:rsidRPr="00183564" w:rsidRDefault="00D116A1" w:rsidP="00DB7228">
            <w:pPr>
              <w:pStyle w:val="TableBody"/>
              <w:keepNext/>
              <w:jc w:val="right"/>
              <w:rPr>
                <w:rFonts w:asciiTheme="majorHAnsi" w:hAnsiTheme="majorHAnsi"/>
                <w:color w:val="262626" w:themeColor="text1" w:themeTint="D9"/>
                <w:sz w:val="16"/>
                <w:szCs w:val="18"/>
              </w:rPr>
            </w:pPr>
            <w:r w:rsidRPr="00183564">
              <w:rPr>
                <w:rFonts w:asciiTheme="majorHAnsi" w:hAnsiTheme="majorHAnsi"/>
                <w:sz w:val="16"/>
                <w:szCs w:val="18"/>
              </w:rPr>
              <w:t>2.3%</w:t>
            </w:r>
          </w:p>
        </w:tc>
      </w:tr>
      <w:tr w:rsidR="00D116A1" w:rsidRPr="00183564" w14:paraId="4D4ACC44" w14:textId="77777777" w:rsidTr="00DB7228">
        <w:trPr>
          <w:trHeight w:val="283"/>
          <w:jc w:val="center"/>
        </w:trPr>
        <w:tc>
          <w:tcPr>
            <w:tcW w:w="3964" w:type="dxa"/>
          </w:tcPr>
          <w:p w14:paraId="3890D1E4" w14:textId="77777777" w:rsidR="00D116A1" w:rsidRPr="00183564" w:rsidRDefault="00D116A1" w:rsidP="00DB7228">
            <w:pPr>
              <w:pStyle w:val="TableBody"/>
              <w:keepNext/>
              <w:rPr>
                <w:rFonts w:asciiTheme="majorHAnsi" w:hAnsiTheme="majorHAnsi"/>
                <w:color w:val="262626" w:themeColor="text1" w:themeTint="D9"/>
                <w:sz w:val="16"/>
                <w:szCs w:val="18"/>
              </w:rPr>
            </w:pPr>
            <w:r w:rsidRPr="00183564">
              <w:rPr>
                <w:rFonts w:asciiTheme="majorHAnsi" w:hAnsiTheme="majorHAnsi"/>
                <w:sz w:val="16"/>
                <w:szCs w:val="18"/>
              </w:rPr>
              <w:t xml:space="preserve"> Other (14 operators) </w:t>
            </w:r>
          </w:p>
        </w:tc>
        <w:tc>
          <w:tcPr>
            <w:tcW w:w="1985" w:type="dxa"/>
          </w:tcPr>
          <w:p w14:paraId="26D0FBDC" w14:textId="77777777" w:rsidR="00D116A1" w:rsidRPr="00183564" w:rsidRDefault="00D116A1" w:rsidP="00DB7228">
            <w:pPr>
              <w:pStyle w:val="TableBody"/>
              <w:keepNext/>
              <w:jc w:val="right"/>
              <w:rPr>
                <w:rFonts w:asciiTheme="majorHAnsi" w:hAnsiTheme="majorHAnsi"/>
                <w:color w:val="262626" w:themeColor="text1" w:themeTint="D9"/>
                <w:sz w:val="16"/>
                <w:szCs w:val="18"/>
              </w:rPr>
            </w:pPr>
            <w:r w:rsidRPr="00183564">
              <w:rPr>
                <w:rFonts w:asciiTheme="majorHAnsi" w:hAnsiTheme="majorHAnsi"/>
                <w:sz w:val="16"/>
                <w:szCs w:val="18"/>
              </w:rPr>
              <w:t>241</w:t>
            </w:r>
          </w:p>
        </w:tc>
        <w:tc>
          <w:tcPr>
            <w:tcW w:w="2268" w:type="dxa"/>
          </w:tcPr>
          <w:p w14:paraId="3A5AED35" w14:textId="77777777" w:rsidR="00D116A1" w:rsidRPr="00183564" w:rsidRDefault="00D116A1" w:rsidP="00DB7228">
            <w:pPr>
              <w:pStyle w:val="TableBody"/>
              <w:keepNext/>
              <w:jc w:val="right"/>
              <w:rPr>
                <w:rFonts w:asciiTheme="majorHAnsi" w:hAnsiTheme="majorHAnsi"/>
                <w:color w:val="262626" w:themeColor="text1" w:themeTint="D9"/>
                <w:sz w:val="16"/>
                <w:szCs w:val="18"/>
              </w:rPr>
            </w:pPr>
            <w:r w:rsidRPr="00183564">
              <w:rPr>
                <w:rFonts w:asciiTheme="majorHAnsi" w:hAnsiTheme="majorHAnsi"/>
                <w:sz w:val="16"/>
                <w:szCs w:val="18"/>
              </w:rPr>
              <w:t>11.5%</w:t>
            </w:r>
          </w:p>
        </w:tc>
      </w:tr>
      <w:tr w:rsidR="00D116A1" w:rsidRPr="00183564" w14:paraId="6F72A719" w14:textId="77777777" w:rsidTr="00DB7228">
        <w:trPr>
          <w:trHeight w:val="350"/>
          <w:jc w:val="center"/>
        </w:trPr>
        <w:tc>
          <w:tcPr>
            <w:tcW w:w="3964" w:type="dxa"/>
            <w:shd w:val="clear" w:color="auto" w:fill="F2F2F2" w:themeFill="background1" w:themeFillShade="F2"/>
          </w:tcPr>
          <w:p w14:paraId="498B2784" w14:textId="77777777" w:rsidR="00D116A1" w:rsidRPr="00183564" w:rsidRDefault="00D116A1" w:rsidP="00DB7228">
            <w:pPr>
              <w:pStyle w:val="TableBody"/>
              <w:keepNext/>
              <w:rPr>
                <w:rFonts w:asciiTheme="majorHAnsi" w:hAnsiTheme="majorHAnsi"/>
                <w:b/>
                <w:color w:val="262626" w:themeColor="text1" w:themeTint="D9"/>
                <w:sz w:val="16"/>
                <w:szCs w:val="18"/>
              </w:rPr>
            </w:pPr>
            <w:r w:rsidRPr="00183564">
              <w:rPr>
                <w:rFonts w:asciiTheme="majorHAnsi" w:hAnsiTheme="majorHAnsi"/>
                <w:b/>
                <w:bCs/>
                <w:sz w:val="16"/>
                <w:szCs w:val="18"/>
              </w:rPr>
              <w:t xml:space="preserve"> Grand Total </w:t>
            </w:r>
            <w:r>
              <w:rPr>
                <w:rFonts w:asciiTheme="majorHAnsi" w:hAnsiTheme="majorHAnsi"/>
                <w:b/>
                <w:bCs/>
                <w:sz w:val="16"/>
                <w:szCs w:val="18"/>
              </w:rPr>
              <w:t>(29 operators)</w:t>
            </w:r>
          </w:p>
        </w:tc>
        <w:tc>
          <w:tcPr>
            <w:tcW w:w="1985" w:type="dxa"/>
            <w:shd w:val="clear" w:color="auto" w:fill="F2F2F2" w:themeFill="background1" w:themeFillShade="F2"/>
          </w:tcPr>
          <w:p w14:paraId="7A77D27C" w14:textId="77777777" w:rsidR="00D116A1" w:rsidRPr="00183564" w:rsidRDefault="00D116A1" w:rsidP="00DB7228">
            <w:pPr>
              <w:pStyle w:val="TableBody"/>
              <w:keepNext/>
              <w:jc w:val="right"/>
              <w:rPr>
                <w:rFonts w:asciiTheme="majorHAnsi" w:hAnsiTheme="majorHAnsi"/>
                <w:b/>
                <w:color w:val="262626" w:themeColor="text1" w:themeTint="D9"/>
                <w:sz w:val="16"/>
                <w:szCs w:val="18"/>
              </w:rPr>
            </w:pPr>
            <w:r w:rsidRPr="00183564">
              <w:rPr>
                <w:rFonts w:asciiTheme="majorHAnsi" w:hAnsiTheme="majorHAnsi"/>
                <w:b/>
                <w:bCs/>
                <w:sz w:val="16"/>
                <w:szCs w:val="18"/>
              </w:rPr>
              <w:t>2,092</w:t>
            </w:r>
          </w:p>
        </w:tc>
        <w:tc>
          <w:tcPr>
            <w:tcW w:w="2268" w:type="dxa"/>
            <w:shd w:val="clear" w:color="auto" w:fill="F2F2F2" w:themeFill="background1" w:themeFillShade="F2"/>
          </w:tcPr>
          <w:p w14:paraId="61D2CF96" w14:textId="77777777" w:rsidR="00D116A1" w:rsidRPr="00183564" w:rsidRDefault="00D116A1" w:rsidP="00DB7228">
            <w:pPr>
              <w:pStyle w:val="TableBody"/>
              <w:keepNext/>
              <w:jc w:val="right"/>
              <w:rPr>
                <w:rFonts w:asciiTheme="majorHAnsi" w:hAnsiTheme="majorHAnsi"/>
                <w:b/>
                <w:color w:val="262626" w:themeColor="text1" w:themeTint="D9"/>
                <w:sz w:val="16"/>
                <w:szCs w:val="18"/>
              </w:rPr>
            </w:pPr>
            <w:r w:rsidRPr="00183564">
              <w:rPr>
                <w:rFonts w:asciiTheme="majorHAnsi" w:hAnsiTheme="majorHAnsi"/>
                <w:b/>
                <w:bCs/>
                <w:sz w:val="16"/>
                <w:szCs w:val="18"/>
              </w:rPr>
              <w:t>100.0%</w:t>
            </w:r>
          </w:p>
        </w:tc>
      </w:tr>
    </w:tbl>
    <w:p w14:paraId="1C8162B8" w14:textId="4DD93F25" w:rsidR="00D116A1" w:rsidRPr="00183564" w:rsidRDefault="00D116A1" w:rsidP="00D116A1">
      <w:pPr>
        <w:pStyle w:val="Caption"/>
        <w:ind w:left="720" w:firstLine="0"/>
        <w:jc w:val="center"/>
      </w:pPr>
      <w:r>
        <w:t xml:space="preserve">Table </w:t>
      </w:r>
      <w:r w:rsidR="00733E8D">
        <w:fldChar w:fldCharType="begin"/>
      </w:r>
      <w:r w:rsidR="00733E8D">
        <w:instrText xml:space="preserve"> SEQ Table \* ARABIC </w:instrText>
      </w:r>
      <w:r w:rsidR="00733E8D">
        <w:fldChar w:fldCharType="separate"/>
      </w:r>
      <w:r>
        <w:rPr>
          <w:noProof/>
        </w:rPr>
        <w:t>7</w:t>
      </w:r>
      <w:r w:rsidR="00733E8D">
        <w:rPr>
          <w:noProof/>
        </w:rPr>
        <w:fldChar w:fldCharType="end"/>
      </w:r>
      <w:r>
        <w:t xml:space="preserve"> – </w:t>
      </w:r>
      <w:r w:rsidRPr="00183564">
        <w:t>Cruise Ship Visits to Australian Shores in 2019 Calendar Year</w:t>
      </w:r>
    </w:p>
    <w:p w14:paraId="2AB4F168" w14:textId="77777777" w:rsidR="00D116A1" w:rsidRPr="0069646E" w:rsidRDefault="00D116A1" w:rsidP="00D116A1">
      <w:pPr>
        <w:pStyle w:val="ListParagraph"/>
        <w:numPr>
          <w:ilvl w:val="0"/>
          <w:numId w:val="27"/>
        </w:numPr>
      </w:pPr>
      <w:r>
        <w:t>Number of times activities are performed per annum:</w:t>
      </w:r>
    </w:p>
    <w:p w14:paraId="7A9DDDF9" w14:textId="77777777" w:rsidR="00D116A1" w:rsidRPr="0069646E" w:rsidRDefault="00D116A1" w:rsidP="00D116A1">
      <w:pPr>
        <w:pStyle w:val="ListParagraph"/>
        <w:numPr>
          <w:ilvl w:val="1"/>
          <w:numId w:val="27"/>
        </w:numPr>
      </w:pPr>
      <w:r>
        <w:t>2,092 cruise ship arrivals occurred in 2019, across 29 cruise operators. I.e. an average of 72 arrivals per business. As the additional pre-arrival reporting is required for each arrival, 72 was used as the value for “number of times activity is performed” per staff member (for simplicity it was assumed that one staff member performs each task, for each operator).</w:t>
      </w:r>
    </w:p>
    <w:p w14:paraId="15598655" w14:textId="77777777" w:rsidR="00D116A1" w:rsidRDefault="00D116A1" w:rsidP="00D116A1">
      <w:pPr>
        <w:pStyle w:val="BodyText"/>
        <w:numPr>
          <w:ilvl w:val="0"/>
          <w:numId w:val="27"/>
        </w:numPr>
      </w:pPr>
      <w:r>
        <w:t xml:space="preserve">Hours of effort for a person to perform the task each time: </w:t>
      </w:r>
    </w:p>
    <w:p w14:paraId="26831B82" w14:textId="77777777" w:rsidR="00D116A1" w:rsidRDefault="00D116A1" w:rsidP="00D116A1">
      <w:pPr>
        <w:pStyle w:val="BodyText"/>
        <w:numPr>
          <w:ilvl w:val="1"/>
          <w:numId w:val="27"/>
        </w:numPr>
      </w:pPr>
      <w:r>
        <w:t>Perform updated cruise vessel pre-arrival reporting = 1.0 hours</w:t>
      </w:r>
    </w:p>
    <w:p w14:paraId="0EC31FA6" w14:textId="77777777" w:rsidR="00D116A1" w:rsidRDefault="00D116A1" w:rsidP="00D116A1">
      <w:pPr>
        <w:pStyle w:val="BodyText"/>
        <w:numPr>
          <w:ilvl w:val="0"/>
          <w:numId w:val="27"/>
        </w:numPr>
      </w:pPr>
      <w:r>
        <w:t>Staff used to perform the task: non managerial employee with wage rate of $41.74 per hour at 75 per cent overheads and on-costs.</w:t>
      </w:r>
    </w:p>
    <w:p w14:paraId="6EA1D97A" w14:textId="77777777" w:rsidR="00D116A1" w:rsidRDefault="00D116A1" w:rsidP="00D116A1">
      <w:pPr>
        <w:pStyle w:val="BodyText"/>
        <w:numPr>
          <w:ilvl w:val="0"/>
          <w:numId w:val="27"/>
        </w:numPr>
      </w:pPr>
      <w:r>
        <w:t>Calculations:</w:t>
      </w:r>
    </w:p>
    <w:p w14:paraId="522103AC" w14:textId="77777777" w:rsidR="00D116A1" w:rsidRDefault="00D116A1" w:rsidP="00D116A1">
      <w:pPr>
        <w:pStyle w:val="BodyText"/>
        <w:numPr>
          <w:ilvl w:val="1"/>
          <w:numId w:val="27"/>
        </w:numPr>
      </w:pPr>
      <w:r>
        <w:t>Annual activity cost = $41.74 * 1.75 * 1.0 * 29 * 72 = $152,518.</w:t>
      </w:r>
    </w:p>
    <w:p w14:paraId="5796BC1E" w14:textId="076E5301" w:rsidR="00D116A1" w:rsidRDefault="00D116A1" w:rsidP="00D116A1">
      <w:r>
        <w:t xml:space="preserve">As reflected in </w:t>
      </w:r>
      <w:r>
        <w:fldChar w:fldCharType="begin"/>
      </w:r>
      <w:r>
        <w:instrText xml:space="preserve"> REF _Ref78897159 \h </w:instrText>
      </w:r>
      <w:r>
        <w:fldChar w:fldCharType="separate"/>
      </w:r>
      <w:r>
        <w:t xml:space="preserve">Table </w:t>
      </w:r>
      <w:r>
        <w:rPr>
          <w:noProof/>
        </w:rPr>
        <w:t>6</w:t>
      </w:r>
      <w:r>
        <w:fldChar w:fldCharType="end"/>
      </w:r>
      <w:r>
        <w:t xml:space="preserve"> above, the component of the regulatory burden estimate which relates to multiple pre-arrival reporting amounts to $0.153m per annum. This estimate assumes that the </w:t>
      </w:r>
      <w:r w:rsidR="00DA319D">
        <w:t xml:space="preserve">further </w:t>
      </w:r>
      <w:r>
        <w:t xml:space="preserve">report will be limited to questions on human health matters, and that the MARS input form will either be pre-populated with the information previously reported or will ask for updated information only. In either case, the labour effort required would be minimal. Through consultation with industry and various government departments as outlined above, one activity was identified (update and submit pre-arrival reporting). It is assumed that this activity will require 1.0 hours of effort. </w:t>
      </w:r>
    </w:p>
    <w:p w14:paraId="4CBBB48C" w14:textId="77777777" w:rsidR="00D116A1" w:rsidRPr="00F13BCF" w:rsidRDefault="00D116A1" w:rsidP="00F13BCF">
      <w:pPr>
        <w:keepNext/>
        <w:spacing w:before="240"/>
        <w:rPr>
          <w:b/>
          <w:lang w:eastAsia="en-AU"/>
        </w:rPr>
      </w:pPr>
      <w:r w:rsidRPr="00F13BCF">
        <w:rPr>
          <w:b/>
          <w:lang w:eastAsia="en-AU"/>
        </w:rPr>
        <w:t>Updated information reporting</w:t>
      </w:r>
    </w:p>
    <w:p w14:paraId="580A3D0B" w14:textId="2E7309D5" w:rsidR="00D116A1" w:rsidRPr="008B1772" w:rsidRDefault="00D116A1" w:rsidP="00D116A1">
      <w:r w:rsidRPr="008B1772">
        <w:t>Option 3 includes a requirement to update pre-</w:t>
      </w:r>
      <w:r w:rsidR="00974BC2">
        <w:t>arrival</w:t>
      </w:r>
      <w:r w:rsidRPr="008B1772">
        <w:t xml:space="preserve"> reporting when there is a change in health circumstances aboard a vessel or aircraft. This could be seen as an extension of the current requirement to correct or complete information. </w:t>
      </w:r>
    </w:p>
    <w:p w14:paraId="1BD4B533" w14:textId="680ED021" w:rsidR="00D116A1" w:rsidRPr="008B1772" w:rsidRDefault="00D116A1" w:rsidP="00D116A1">
      <w:r w:rsidRPr="008B1772">
        <w:lastRenderedPageBreak/>
        <w:t xml:space="preserve">This requirement will impose a regulatory burden on the operators of aircraft or vessels, although quantifying that burden is challenging as it is based on exceptional circumstances arising. For cruise ships, any changes aboard will typically be captured by the proposed new requirement for a </w:t>
      </w:r>
      <w:r w:rsidR="00DA319D">
        <w:t xml:space="preserve">further </w:t>
      </w:r>
      <w:r w:rsidRPr="008B1772">
        <w:t xml:space="preserve">PAR, although the requirement for updating information will continue beyond the PAR. </w:t>
      </w:r>
    </w:p>
    <w:p w14:paraId="4A383613" w14:textId="1B29DFC7" w:rsidR="00D116A1" w:rsidRPr="008B1772" w:rsidRDefault="00DA319D" w:rsidP="00D116A1">
      <w:r>
        <w:t>T</w:t>
      </w:r>
      <w:r w:rsidR="00D116A1" w:rsidRPr="008B1772">
        <w:t xml:space="preserve">he requirement to provide updated reporting will </w:t>
      </w:r>
      <w:r>
        <w:t xml:space="preserve">also </w:t>
      </w:r>
      <w:r w:rsidR="00D116A1" w:rsidRPr="008B1772">
        <w:t>apply to</w:t>
      </w:r>
      <w:r>
        <w:t xml:space="preserve"> </w:t>
      </w:r>
      <w:r w:rsidRPr="008B1772">
        <w:t>commercial vessels other than cruise ships</w:t>
      </w:r>
      <w:r>
        <w:t xml:space="preserve">, which </w:t>
      </w:r>
      <w:r w:rsidRPr="008B1772">
        <w:t>typically carry much smaller numbers of crew and passengers</w:t>
      </w:r>
      <w:r w:rsidR="00D116A1" w:rsidRPr="008B1772">
        <w:t>. The Inspector-General of Biosecurity’s report identified 11 commercial vessels (</w:t>
      </w:r>
      <w:r w:rsidR="00D116A1">
        <w:t>plus two</w:t>
      </w:r>
      <w:r w:rsidR="00D116A1" w:rsidRPr="008B1772">
        <w:t xml:space="preserve"> cruise ships) with confirmed cases of COVID-19 in the period February-October 2020.</w:t>
      </w:r>
    </w:p>
    <w:p w14:paraId="697F5ADB" w14:textId="307AA6E4" w:rsidR="00D116A1" w:rsidRPr="008B1772" w:rsidRDefault="00D116A1" w:rsidP="00D116A1">
      <w:r w:rsidRPr="008B1772">
        <w:t xml:space="preserve">Unlike the commercial vessel environment where there are medical officers on cruise vessels, or first aid officers for a small number of crew on a commercial vessel, the aircraft environment involves passengers in close physical proximity for a comparatively short period of time. Unless very unwell during the flight, it is unlikely that a passenger will notify the crew. These factors </w:t>
      </w:r>
      <w:r w:rsidR="00DA319D">
        <w:t xml:space="preserve">may </w:t>
      </w:r>
      <w:r w:rsidRPr="008B1772">
        <w:t>reduce the likelihood of ill passengers self-identifying as sick for on</w:t>
      </w:r>
      <w:r>
        <w:t>-</w:t>
      </w:r>
      <w:r w:rsidRPr="008B1772">
        <w:t>arrival assessment.</w:t>
      </w:r>
      <w:r>
        <w:t xml:space="preserve"> </w:t>
      </w:r>
      <w:r>
        <w:rPr>
          <w:rStyle w:val="BodyTextChar"/>
        </w:rPr>
        <w:t>While there will be some additional regulatory burden for aircraft</w:t>
      </w:r>
      <w:r w:rsidRPr="002C12C3">
        <w:rPr>
          <w:rStyle w:val="BodyTextChar"/>
        </w:rPr>
        <w:t>, any new requirements for updated information are likely to be less burdensome for aircraft than for vessels</w:t>
      </w:r>
      <w:r>
        <w:rPr>
          <w:rStyle w:val="BodyTextChar"/>
        </w:rPr>
        <w:t xml:space="preserve"> as the information is less likely to be available to the aircraft crew</w:t>
      </w:r>
      <w:r w:rsidRPr="002C12C3">
        <w:rPr>
          <w:rStyle w:val="BodyTextChar"/>
        </w:rPr>
        <w:t>.</w:t>
      </w:r>
    </w:p>
    <w:p w14:paraId="55CD693C" w14:textId="77777777" w:rsidR="00D116A1" w:rsidRDefault="00D116A1" w:rsidP="00F13BCF">
      <w:pPr>
        <w:keepNext/>
      </w:pPr>
      <w:r>
        <w:t>A regulatory burden estimate was derived for “</w:t>
      </w:r>
      <w:r w:rsidRPr="0044796A">
        <w:t>Requirements to update pre-arrival reporting</w:t>
      </w:r>
      <w:r>
        <w:t>”, as follows:</w:t>
      </w:r>
    </w:p>
    <w:p w14:paraId="444B0F4B" w14:textId="77777777" w:rsidR="00D116A1" w:rsidRDefault="00D116A1" w:rsidP="00D116A1">
      <w:pPr>
        <w:pStyle w:val="ListParagraph"/>
        <w:numPr>
          <w:ilvl w:val="0"/>
          <w:numId w:val="27"/>
        </w:numPr>
      </w:pPr>
      <w:r>
        <w:t>Number of times activities are performed per annum:</w:t>
      </w:r>
    </w:p>
    <w:p w14:paraId="0E968AB0" w14:textId="1D9A1CC7" w:rsidR="00D116A1" w:rsidRDefault="00D116A1" w:rsidP="00D116A1">
      <w:pPr>
        <w:ind w:left="720"/>
      </w:pPr>
      <w:r>
        <w:t xml:space="preserve">As noted above, 13 vessels (11 commercial and two cruise ships) with confirmed COVID cases were reported in a </w:t>
      </w:r>
      <w:proofErr w:type="gramStart"/>
      <w:r>
        <w:t>nine month</w:t>
      </w:r>
      <w:proofErr w:type="gramEnd"/>
      <w:r>
        <w:t xml:space="preserve"> </w:t>
      </w:r>
      <w:r w:rsidR="00D45376">
        <w:t>period and</w:t>
      </w:r>
      <w:r>
        <w:t xml:space="preserve"> would therefore have been expected to provide additional reporting. For this estimate a total of 50 reporting instances were assumed, across vessels as well as aircraft. Confidence in this estimate is low, but the overall effect is unlikely to be significant.</w:t>
      </w:r>
    </w:p>
    <w:p w14:paraId="40533EA1" w14:textId="77777777" w:rsidR="00D116A1" w:rsidRDefault="00D116A1" w:rsidP="00D116A1">
      <w:pPr>
        <w:pStyle w:val="BodyText"/>
        <w:numPr>
          <w:ilvl w:val="0"/>
          <w:numId w:val="27"/>
        </w:numPr>
      </w:pPr>
      <w:r>
        <w:t>Calculations:</w:t>
      </w:r>
    </w:p>
    <w:p w14:paraId="54968546" w14:textId="77777777" w:rsidR="00D116A1" w:rsidRDefault="00D116A1" w:rsidP="00D116A1">
      <w:pPr>
        <w:pStyle w:val="BodyText"/>
        <w:numPr>
          <w:ilvl w:val="1"/>
          <w:numId w:val="27"/>
        </w:numPr>
      </w:pPr>
      <w:r>
        <w:t>Annual activity cost = $41.74 * 1.75 * 1.0 * 50 * 1 = $3,652.</w:t>
      </w:r>
    </w:p>
    <w:p w14:paraId="2D839FA7" w14:textId="77777777" w:rsidR="00D116A1" w:rsidRPr="00F13BCF" w:rsidRDefault="00D116A1" w:rsidP="00F13BCF">
      <w:pPr>
        <w:keepNext/>
        <w:spacing w:before="240"/>
        <w:rPr>
          <w:b/>
          <w:lang w:eastAsia="en-AU"/>
        </w:rPr>
      </w:pPr>
      <w:r w:rsidRPr="00F13BCF">
        <w:rPr>
          <w:b/>
          <w:lang w:eastAsia="en-AU"/>
        </w:rPr>
        <w:t>Human Biosecurity Group Directions</w:t>
      </w:r>
    </w:p>
    <w:p w14:paraId="2D909F9D" w14:textId="55019988" w:rsidR="00D116A1" w:rsidRPr="00183564" w:rsidRDefault="00D116A1" w:rsidP="00D116A1">
      <w:r w:rsidRPr="00183564">
        <w:t xml:space="preserve">Under the proposed amendments to the Act, </w:t>
      </w:r>
      <w:r w:rsidR="00DA319D">
        <w:t xml:space="preserve">a group of </w:t>
      </w:r>
      <w:r w:rsidRPr="00183564">
        <w:t xml:space="preserve">individuals </w:t>
      </w:r>
      <w:r w:rsidR="00DA319D">
        <w:t xml:space="preserve">may be </w:t>
      </w:r>
      <w:r w:rsidRPr="00183564">
        <w:t xml:space="preserve">subject to a </w:t>
      </w:r>
      <w:r w:rsidR="000F4F26">
        <w:t>human biosecurity group direction (</w:t>
      </w:r>
      <w:r w:rsidRPr="00183564">
        <w:t>HBGD</w:t>
      </w:r>
      <w:r w:rsidR="000F4F26">
        <w:t>)</w:t>
      </w:r>
      <w:r>
        <w:t>.</w:t>
      </w:r>
      <w:r w:rsidRPr="00183564">
        <w:t xml:space="preserve"> Such a direction would result in a regulatory burden on businesses and individuals, as follows: </w:t>
      </w:r>
    </w:p>
    <w:p w14:paraId="06CC65A2" w14:textId="609B4B45" w:rsidR="00D116A1" w:rsidRPr="00183564" w:rsidRDefault="00D116A1" w:rsidP="00D116A1">
      <w:pPr>
        <w:pStyle w:val="EmphasisPanelBullet"/>
        <w:pBdr>
          <w:top w:val="none" w:sz="0" w:space="0" w:color="auto"/>
          <w:left w:val="none" w:sz="0" w:space="0" w:color="auto"/>
          <w:bottom w:val="none" w:sz="0" w:space="0" w:color="auto"/>
          <w:right w:val="none" w:sz="0" w:space="0" w:color="auto"/>
        </w:pBdr>
        <w:shd w:val="clear" w:color="auto" w:fill="auto"/>
        <w:rPr>
          <w:lang w:val="en-AU"/>
        </w:rPr>
      </w:pPr>
      <w:r w:rsidRPr="00183564">
        <w:rPr>
          <w:lang w:val="en-AU"/>
        </w:rPr>
        <w:t xml:space="preserve">Individuals: personal cost to passengers (and in some instances crew) held on the </w:t>
      </w:r>
      <w:r w:rsidR="00DA319D">
        <w:rPr>
          <w:lang w:val="en-AU"/>
        </w:rPr>
        <w:t xml:space="preserve">aircraft or </w:t>
      </w:r>
      <w:r w:rsidRPr="00183564">
        <w:rPr>
          <w:lang w:val="en-AU"/>
        </w:rPr>
        <w:t xml:space="preserve">vessel for longer than anticipated, e.g., loss of wages, reorganising travel, travel cancellation costs, missed connections, and health care costs </w:t>
      </w:r>
      <w:proofErr w:type="gramStart"/>
      <w:r w:rsidRPr="00183564">
        <w:rPr>
          <w:lang w:val="en-AU"/>
        </w:rPr>
        <w:t>as a result of</w:t>
      </w:r>
      <w:proofErr w:type="gramEnd"/>
      <w:r w:rsidRPr="00183564">
        <w:rPr>
          <w:lang w:val="en-AU"/>
        </w:rPr>
        <w:t xml:space="preserve"> contracting illness while </w:t>
      </w:r>
      <w:r>
        <w:rPr>
          <w:lang w:val="en-AU"/>
        </w:rPr>
        <w:t xml:space="preserve">the </w:t>
      </w:r>
      <w:r w:rsidR="00DA319D">
        <w:rPr>
          <w:lang w:val="en-AU"/>
        </w:rPr>
        <w:t xml:space="preserve">aircraft or </w:t>
      </w:r>
      <w:r>
        <w:rPr>
          <w:lang w:val="en-AU"/>
        </w:rPr>
        <w:t xml:space="preserve">vessel has </w:t>
      </w:r>
      <w:r w:rsidRPr="00183564">
        <w:rPr>
          <w:lang w:val="en-AU"/>
        </w:rPr>
        <w:t xml:space="preserve">negative pratique </w:t>
      </w:r>
      <w:r>
        <w:rPr>
          <w:lang w:val="en-AU"/>
        </w:rPr>
        <w:t>status</w:t>
      </w:r>
      <w:r w:rsidRPr="00183564">
        <w:rPr>
          <w:lang w:val="en-AU"/>
        </w:rPr>
        <w:t>.</w:t>
      </w:r>
    </w:p>
    <w:p w14:paraId="0DC75AA5" w14:textId="5CD5CC07" w:rsidR="00D116A1" w:rsidRDefault="00D116A1" w:rsidP="00D116A1">
      <w:r>
        <w:t xml:space="preserve">Under current legislation, the alternative to </w:t>
      </w:r>
      <w:r w:rsidR="00DA319D">
        <w:t xml:space="preserve">a HBGD </w:t>
      </w:r>
      <w:r>
        <w:t xml:space="preserve">would be to limit the movement of specific individuals by means of a Human Biosecurity Control Order (HBCO). </w:t>
      </w:r>
      <w:r w:rsidR="000F4F26">
        <w:t>As a HBGD would only be imposed for a short duration of time, t</w:t>
      </w:r>
      <w:r>
        <w:t xml:space="preserve">his would reduce the impact on businesses </w:t>
      </w:r>
      <w:proofErr w:type="gramStart"/>
      <w:r>
        <w:t>on-shore</w:t>
      </w:r>
      <w:proofErr w:type="gramEnd"/>
      <w:r>
        <w:t>, compared to the status quo where</w:t>
      </w:r>
      <w:r w:rsidR="000F4F26">
        <w:t xml:space="preserve"> a more lengthy HBCO may be used</w:t>
      </w:r>
      <w:r>
        <w:t>.</w:t>
      </w:r>
    </w:p>
    <w:p w14:paraId="2E1F97E9" w14:textId="717FBBD8" w:rsidR="00D116A1" w:rsidRDefault="00D116A1" w:rsidP="00D116A1">
      <w:pPr>
        <w:pStyle w:val="BodyText"/>
      </w:pPr>
      <w:r w:rsidRPr="00CD2F1F">
        <w:t>The regulatory burden imposed on individuals, business</w:t>
      </w:r>
      <w:r>
        <w:t>es,</w:t>
      </w:r>
      <w:r w:rsidRPr="00CD2F1F">
        <w:t xml:space="preserve"> and community organisations </w:t>
      </w:r>
      <w:proofErr w:type="gramStart"/>
      <w:r w:rsidRPr="00CD2F1F">
        <w:t>as a result of</w:t>
      </w:r>
      <w:proofErr w:type="gramEnd"/>
      <w:r w:rsidRPr="00CD2F1F">
        <w:t xml:space="preserve"> the introduction of a </w:t>
      </w:r>
      <w:r w:rsidR="000F4F26">
        <w:t xml:space="preserve">HBGD </w:t>
      </w:r>
      <w:r w:rsidRPr="00CD2F1F">
        <w:t xml:space="preserve">would be dependent on </w:t>
      </w:r>
      <w:r>
        <w:t>a wide range of</w:t>
      </w:r>
      <w:r w:rsidRPr="00CD2F1F">
        <w:t xml:space="preserve"> variables, such as the frequency and duration of </w:t>
      </w:r>
      <w:r>
        <w:t>the directions</w:t>
      </w:r>
      <w:r w:rsidRPr="00CD2F1F">
        <w:t>, as well as the specific details of each</w:t>
      </w:r>
      <w:r>
        <w:t xml:space="preserve"> case</w:t>
      </w:r>
      <w:r w:rsidRPr="00CD2F1F">
        <w:t xml:space="preserve">. </w:t>
      </w:r>
      <w:r>
        <w:t xml:space="preserve">This depends on the </w:t>
      </w:r>
      <w:r w:rsidRPr="00CD2F1F">
        <w:t>risk</w:t>
      </w:r>
      <w:r>
        <w:t>s</w:t>
      </w:r>
      <w:r w:rsidRPr="00CD2F1F">
        <w:t xml:space="preserve"> identified </w:t>
      </w:r>
      <w:r>
        <w:t xml:space="preserve">as well as the </w:t>
      </w:r>
      <w:r w:rsidRPr="00CD2F1F">
        <w:t>mitigat</w:t>
      </w:r>
      <w:r>
        <w:t>ory</w:t>
      </w:r>
      <w:r w:rsidRPr="00CD2F1F">
        <w:t xml:space="preserve"> action</w:t>
      </w:r>
      <w:r>
        <w:t>s required in each case</w:t>
      </w:r>
      <w:r w:rsidRPr="00CD2F1F">
        <w:t xml:space="preserve">. </w:t>
      </w:r>
    </w:p>
    <w:p w14:paraId="0D139512" w14:textId="4C564940" w:rsidR="00D116A1" w:rsidRDefault="000F4F26" w:rsidP="00D116A1">
      <w:pPr>
        <w:pStyle w:val="BodyText"/>
      </w:pPr>
      <w:r>
        <w:t>Table 8</w:t>
      </w:r>
      <w:r w:rsidR="00D116A1">
        <w:t xml:space="preserve"> below outlines three anticipated scenarios, which vary from a highly conservative estimate (higher cost) to a highly optimistic scenario (</w:t>
      </w:r>
      <w:r w:rsidR="00D45376">
        <w:t>i.e.,</w:t>
      </w:r>
      <w:r w:rsidR="00D116A1">
        <w:t xml:space="preserve"> lower cost).</w:t>
      </w:r>
    </w:p>
    <w:p w14:paraId="434A9BB2" w14:textId="77777777" w:rsidR="00D116A1" w:rsidRDefault="00D116A1" w:rsidP="00D116A1">
      <w:pPr>
        <w:pStyle w:val="BodyText"/>
        <w:keepNext/>
        <w:spacing w:after="60"/>
      </w:pPr>
      <w:r>
        <w:t>As per the Regulatory Burden Measurement Framework, the following activities were identified:</w:t>
      </w:r>
    </w:p>
    <w:p w14:paraId="2043D26F" w14:textId="77777777" w:rsidR="00D116A1" w:rsidRDefault="00D116A1" w:rsidP="00D116A1">
      <w:pPr>
        <w:pStyle w:val="BodyText"/>
        <w:numPr>
          <w:ilvl w:val="0"/>
          <w:numId w:val="23"/>
        </w:numPr>
        <w:spacing w:after="20"/>
        <w:ind w:left="714" w:hanging="357"/>
      </w:pPr>
      <w:r>
        <w:t>individual/s may be prevented from disembarking a vessel or aircraft</w:t>
      </w:r>
    </w:p>
    <w:p w14:paraId="64ECACD6" w14:textId="77777777" w:rsidR="00D116A1" w:rsidRDefault="00D116A1" w:rsidP="00D116A1">
      <w:pPr>
        <w:pStyle w:val="BodyText"/>
        <w:numPr>
          <w:ilvl w:val="0"/>
          <w:numId w:val="23"/>
        </w:numPr>
        <w:spacing w:after="20"/>
        <w:ind w:left="714" w:hanging="357"/>
      </w:pPr>
      <w:r>
        <w:t>individual/s may be required to move to a designated area to be isolated from other travellers</w:t>
      </w:r>
    </w:p>
    <w:p w14:paraId="66AF76A4" w14:textId="77777777" w:rsidR="00D116A1" w:rsidRPr="00183564" w:rsidRDefault="00D116A1" w:rsidP="00D116A1">
      <w:pPr>
        <w:pStyle w:val="BodyText"/>
        <w:numPr>
          <w:ilvl w:val="0"/>
          <w:numId w:val="23"/>
        </w:numPr>
      </w:pPr>
      <w:r>
        <w:t>individual/s may be required to wear PPE or may undergo testing</w:t>
      </w:r>
    </w:p>
    <w:tbl>
      <w:tblPr>
        <w:tblW w:w="10196" w:type="dxa"/>
        <w:tblLook w:val="04A0" w:firstRow="1" w:lastRow="0" w:firstColumn="1" w:lastColumn="0" w:noHBand="0" w:noVBand="1"/>
      </w:tblPr>
      <w:tblGrid>
        <w:gridCol w:w="3676"/>
        <w:gridCol w:w="1052"/>
        <w:gridCol w:w="1358"/>
        <w:gridCol w:w="1275"/>
        <w:gridCol w:w="851"/>
        <w:gridCol w:w="992"/>
        <w:gridCol w:w="992"/>
      </w:tblGrid>
      <w:tr w:rsidR="00D116A1" w:rsidRPr="00EE6C3B" w14:paraId="2F90FE33" w14:textId="77777777" w:rsidTr="00F13BCF">
        <w:trPr>
          <w:trHeight w:val="879"/>
        </w:trPr>
        <w:tc>
          <w:tcPr>
            <w:tcW w:w="3676" w:type="dxa"/>
            <w:tcBorders>
              <w:top w:val="single" w:sz="8" w:space="0" w:color="auto"/>
              <w:left w:val="single" w:sz="8" w:space="0" w:color="auto"/>
              <w:bottom w:val="single" w:sz="4" w:space="0" w:color="auto"/>
              <w:right w:val="single" w:sz="4" w:space="0" w:color="auto"/>
            </w:tcBorders>
            <w:shd w:val="clear" w:color="auto" w:fill="014463" w:themeFill="text2"/>
            <w:hideMark/>
          </w:tcPr>
          <w:p w14:paraId="746756CE" w14:textId="77777777"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lastRenderedPageBreak/>
              <w:t>Scenario</w:t>
            </w:r>
          </w:p>
        </w:tc>
        <w:tc>
          <w:tcPr>
            <w:tcW w:w="1052" w:type="dxa"/>
            <w:tcBorders>
              <w:top w:val="single" w:sz="8" w:space="0" w:color="auto"/>
              <w:left w:val="nil"/>
              <w:bottom w:val="single" w:sz="4" w:space="0" w:color="auto"/>
              <w:right w:val="single" w:sz="4" w:space="0" w:color="auto"/>
            </w:tcBorders>
            <w:shd w:val="clear" w:color="auto" w:fill="014463" w:themeFill="text2"/>
            <w:hideMark/>
          </w:tcPr>
          <w:p w14:paraId="3B7A05E3" w14:textId="77777777"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t xml:space="preserve"> # of individuals affected by activity </w:t>
            </w:r>
          </w:p>
        </w:tc>
        <w:tc>
          <w:tcPr>
            <w:tcW w:w="1358" w:type="dxa"/>
            <w:tcBorders>
              <w:top w:val="single" w:sz="8" w:space="0" w:color="auto"/>
              <w:left w:val="nil"/>
              <w:bottom w:val="single" w:sz="4" w:space="0" w:color="auto"/>
              <w:right w:val="single" w:sz="4" w:space="0" w:color="auto"/>
            </w:tcBorders>
            <w:shd w:val="clear" w:color="auto" w:fill="014463" w:themeFill="text2"/>
            <w:hideMark/>
          </w:tcPr>
          <w:p w14:paraId="5340A26A" w14:textId="77777777"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t xml:space="preserve"> # of times activity performed per individual (annually) </w:t>
            </w:r>
          </w:p>
        </w:tc>
        <w:tc>
          <w:tcPr>
            <w:tcW w:w="1275" w:type="dxa"/>
            <w:tcBorders>
              <w:top w:val="single" w:sz="8" w:space="0" w:color="auto"/>
              <w:left w:val="nil"/>
              <w:bottom w:val="single" w:sz="4" w:space="0" w:color="auto"/>
              <w:right w:val="single" w:sz="4" w:space="0" w:color="auto"/>
            </w:tcBorders>
            <w:shd w:val="clear" w:color="auto" w:fill="014463" w:themeFill="text2"/>
            <w:hideMark/>
          </w:tcPr>
          <w:p w14:paraId="71A3AB40" w14:textId="77777777"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t xml:space="preserve"> Avg. time of </w:t>
            </w:r>
            <w:proofErr w:type="gramStart"/>
            <w:r w:rsidRPr="00EE6C3B">
              <w:rPr>
                <w:rFonts w:asciiTheme="majorHAnsi" w:eastAsia="Times New Roman" w:hAnsiTheme="majorHAnsi" w:cs="Arial"/>
                <w:b/>
                <w:color w:val="FFFFFF"/>
                <w:sz w:val="16"/>
                <w:szCs w:val="16"/>
                <w:lang w:eastAsia="en-AU"/>
              </w:rPr>
              <w:t>each individual</w:t>
            </w:r>
            <w:proofErr w:type="gramEnd"/>
            <w:r w:rsidRPr="00EE6C3B">
              <w:rPr>
                <w:rFonts w:asciiTheme="majorHAnsi" w:eastAsia="Times New Roman" w:hAnsiTheme="majorHAnsi" w:cs="Arial"/>
                <w:b/>
                <w:color w:val="FFFFFF"/>
                <w:sz w:val="16"/>
                <w:szCs w:val="16"/>
                <w:lang w:eastAsia="en-AU"/>
              </w:rPr>
              <w:t xml:space="preserve"> to do activity (in hrs) </w:t>
            </w:r>
          </w:p>
        </w:tc>
        <w:tc>
          <w:tcPr>
            <w:tcW w:w="851" w:type="dxa"/>
            <w:tcBorders>
              <w:top w:val="single" w:sz="8" w:space="0" w:color="auto"/>
              <w:left w:val="nil"/>
              <w:bottom w:val="single" w:sz="4" w:space="0" w:color="auto"/>
              <w:right w:val="single" w:sz="4" w:space="0" w:color="auto"/>
            </w:tcBorders>
            <w:shd w:val="clear" w:color="auto" w:fill="014463" w:themeFill="text2"/>
            <w:hideMark/>
          </w:tcPr>
          <w:p w14:paraId="2EEDA1EC" w14:textId="77777777"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t xml:space="preserve"> Labour cost ($/hr)</w:t>
            </w:r>
            <w:r w:rsidRPr="00EE6C3B">
              <w:rPr>
                <w:rFonts w:asciiTheme="majorHAnsi" w:eastAsia="Times New Roman" w:hAnsiTheme="majorHAnsi" w:cs="Arial"/>
                <w:b/>
                <w:color w:val="FFFFFF"/>
                <w:sz w:val="16"/>
                <w:szCs w:val="16"/>
                <w:lang w:eastAsia="en-AU"/>
              </w:rPr>
              <w:br/>
              <w:t xml:space="preserve">(wage cost) </w:t>
            </w:r>
          </w:p>
        </w:tc>
        <w:tc>
          <w:tcPr>
            <w:tcW w:w="992" w:type="dxa"/>
            <w:tcBorders>
              <w:top w:val="single" w:sz="8" w:space="0" w:color="auto"/>
              <w:left w:val="nil"/>
              <w:bottom w:val="single" w:sz="4" w:space="0" w:color="auto"/>
              <w:right w:val="single" w:sz="4" w:space="0" w:color="auto"/>
            </w:tcBorders>
            <w:shd w:val="clear" w:color="auto" w:fill="014463" w:themeFill="text2"/>
            <w:hideMark/>
          </w:tcPr>
          <w:p w14:paraId="6D69B552" w14:textId="77777777"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t xml:space="preserve"> Total Activity Cost</w:t>
            </w:r>
            <w:r w:rsidRPr="00EE6C3B">
              <w:rPr>
                <w:rFonts w:asciiTheme="majorHAnsi" w:eastAsia="Times New Roman" w:hAnsiTheme="majorHAnsi" w:cs="Arial"/>
                <w:b/>
                <w:color w:val="FFFFFF"/>
                <w:sz w:val="16"/>
                <w:szCs w:val="16"/>
                <w:lang w:eastAsia="en-AU"/>
              </w:rPr>
              <w:br/>
              <w:t xml:space="preserve">(over 10yr period) </w:t>
            </w:r>
          </w:p>
        </w:tc>
        <w:tc>
          <w:tcPr>
            <w:tcW w:w="992" w:type="dxa"/>
            <w:tcBorders>
              <w:top w:val="single" w:sz="8" w:space="0" w:color="auto"/>
              <w:left w:val="nil"/>
              <w:bottom w:val="single" w:sz="4" w:space="0" w:color="auto"/>
              <w:right w:val="single" w:sz="8" w:space="0" w:color="auto"/>
            </w:tcBorders>
            <w:shd w:val="clear" w:color="auto" w:fill="014463" w:themeFill="text2"/>
            <w:hideMark/>
          </w:tcPr>
          <w:p w14:paraId="0B5DFBC9" w14:textId="6740B8BD" w:rsidR="00D116A1" w:rsidRPr="00EE6C3B" w:rsidRDefault="00D116A1" w:rsidP="00DB7228">
            <w:pPr>
              <w:keepNext/>
              <w:spacing w:after="0" w:line="240" w:lineRule="auto"/>
              <w:jc w:val="center"/>
              <w:rPr>
                <w:rFonts w:asciiTheme="majorHAnsi" w:eastAsia="Times New Roman" w:hAnsiTheme="majorHAnsi" w:cs="Arial"/>
                <w:b/>
                <w:color w:val="FFFFFF"/>
                <w:sz w:val="16"/>
                <w:szCs w:val="16"/>
                <w:lang w:eastAsia="en-AU"/>
              </w:rPr>
            </w:pPr>
            <w:r w:rsidRPr="00EE6C3B">
              <w:rPr>
                <w:rFonts w:asciiTheme="majorHAnsi" w:eastAsia="Times New Roman" w:hAnsiTheme="majorHAnsi" w:cs="Arial"/>
                <w:b/>
                <w:color w:val="FFFFFF"/>
                <w:sz w:val="16"/>
                <w:szCs w:val="16"/>
                <w:lang w:eastAsia="en-AU"/>
              </w:rPr>
              <w:t xml:space="preserve"> Total Activity Cost</w:t>
            </w:r>
            <w:r w:rsidRPr="00EE6C3B">
              <w:rPr>
                <w:rFonts w:asciiTheme="majorHAnsi" w:eastAsia="Times New Roman" w:hAnsiTheme="majorHAnsi" w:cs="Arial"/>
                <w:b/>
                <w:color w:val="FFFFFF"/>
                <w:sz w:val="16"/>
                <w:szCs w:val="16"/>
                <w:lang w:eastAsia="en-AU"/>
              </w:rPr>
              <w:br/>
              <w:t xml:space="preserve">(annual) </w:t>
            </w:r>
          </w:p>
        </w:tc>
      </w:tr>
      <w:tr w:rsidR="00D116A1" w:rsidRPr="00EE6C3B" w14:paraId="59FF8192" w14:textId="77777777" w:rsidTr="00F13BCF">
        <w:trPr>
          <w:trHeight w:val="680"/>
        </w:trPr>
        <w:tc>
          <w:tcPr>
            <w:tcW w:w="3676" w:type="dxa"/>
            <w:tcBorders>
              <w:top w:val="nil"/>
              <w:left w:val="single" w:sz="8" w:space="0" w:color="auto"/>
              <w:bottom w:val="single" w:sz="4" w:space="0" w:color="auto"/>
              <w:right w:val="single" w:sz="4" w:space="0" w:color="auto"/>
            </w:tcBorders>
            <w:shd w:val="clear" w:color="000000" w:fill="D9E1F2"/>
            <w:hideMark/>
          </w:tcPr>
          <w:p w14:paraId="6874BC7F" w14:textId="21D3147F" w:rsidR="00D116A1" w:rsidRPr="00EE6C3B" w:rsidRDefault="00D116A1" w:rsidP="00DB7228">
            <w:pPr>
              <w:keepNext/>
              <w:spacing w:after="0" w:line="240" w:lineRule="auto"/>
              <w:rPr>
                <w:rFonts w:asciiTheme="majorHAnsi" w:eastAsia="Times New Roman" w:hAnsiTheme="majorHAnsi" w:cs="Arial"/>
                <w:color w:val="000000"/>
                <w:sz w:val="16"/>
                <w:szCs w:val="16"/>
                <w:lang w:eastAsia="en-AU"/>
              </w:rPr>
            </w:pPr>
            <w:r w:rsidRPr="00EE6C3B">
              <w:rPr>
                <w:rFonts w:asciiTheme="majorHAnsi" w:eastAsia="Times New Roman" w:hAnsiTheme="majorHAnsi" w:cs="Arial"/>
                <w:b/>
                <w:color w:val="000000"/>
                <w:sz w:val="16"/>
                <w:szCs w:val="16"/>
                <w:lang w:eastAsia="en-AU"/>
              </w:rPr>
              <w:t>Sensitivity scenario 1</w:t>
            </w:r>
            <w:r w:rsidRPr="00EE6C3B">
              <w:rPr>
                <w:rFonts w:asciiTheme="majorHAnsi" w:eastAsia="Times New Roman" w:hAnsiTheme="majorHAnsi" w:cs="Arial"/>
                <w:color w:val="000000"/>
                <w:sz w:val="16"/>
                <w:szCs w:val="16"/>
                <w:lang w:eastAsia="en-AU"/>
              </w:rPr>
              <w:t xml:space="preserve">: 10% of all travellers are subject to an HBGD power at least once </w:t>
            </w:r>
            <w:r w:rsidR="00883344">
              <w:rPr>
                <w:rFonts w:asciiTheme="majorHAnsi" w:eastAsia="Times New Roman" w:hAnsiTheme="majorHAnsi" w:cs="Arial"/>
                <w:color w:val="000000"/>
                <w:sz w:val="16"/>
                <w:szCs w:val="16"/>
                <w:lang w:eastAsia="en-AU"/>
              </w:rPr>
              <w:t xml:space="preserve">in </w:t>
            </w:r>
            <w:r w:rsidRPr="00EE6C3B">
              <w:rPr>
                <w:rFonts w:asciiTheme="majorHAnsi" w:eastAsia="Times New Roman" w:hAnsiTheme="majorHAnsi" w:cs="Arial"/>
                <w:color w:val="000000"/>
                <w:sz w:val="16"/>
                <w:szCs w:val="16"/>
                <w:lang w:eastAsia="en-AU"/>
              </w:rPr>
              <w:t>10 years, with each event lasting the current maximum time proposed, of 12 hrs</w:t>
            </w:r>
          </w:p>
          <w:p w14:paraId="61704966" w14:textId="77777777" w:rsidR="00D116A1" w:rsidRPr="00EE6C3B" w:rsidRDefault="00D116A1" w:rsidP="00DB7228">
            <w:pPr>
              <w:keepNext/>
              <w:spacing w:after="0" w:line="240" w:lineRule="auto"/>
              <w:rPr>
                <w:rFonts w:asciiTheme="majorHAnsi" w:eastAsia="Times New Roman" w:hAnsiTheme="majorHAnsi" w:cs="Arial"/>
                <w:color w:val="000000"/>
                <w:sz w:val="16"/>
                <w:szCs w:val="16"/>
                <w:lang w:eastAsia="en-AU"/>
              </w:rPr>
            </w:pPr>
          </w:p>
        </w:tc>
        <w:tc>
          <w:tcPr>
            <w:tcW w:w="1052" w:type="dxa"/>
            <w:tcBorders>
              <w:top w:val="nil"/>
              <w:left w:val="nil"/>
              <w:bottom w:val="single" w:sz="4" w:space="0" w:color="auto"/>
              <w:right w:val="single" w:sz="4" w:space="0" w:color="auto"/>
            </w:tcBorders>
            <w:shd w:val="clear" w:color="auto" w:fill="auto"/>
            <w:noWrap/>
            <w:hideMark/>
          </w:tcPr>
          <w:p w14:paraId="2BBCB229"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 xml:space="preserve">124,000 </w:t>
            </w:r>
          </w:p>
        </w:tc>
        <w:tc>
          <w:tcPr>
            <w:tcW w:w="1358" w:type="dxa"/>
            <w:tcBorders>
              <w:top w:val="nil"/>
              <w:left w:val="nil"/>
              <w:bottom w:val="single" w:sz="4" w:space="0" w:color="auto"/>
              <w:right w:val="single" w:sz="4" w:space="0" w:color="auto"/>
            </w:tcBorders>
            <w:shd w:val="clear" w:color="auto" w:fill="auto"/>
            <w:noWrap/>
            <w:hideMark/>
          </w:tcPr>
          <w:p w14:paraId="010B9C26"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0.1</w:t>
            </w:r>
          </w:p>
          <w:p w14:paraId="35721BB2"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(i.e. once every 10 years)</w:t>
            </w:r>
          </w:p>
        </w:tc>
        <w:tc>
          <w:tcPr>
            <w:tcW w:w="1275" w:type="dxa"/>
            <w:tcBorders>
              <w:top w:val="nil"/>
              <w:left w:val="nil"/>
              <w:bottom w:val="single" w:sz="4" w:space="0" w:color="auto"/>
              <w:right w:val="single" w:sz="4" w:space="0" w:color="auto"/>
            </w:tcBorders>
            <w:shd w:val="clear" w:color="auto" w:fill="auto"/>
            <w:noWrap/>
            <w:hideMark/>
          </w:tcPr>
          <w:p w14:paraId="759D56DA"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 xml:space="preserve">12 </w:t>
            </w:r>
          </w:p>
        </w:tc>
        <w:tc>
          <w:tcPr>
            <w:tcW w:w="851" w:type="dxa"/>
            <w:tcBorders>
              <w:top w:val="nil"/>
              <w:left w:val="nil"/>
              <w:bottom w:val="single" w:sz="4" w:space="0" w:color="auto"/>
              <w:right w:val="single" w:sz="4" w:space="0" w:color="auto"/>
            </w:tcBorders>
            <w:shd w:val="clear" w:color="auto" w:fill="auto"/>
            <w:noWrap/>
            <w:hideMark/>
          </w:tcPr>
          <w:p w14:paraId="3019D0AC"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32.00</w:t>
            </w:r>
          </w:p>
        </w:tc>
        <w:tc>
          <w:tcPr>
            <w:tcW w:w="992" w:type="dxa"/>
            <w:tcBorders>
              <w:top w:val="nil"/>
              <w:left w:val="nil"/>
              <w:bottom w:val="single" w:sz="4" w:space="0" w:color="auto"/>
              <w:right w:val="single" w:sz="4" w:space="0" w:color="auto"/>
            </w:tcBorders>
            <w:shd w:val="clear" w:color="auto" w:fill="auto"/>
            <w:noWrap/>
            <w:hideMark/>
          </w:tcPr>
          <w:p w14:paraId="69672A7A" w14:textId="77777777" w:rsidR="00D116A1" w:rsidRPr="00EE6C3B" w:rsidRDefault="00D116A1" w:rsidP="00DB7228">
            <w:pPr>
              <w:keepNext/>
              <w:spacing w:after="0" w:line="240" w:lineRule="auto"/>
              <w:jc w:val="right"/>
              <w:rPr>
                <w:rFonts w:asciiTheme="majorHAnsi" w:eastAsia="Times New Roman" w:hAnsiTheme="majorHAnsi" w:cs="Arial"/>
                <w:b/>
                <w:color w:val="000000"/>
                <w:sz w:val="16"/>
                <w:szCs w:val="16"/>
                <w:lang w:eastAsia="en-AU"/>
              </w:rPr>
            </w:pPr>
            <w:r w:rsidRPr="00EE6C3B">
              <w:rPr>
                <w:rFonts w:asciiTheme="majorHAnsi" w:eastAsia="Times New Roman" w:hAnsiTheme="majorHAnsi" w:cs="Arial"/>
                <w:b/>
                <w:color w:val="000000"/>
                <w:sz w:val="16"/>
                <w:szCs w:val="16"/>
                <w:lang w:eastAsia="en-AU"/>
              </w:rPr>
              <w:t>4,761,600</w:t>
            </w:r>
          </w:p>
        </w:tc>
        <w:tc>
          <w:tcPr>
            <w:tcW w:w="992" w:type="dxa"/>
            <w:tcBorders>
              <w:top w:val="nil"/>
              <w:left w:val="nil"/>
              <w:bottom w:val="single" w:sz="4" w:space="0" w:color="auto"/>
              <w:right w:val="single" w:sz="8" w:space="0" w:color="auto"/>
            </w:tcBorders>
            <w:shd w:val="clear" w:color="auto" w:fill="FFEDCA" w:themeFill="accent5" w:themeFillTint="33"/>
            <w:noWrap/>
            <w:hideMark/>
          </w:tcPr>
          <w:p w14:paraId="35D57BEA" w14:textId="77777777" w:rsidR="00D116A1" w:rsidRPr="00EE6C3B" w:rsidRDefault="00D116A1" w:rsidP="00DB7228">
            <w:pPr>
              <w:keepNext/>
              <w:spacing w:after="0" w:line="240" w:lineRule="auto"/>
              <w:jc w:val="right"/>
              <w:rPr>
                <w:rFonts w:asciiTheme="majorHAnsi" w:eastAsia="Times New Roman" w:hAnsiTheme="majorHAnsi" w:cs="Arial"/>
                <w:b/>
                <w:color w:val="000000"/>
                <w:sz w:val="16"/>
                <w:szCs w:val="16"/>
                <w:lang w:eastAsia="en-AU"/>
              </w:rPr>
            </w:pPr>
            <w:r w:rsidRPr="00EE6C3B">
              <w:rPr>
                <w:rFonts w:asciiTheme="majorHAnsi" w:eastAsia="Times New Roman" w:hAnsiTheme="majorHAnsi" w:cs="Arial"/>
                <w:b/>
                <w:color w:val="000000"/>
                <w:sz w:val="16"/>
                <w:szCs w:val="16"/>
                <w:lang w:eastAsia="en-AU"/>
              </w:rPr>
              <w:t xml:space="preserve">476,160 </w:t>
            </w:r>
          </w:p>
        </w:tc>
      </w:tr>
      <w:tr w:rsidR="00D116A1" w:rsidRPr="00EE6C3B" w14:paraId="3F6FEB7E" w14:textId="77777777" w:rsidTr="00F13BCF">
        <w:trPr>
          <w:trHeight w:val="680"/>
        </w:trPr>
        <w:tc>
          <w:tcPr>
            <w:tcW w:w="3676" w:type="dxa"/>
            <w:tcBorders>
              <w:top w:val="nil"/>
              <w:left w:val="single" w:sz="8" w:space="0" w:color="auto"/>
              <w:bottom w:val="single" w:sz="4" w:space="0" w:color="auto"/>
              <w:right w:val="single" w:sz="4" w:space="0" w:color="auto"/>
            </w:tcBorders>
            <w:shd w:val="clear" w:color="000000" w:fill="D9E1F2"/>
            <w:hideMark/>
          </w:tcPr>
          <w:p w14:paraId="3A1A9568" w14:textId="30E7D628" w:rsidR="00D116A1" w:rsidRPr="00EE6C3B" w:rsidRDefault="00D116A1" w:rsidP="00DB7228">
            <w:pPr>
              <w:keepNext/>
              <w:spacing w:after="0" w:line="240" w:lineRule="auto"/>
              <w:rPr>
                <w:rFonts w:asciiTheme="majorHAnsi" w:eastAsia="Times New Roman" w:hAnsiTheme="majorHAnsi" w:cs="Arial"/>
                <w:color w:val="000000"/>
                <w:sz w:val="16"/>
                <w:szCs w:val="16"/>
                <w:lang w:eastAsia="en-AU"/>
              </w:rPr>
            </w:pPr>
            <w:r w:rsidRPr="00EE6C3B">
              <w:rPr>
                <w:rFonts w:asciiTheme="majorHAnsi" w:eastAsia="Times New Roman" w:hAnsiTheme="majorHAnsi" w:cs="Arial"/>
                <w:b/>
                <w:color w:val="000000"/>
                <w:sz w:val="16"/>
                <w:szCs w:val="16"/>
                <w:lang w:eastAsia="en-AU"/>
              </w:rPr>
              <w:t>Sensitivity scenario 2</w:t>
            </w:r>
            <w:r w:rsidRPr="00EE6C3B">
              <w:rPr>
                <w:rFonts w:asciiTheme="majorHAnsi" w:eastAsia="Times New Roman" w:hAnsiTheme="majorHAnsi" w:cs="Arial"/>
                <w:color w:val="000000"/>
                <w:sz w:val="16"/>
                <w:szCs w:val="16"/>
                <w:lang w:eastAsia="en-AU"/>
              </w:rPr>
              <w:t xml:space="preserve">: 5% of all travellers are subject to an HBGD power at least once </w:t>
            </w:r>
            <w:r w:rsidR="00883344">
              <w:rPr>
                <w:rFonts w:asciiTheme="majorHAnsi" w:eastAsia="Times New Roman" w:hAnsiTheme="majorHAnsi" w:cs="Arial"/>
                <w:color w:val="000000"/>
                <w:sz w:val="16"/>
                <w:szCs w:val="16"/>
                <w:lang w:eastAsia="en-AU"/>
              </w:rPr>
              <w:t xml:space="preserve">in </w:t>
            </w:r>
            <w:r w:rsidRPr="00EE6C3B">
              <w:rPr>
                <w:rFonts w:asciiTheme="majorHAnsi" w:eastAsia="Times New Roman" w:hAnsiTheme="majorHAnsi" w:cs="Arial"/>
                <w:color w:val="000000"/>
                <w:sz w:val="16"/>
                <w:szCs w:val="16"/>
                <w:lang w:eastAsia="en-AU"/>
              </w:rPr>
              <w:t>10 years, and each event lasting 8 hrs</w:t>
            </w:r>
          </w:p>
        </w:tc>
        <w:tc>
          <w:tcPr>
            <w:tcW w:w="1052" w:type="dxa"/>
            <w:tcBorders>
              <w:top w:val="nil"/>
              <w:left w:val="nil"/>
              <w:bottom w:val="single" w:sz="4" w:space="0" w:color="auto"/>
              <w:right w:val="single" w:sz="4" w:space="0" w:color="auto"/>
            </w:tcBorders>
            <w:shd w:val="clear" w:color="auto" w:fill="auto"/>
            <w:noWrap/>
            <w:hideMark/>
          </w:tcPr>
          <w:p w14:paraId="28E288AE"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 xml:space="preserve">62,000 </w:t>
            </w:r>
          </w:p>
        </w:tc>
        <w:tc>
          <w:tcPr>
            <w:tcW w:w="1358" w:type="dxa"/>
            <w:tcBorders>
              <w:top w:val="nil"/>
              <w:left w:val="nil"/>
              <w:bottom w:val="single" w:sz="4" w:space="0" w:color="auto"/>
              <w:right w:val="single" w:sz="4" w:space="0" w:color="auto"/>
            </w:tcBorders>
            <w:shd w:val="clear" w:color="auto" w:fill="auto"/>
            <w:noWrap/>
            <w:hideMark/>
          </w:tcPr>
          <w:p w14:paraId="15A24325"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0.1</w:t>
            </w:r>
          </w:p>
          <w:p w14:paraId="0CF6A44F"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(i.e. once every 10 years)</w:t>
            </w:r>
          </w:p>
        </w:tc>
        <w:tc>
          <w:tcPr>
            <w:tcW w:w="1275" w:type="dxa"/>
            <w:tcBorders>
              <w:top w:val="nil"/>
              <w:left w:val="nil"/>
              <w:bottom w:val="single" w:sz="4" w:space="0" w:color="auto"/>
              <w:right w:val="single" w:sz="4" w:space="0" w:color="auto"/>
            </w:tcBorders>
            <w:shd w:val="clear" w:color="auto" w:fill="auto"/>
            <w:noWrap/>
            <w:hideMark/>
          </w:tcPr>
          <w:p w14:paraId="6D0A1136"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 xml:space="preserve">6 </w:t>
            </w:r>
          </w:p>
        </w:tc>
        <w:tc>
          <w:tcPr>
            <w:tcW w:w="851" w:type="dxa"/>
            <w:tcBorders>
              <w:top w:val="nil"/>
              <w:left w:val="nil"/>
              <w:bottom w:val="single" w:sz="4" w:space="0" w:color="auto"/>
              <w:right w:val="single" w:sz="4" w:space="0" w:color="auto"/>
            </w:tcBorders>
            <w:shd w:val="clear" w:color="auto" w:fill="auto"/>
            <w:noWrap/>
            <w:hideMark/>
          </w:tcPr>
          <w:p w14:paraId="36432C65"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32.00</w:t>
            </w:r>
          </w:p>
        </w:tc>
        <w:tc>
          <w:tcPr>
            <w:tcW w:w="992" w:type="dxa"/>
            <w:tcBorders>
              <w:top w:val="nil"/>
              <w:left w:val="nil"/>
              <w:bottom w:val="single" w:sz="4" w:space="0" w:color="auto"/>
              <w:right w:val="single" w:sz="4" w:space="0" w:color="auto"/>
            </w:tcBorders>
            <w:shd w:val="clear" w:color="auto" w:fill="auto"/>
            <w:noWrap/>
            <w:hideMark/>
          </w:tcPr>
          <w:p w14:paraId="4A0AE832" w14:textId="77777777" w:rsidR="00D116A1" w:rsidRPr="00EE6C3B" w:rsidRDefault="00D116A1" w:rsidP="00DB7228">
            <w:pPr>
              <w:keepNext/>
              <w:spacing w:after="0" w:line="240" w:lineRule="auto"/>
              <w:jc w:val="right"/>
              <w:rPr>
                <w:rFonts w:asciiTheme="majorHAnsi" w:eastAsia="Times New Roman" w:hAnsiTheme="majorHAnsi" w:cs="Arial"/>
                <w:b/>
                <w:color w:val="000000"/>
                <w:sz w:val="16"/>
                <w:szCs w:val="16"/>
                <w:lang w:eastAsia="en-AU"/>
              </w:rPr>
            </w:pPr>
            <w:r w:rsidRPr="00EE6C3B">
              <w:rPr>
                <w:rFonts w:asciiTheme="majorHAnsi" w:eastAsia="Times New Roman" w:hAnsiTheme="majorHAnsi" w:cs="Arial"/>
                <w:b/>
                <w:color w:val="000000"/>
                <w:sz w:val="16"/>
                <w:szCs w:val="16"/>
                <w:lang w:eastAsia="en-AU"/>
              </w:rPr>
              <w:t>1,190,400</w:t>
            </w:r>
          </w:p>
        </w:tc>
        <w:tc>
          <w:tcPr>
            <w:tcW w:w="992" w:type="dxa"/>
            <w:tcBorders>
              <w:top w:val="nil"/>
              <w:left w:val="nil"/>
              <w:bottom w:val="single" w:sz="4" w:space="0" w:color="auto"/>
              <w:right w:val="single" w:sz="8" w:space="0" w:color="auto"/>
            </w:tcBorders>
            <w:shd w:val="clear" w:color="auto" w:fill="FFEDCA" w:themeFill="accent5" w:themeFillTint="33"/>
            <w:noWrap/>
            <w:hideMark/>
          </w:tcPr>
          <w:p w14:paraId="1F7AA746" w14:textId="77777777" w:rsidR="00D116A1" w:rsidRPr="00EE6C3B" w:rsidRDefault="00D116A1" w:rsidP="00DB7228">
            <w:pPr>
              <w:keepNext/>
              <w:spacing w:after="0" w:line="240" w:lineRule="auto"/>
              <w:jc w:val="right"/>
              <w:rPr>
                <w:rFonts w:asciiTheme="majorHAnsi" w:eastAsia="Times New Roman" w:hAnsiTheme="majorHAnsi" w:cs="Arial"/>
                <w:b/>
                <w:color w:val="000000"/>
                <w:sz w:val="16"/>
                <w:szCs w:val="16"/>
                <w:lang w:eastAsia="en-AU"/>
              </w:rPr>
            </w:pPr>
            <w:r w:rsidRPr="00EE6C3B">
              <w:rPr>
                <w:rFonts w:asciiTheme="majorHAnsi" w:eastAsia="Times New Roman" w:hAnsiTheme="majorHAnsi" w:cs="Arial"/>
                <w:b/>
                <w:color w:val="000000"/>
                <w:sz w:val="16"/>
                <w:szCs w:val="16"/>
                <w:lang w:eastAsia="en-AU"/>
              </w:rPr>
              <w:t xml:space="preserve">119,040 </w:t>
            </w:r>
          </w:p>
        </w:tc>
      </w:tr>
      <w:tr w:rsidR="00D116A1" w:rsidRPr="00EE6C3B" w14:paraId="32BBA224" w14:textId="77777777" w:rsidTr="00F13BCF">
        <w:trPr>
          <w:trHeight w:val="680"/>
        </w:trPr>
        <w:tc>
          <w:tcPr>
            <w:tcW w:w="3676" w:type="dxa"/>
            <w:tcBorders>
              <w:top w:val="nil"/>
              <w:left w:val="single" w:sz="8" w:space="0" w:color="auto"/>
              <w:bottom w:val="single" w:sz="8" w:space="0" w:color="auto"/>
              <w:right w:val="single" w:sz="4" w:space="0" w:color="auto"/>
            </w:tcBorders>
            <w:shd w:val="clear" w:color="000000" w:fill="D9E1F2"/>
            <w:hideMark/>
          </w:tcPr>
          <w:p w14:paraId="43AA0A0E" w14:textId="1357DD7C" w:rsidR="00D116A1" w:rsidRPr="00EE6C3B" w:rsidRDefault="00D116A1" w:rsidP="00DB7228">
            <w:pPr>
              <w:keepNext/>
              <w:spacing w:after="0" w:line="240" w:lineRule="auto"/>
              <w:rPr>
                <w:rFonts w:asciiTheme="majorHAnsi" w:eastAsia="Times New Roman" w:hAnsiTheme="majorHAnsi" w:cs="Arial"/>
                <w:color w:val="000000"/>
                <w:sz w:val="16"/>
                <w:szCs w:val="16"/>
                <w:lang w:eastAsia="en-AU"/>
              </w:rPr>
            </w:pPr>
            <w:r w:rsidRPr="00EE6C3B">
              <w:rPr>
                <w:rFonts w:asciiTheme="majorHAnsi" w:eastAsia="Times New Roman" w:hAnsiTheme="majorHAnsi" w:cs="Arial"/>
                <w:b/>
                <w:color w:val="000000"/>
                <w:sz w:val="16"/>
                <w:szCs w:val="16"/>
                <w:lang w:eastAsia="en-AU"/>
              </w:rPr>
              <w:t>Sensitivity scenario 3</w:t>
            </w:r>
            <w:r w:rsidRPr="00EE6C3B">
              <w:rPr>
                <w:rFonts w:asciiTheme="majorHAnsi" w:eastAsia="Times New Roman" w:hAnsiTheme="majorHAnsi" w:cs="Arial"/>
                <w:color w:val="000000"/>
                <w:sz w:val="16"/>
                <w:szCs w:val="16"/>
                <w:lang w:eastAsia="en-AU"/>
              </w:rPr>
              <w:t xml:space="preserve">: 2% of all travellers are subject to an HBGD power at least once </w:t>
            </w:r>
            <w:r w:rsidR="00883344">
              <w:rPr>
                <w:rFonts w:asciiTheme="majorHAnsi" w:eastAsia="Times New Roman" w:hAnsiTheme="majorHAnsi" w:cs="Arial"/>
                <w:color w:val="000000"/>
                <w:sz w:val="16"/>
                <w:szCs w:val="16"/>
                <w:lang w:eastAsia="en-AU"/>
              </w:rPr>
              <w:t>in</w:t>
            </w:r>
            <w:r w:rsidRPr="00EE6C3B">
              <w:rPr>
                <w:rFonts w:asciiTheme="majorHAnsi" w:eastAsia="Times New Roman" w:hAnsiTheme="majorHAnsi" w:cs="Arial"/>
                <w:color w:val="000000"/>
                <w:sz w:val="16"/>
                <w:szCs w:val="16"/>
                <w:lang w:eastAsia="en-AU"/>
              </w:rPr>
              <w:t xml:space="preserve"> 10 years, with each event lasting 4 hrs</w:t>
            </w:r>
          </w:p>
        </w:tc>
        <w:tc>
          <w:tcPr>
            <w:tcW w:w="1052" w:type="dxa"/>
            <w:tcBorders>
              <w:top w:val="nil"/>
              <w:left w:val="nil"/>
              <w:bottom w:val="single" w:sz="8" w:space="0" w:color="auto"/>
              <w:right w:val="single" w:sz="4" w:space="0" w:color="auto"/>
            </w:tcBorders>
            <w:shd w:val="clear" w:color="auto" w:fill="auto"/>
            <w:noWrap/>
            <w:hideMark/>
          </w:tcPr>
          <w:p w14:paraId="6D508749"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 xml:space="preserve">24,800 </w:t>
            </w:r>
          </w:p>
        </w:tc>
        <w:tc>
          <w:tcPr>
            <w:tcW w:w="1358" w:type="dxa"/>
            <w:tcBorders>
              <w:top w:val="nil"/>
              <w:left w:val="nil"/>
              <w:bottom w:val="single" w:sz="8" w:space="0" w:color="auto"/>
              <w:right w:val="single" w:sz="4" w:space="0" w:color="auto"/>
            </w:tcBorders>
            <w:shd w:val="clear" w:color="auto" w:fill="auto"/>
            <w:noWrap/>
            <w:hideMark/>
          </w:tcPr>
          <w:p w14:paraId="4562F14F"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0.1</w:t>
            </w:r>
          </w:p>
          <w:p w14:paraId="7FD02BDA"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(i.e. once every 10 years)</w:t>
            </w:r>
          </w:p>
        </w:tc>
        <w:tc>
          <w:tcPr>
            <w:tcW w:w="1275" w:type="dxa"/>
            <w:tcBorders>
              <w:top w:val="nil"/>
              <w:left w:val="nil"/>
              <w:bottom w:val="single" w:sz="8" w:space="0" w:color="auto"/>
              <w:right w:val="single" w:sz="4" w:space="0" w:color="auto"/>
            </w:tcBorders>
            <w:shd w:val="clear" w:color="auto" w:fill="auto"/>
            <w:noWrap/>
            <w:hideMark/>
          </w:tcPr>
          <w:p w14:paraId="702F4753"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 xml:space="preserve">4 </w:t>
            </w:r>
          </w:p>
        </w:tc>
        <w:tc>
          <w:tcPr>
            <w:tcW w:w="851" w:type="dxa"/>
            <w:tcBorders>
              <w:top w:val="nil"/>
              <w:left w:val="nil"/>
              <w:bottom w:val="single" w:sz="8" w:space="0" w:color="auto"/>
              <w:right w:val="single" w:sz="4" w:space="0" w:color="auto"/>
            </w:tcBorders>
            <w:shd w:val="clear" w:color="auto" w:fill="auto"/>
            <w:noWrap/>
            <w:hideMark/>
          </w:tcPr>
          <w:p w14:paraId="60D0222D" w14:textId="77777777" w:rsidR="00D116A1" w:rsidRPr="00EE6C3B" w:rsidRDefault="00D116A1" w:rsidP="00DB7228">
            <w:pPr>
              <w:keepNext/>
              <w:spacing w:after="0" w:line="240" w:lineRule="auto"/>
              <w:jc w:val="right"/>
              <w:rPr>
                <w:rFonts w:asciiTheme="majorHAnsi" w:eastAsia="Times New Roman" w:hAnsiTheme="majorHAnsi" w:cs="Arial"/>
                <w:color w:val="000000"/>
                <w:sz w:val="16"/>
                <w:szCs w:val="16"/>
                <w:lang w:eastAsia="en-AU"/>
              </w:rPr>
            </w:pPr>
            <w:r w:rsidRPr="00EE6C3B">
              <w:rPr>
                <w:rFonts w:asciiTheme="majorHAnsi" w:eastAsia="Times New Roman" w:hAnsiTheme="majorHAnsi" w:cs="Arial"/>
                <w:color w:val="000000"/>
                <w:sz w:val="16"/>
                <w:szCs w:val="16"/>
                <w:lang w:eastAsia="en-AU"/>
              </w:rPr>
              <w:t>32.00</w:t>
            </w:r>
          </w:p>
        </w:tc>
        <w:tc>
          <w:tcPr>
            <w:tcW w:w="992" w:type="dxa"/>
            <w:tcBorders>
              <w:top w:val="nil"/>
              <w:left w:val="nil"/>
              <w:bottom w:val="single" w:sz="8" w:space="0" w:color="auto"/>
              <w:right w:val="single" w:sz="4" w:space="0" w:color="auto"/>
            </w:tcBorders>
            <w:shd w:val="clear" w:color="auto" w:fill="auto"/>
            <w:noWrap/>
            <w:hideMark/>
          </w:tcPr>
          <w:p w14:paraId="2BBC0F43" w14:textId="77777777" w:rsidR="00D116A1" w:rsidRPr="00EE6C3B" w:rsidRDefault="00D116A1" w:rsidP="00DB7228">
            <w:pPr>
              <w:keepNext/>
              <w:spacing w:after="0" w:line="240" w:lineRule="auto"/>
              <w:jc w:val="right"/>
              <w:rPr>
                <w:rFonts w:asciiTheme="majorHAnsi" w:eastAsia="Times New Roman" w:hAnsiTheme="majorHAnsi" w:cs="Arial"/>
                <w:b/>
                <w:color w:val="000000"/>
                <w:sz w:val="16"/>
                <w:szCs w:val="16"/>
                <w:lang w:eastAsia="en-AU"/>
              </w:rPr>
            </w:pPr>
            <w:r w:rsidRPr="00EE6C3B">
              <w:rPr>
                <w:rFonts w:asciiTheme="majorHAnsi" w:eastAsia="Times New Roman" w:hAnsiTheme="majorHAnsi" w:cs="Arial"/>
                <w:b/>
                <w:color w:val="000000"/>
                <w:sz w:val="16"/>
                <w:szCs w:val="16"/>
                <w:lang w:eastAsia="en-AU"/>
              </w:rPr>
              <w:t xml:space="preserve">317,440 </w:t>
            </w:r>
          </w:p>
        </w:tc>
        <w:tc>
          <w:tcPr>
            <w:tcW w:w="992" w:type="dxa"/>
            <w:tcBorders>
              <w:top w:val="nil"/>
              <w:left w:val="nil"/>
              <w:bottom w:val="single" w:sz="8" w:space="0" w:color="auto"/>
              <w:right w:val="single" w:sz="8" w:space="0" w:color="auto"/>
            </w:tcBorders>
            <w:shd w:val="clear" w:color="auto" w:fill="FFEDCA" w:themeFill="accent5" w:themeFillTint="33"/>
            <w:noWrap/>
            <w:hideMark/>
          </w:tcPr>
          <w:p w14:paraId="68A23AEE" w14:textId="77777777" w:rsidR="00D116A1" w:rsidRPr="00EE6C3B" w:rsidRDefault="00D116A1" w:rsidP="00DB7228">
            <w:pPr>
              <w:keepNext/>
              <w:spacing w:after="0" w:line="240" w:lineRule="auto"/>
              <w:jc w:val="right"/>
              <w:rPr>
                <w:rFonts w:asciiTheme="majorHAnsi" w:eastAsia="Times New Roman" w:hAnsiTheme="majorHAnsi" w:cs="Arial"/>
                <w:b/>
                <w:color w:val="000000"/>
                <w:sz w:val="16"/>
                <w:szCs w:val="16"/>
                <w:lang w:eastAsia="en-AU"/>
              </w:rPr>
            </w:pPr>
            <w:r w:rsidRPr="00EE6C3B">
              <w:rPr>
                <w:rFonts w:asciiTheme="majorHAnsi" w:eastAsia="Times New Roman" w:hAnsiTheme="majorHAnsi" w:cs="Arial"/>
                <w:b/>
                <w:color w:val="000000"/>
                <w:sz w:val="16"/>
                <w:szCs w:val="16"/>
                <w:lang w:eastAsia="en-AU"/>
              </w:rPr>
              <w:t>31,744</w:t>
            </w:r>
          </w:p>
        </w:tc>
      </w:tr>
    </w:tbl>
    <w:p w14:paraId="63480536" w14:textId="7C3FDD97" w:rsidR="00D116A1" w:rsidRPr="00183564" w:rsidRDefault="00D116A1" w:rsidP="00D116A1">
      <w:pPr>
        <w:pStyle w:val="Caption"/>
        <w:jc w:val="center"/>
      </w:pPr>
      <w:r>
        <w:t xml:space="preserve">Table </w:t>
      </w:r>
      <w:r w:rsidR="00733E8D">
        <w:fldChar w:fldCharType="begin"/>
      </w:r>
      <w:r w:rsidR="00733E8D">
        <w:instrText xml:space="preserve"> SEQ Table \* ARABIC </w:instrText>
      </w:r>
      <w:r w:rsidR="00733E8D">
        <w:fldChar w:fldCharType="separate"/>
      </w:r>
      <w:r>
        <w:rPr>
          <w:noProof/>
        </w:rPr>
        <w:t>8</w:t>
      </w:r>
      <w:r w:rsidR="00733E8D">
        <w:rPr>
          <w:noProof/>
        </w:rPr>
        <w:fldChar w:fldCharType="end"/>
      </w:r>
      <w:r>
        <w:t xml:space="preserve"> – Regulatory Burden (Individuals) Sensitivity Analysis – Human Biosecurity Group Direction</w:t>
      </w:r>
    </w:p>
    <w:p w14:paraId="5CFCC30E" w14:textId="6CAE23A1" w:rsidR="00D116A1" w:rsidRPr="00CB1F80" w:rsidRDefault="00D116A1" w:rsidP="00D116A1">
      <w:r w:rsidRPr="00CB1F80">
        <w:t xml:space="preserve">As illustrated in </w:t>
      </w:r>
      <w:r w:rsidR="000F4F26">
        <w:t>table 8</w:t>
      </w:r>
      <w:r>
        <w:fldChar w:fldCharType="begin"/>
      </w:r>
      <w:r>
        <w:instrText xml:space="preserve"> REF _Ref78890606 \h </w:instrText>
      </w:r>
      <w:r>
        <w:fldChar w:fldCharType="end"/>
      </w:r>
      <w:r w:rsidRPr="00CB1F80">
        <w:t xml:space="preserve"> above, the regulatory burden to be imposed on individuals by the HBGD power present some significant difficulties to quantify. Scenario 1 indicates a case where 10% of all cruise ship travellers will be subject to an HBGD power at least once every 10 years, with each event lasting 12 hours (currently anticipated to be the maximum time for which the group direction can be imposed</w:t>
      </w:r>
      <w:r w:rsidR="000F4F26">
        <w:t>)</w:t>
      </w:r>
      <w:r w:rsidRPr="00CB1F80">
        <w:t>. This equates to an additional regulatory burden of roughly $0.476m per annum.</w:t>
      </w:r>
    </w:p>
    <w:p w14:paraId="67D3D324" w14:textId="77777777" w:rsidR="00D116A1" w:rsidRDefault="00D116A1" w:rsidP="00D116A1">
      <w:r>
        <w:t>Scenario 2 ($0.119m per annum) is based on 5% of all passengers being subject to a HBGD at least once every ten years, lasting 8 hours.</w:t>
      </w:r>
    </w:p>
    <w:p w14:paraId="4457EADD" w14:textId="77777777" w:rsidR="00D116A1" w:rsidRDefault="00D116A1" w:rsidP="00D116A1">
      <w:r w:rsidRPr="00CB1F80">
        <w:t xml:space="preserve">Scenario 3 presents a case where 2% of all cruise ship travellers will be subject to an HBGD power at least once every 10 years, with each event lasting </w:t>
      </w:r>
      <w:r>
        <w:t>four</w:t>
      </w:r>
      <w:r w:rsidRPr="00CB1F80">
        <w:t xml:space="preserve"> hours. This equates to a regulatory burden of roughly $0.032m per annum.</w:t>
      </w:r>
    </w:p>
    <w:p w14:paraId="7BD9F181" w14:textId="48994B66" w:rsidR="00D116A1" w:rsidRPr="00183564" w:rsidRDefault="00D116A1" w:rsidP="00D116A1">
      <w:r>
        <w:t xml:space="preserve">The figure from Scenario 2 ($0.119m) is used as a representative regulatory burden for the HBGD proposed under Option 3, in </w:t>
      </w:r>
      <w:r>
        <w:fldChar w:fldCharType="begin"/>
      </w:r>
      <w:r>
        <w:instrText xml:space="preserve"> REF _Ref78897159 \h </w:instrText>
      </w:r>
      <w:r>
        <w:fldChar w:fldCharType="separate"/>
      </w:r>
      <w:r>
        <w:t xml:space="preserve">Table </w:t>
      </w:r>
      <w:r>
        <w:rPr>
          <w:noProof/>
        </w:rPr>
        <w:t>6</w:t>
      </w:r>
      <w:r>
        <w:fldChar w:fldCharType="end"/>
      </w:r>
      <w:r w:rsidR="0042004E">
        <w:t xml:space="preserve"> above</w:t>
      </w:r>
      <w:r>
        <w:t>.</w:t>
      </w:r>
    </w:p>
    <w:p w14:paraId="50D7C837" w14:textId="77BD7E3A" w:rsidR="00DB7749" w:rsidRPr="00183564" w:rsidRDefault="00DB7749" w:rsidP="00D116A1">
      <w:r>
        <w:t xml:space="preserve">This power is not available under existing legislation and has therefore been excluded from Option 2 in </w:t>
      </w:r>
      <w:r w:rsidR="0042004E">
        <w:fldChar w:fldCharType="begin"/>
      </w:r>
      <w:r w:rsidR="0042004E">
        <w:instrText xml:space="preserve"> REF _Ref80888108 \h </w:instrText>
      </w:r>
      <w:r w:rsidR="0042004E">
        <w:fldChar w:fldCharType="separate"/>
      </w:r>
      <w:r w:rsidR="0042004E">
        <w:t xml:space="preserve">Table </w:t>
      </w:r>
      <w:r w:rsidR="0042004E">
        <w:rPr>
          <w:noProof/>
        </w:rPr>
        <w:t>3</w:t>
      </w:r>
      <w:r w:rsidR="0042004E">
        <w:fldChar w:fldCharType="end"/>
      </w:r>
      <w:r w:rsidR="0042004E">
        <w:t xml:space="preserve"> above</w:t>
      </w:r>
      <w:r>
        <w:t>.</w:t>
      </w:r>
    </w:p>
    <w:p w14:paraId="5893BCEB" w14:textId="04F6E615" w:rsidR="00EF4F50" w:rsidRPr="00183564" w:rsidRDefault="00364884" w:rsidP="00EF4F50">
      <w:pPr>
        <w:pStyle w:val="Heading2"/>
      </w:pPr>
      <w:r w:rsidRPr="00183564">
        <w:br w:type="page"/>
      </w:r>
      <w:bookmarkStart w:id="58" w:name="_Toc80965323"/>
      <w:r w:rsidR="00EF4F50" w:rsidRPr="00183564">
        <w:lastRenderedPageBreak/>
        <w:t xml:space="preserve">Appendix </w:t>
      </w:r>
      <w:r w:rsidR="00EF4F50">
        <w:t>D</w:t>
      </w:r>
      <w:r w:rsidR="00EF4F50" w:rsidRPr="00183564">
        <w:tab/>
      </w:r>
      <w:r w:rsidR="00EF4F50" w:rsidRPr="000F79A8">
        <w:t>Benefits to the Broader Australian Economy and the Australian Cruise Industry</w:t>
      </w:r>
      <w:bookmarkEnd w:id="58"/>
    </w:p>
    <w:p w14:paraId="7A56C06E" w14:textId="77777777" w:rsidR="00EF4F50" w:rsidRPr="00183564" w:rsidRDefault="00EF4F50" w:rsidP="00EF4F50">
      <w:pPr>
        <w:pStyle w:val="BodyText"/>
      </w:pPr>
      <w:r>
        <w:t>A key</w:t>
      </w:r>
      <w:r w:rsidRPr="00183564">
        <w:t xml:space="preserve"> benefit expected to materialise </w:t>
      </w:r>
      <w:proofErr w:type="gramStart"/>
      <w:r w:rsidRPr="00183564">
        <w:t>as a result of</w:t>
      </w:r>
      <w:proofErr w:type="gramEnd"/>
      <w:r w:rsidRPr="00183564">
        <w:t xml:space="preserve"> the proposed amendments is the support it lends toward the recovery of the cruise industry, to pre-pandemic levels. This includes refilling the </w:t>
      </w:r>
      <w:r>
        <w:t xml:space="preserve">more than 18,000 </w:t>
      </w:r>
      <w:r w:rsidRPr="00183564">
        <w:t>jobs that existed at the end of the 2018-19 financial year and building back up to the $5.2 billion in annual economic output that was generated directly and indirectly by the industry.</w:t>
      </w:r>
    </w:p>
    <w:p w14:paraId="6D213471" w14:textId="77777777" w:rsidR="00EF4F50" w:rsidRPr="00183564" w:rsidRDefault="00EF4F50" w:rsidP="00271E9D">
      <w:pPr>
        <w:pStyle w:val="BodyText"/>
        <w:jc w:val="center"/>
      </w:pPr>
      <w:r w:rsidRPr="00183564">
        <w:rPr>
          <w:noProof/>
          <w:lang w:eastAsia="en-AU"/>
        </w:rPr>
        <w:drawing>
          <wp:inline distT="0" distB="0" distL="0" distR="0" wp14:anchorId="47C6A314" wp14:editId="2A6B07A4">
            <wp:extent cx="4355739" cy="86439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3605" cy="869923"/>
                    </a:xfrm>
                    <a:prstGeom prst="rect">
                      <a:avLst/>
                    </a:prstGeom>
                    <a:noFill/>
                    <a:ln>
                      <a:noFill/>
                    </a:ln>
                  </pic:spPr>
                </pic:pic>
              </a:graphicData>
            </a:graphic>
          </wp:inline>
        </w:drawing>
      </w:r>
    </w:p>
    <w:p w14:paraId="6559312F" w14:textId="77777777" w:rsidR="00EF4F50" w:rsidRPr="00183564" w:rsidRDefault="00EF4F50" w:rsidP="00EF4F50">
      <w:pPr>
        <w:pStyle w:val="BodyText"/>
      </w:pPr>
      <w:r w:rsidRPr="00183564">
        <w:t xml:space="preserve">The cruise industry has exhibited strong growth over the past decade. In 2018, 200,000 </w:t>
      </w:r>
      <w:r>
        <w:t xml:space="preserve">international </w:t>
      </w:r>
      <w:r w:rsidRPr="00183564">
        <w:t>visitors entered Australia on cruise ships from 145 countries. The 2018-19 financial year saw an increase of 11.2% in the industry’s total value to the national economy, contributing $5.2 billion for the year, with an equivalent of 18,135 full time jobs supported by the cruise industry</w:t>
      </w:r>
      <w:r>
        <w:t xml:space="preserve"> (AEC Economic Impact Assessment, 2019)</w:t>
      </w:r>
      <w:r w:rsidRPr="00183564">
        <w:t>. This represented a 6.6% increase on the previous year.</w:t>
      </w:r>
    </w:p>
    <w:p w14:paraId="29C0D368" w14:textId="77777777" w:rsidR="00EF4F50" w:rsidRPr="00183564" w:rsidRDefault="00EF4F50" w:rsidP="00EF4F50">
      <w:pPr>
        <w:pStyle w:val="BodyText"/>
      </w:pPr>
      <w:r w:rsidRPr="00183564">
        <w:t>The suspension of cruise operations internationally in March 2020 because of the COVID-19 pandemic, has had a devastating impact on the cruise industry. Between March and September 2020</w:t>
      </w:r>
      <w:r>
        <w:t xml:space="preserve"> alone</w:t>
      </w:r>
      <w:r w:rsidRPr="00183564">
        <w:t>, it is estimated that the suspension of cruise operations had resulted in a loss of more than 518,000 jobs worldwide, US$23 billion in lost wages and US$77 billion in global economic activity</w:t>
      </w:r>
      <w:r>
        <w:t xml:space="preserve"> (CLIA Industry Outlook 2021)</w:t>
      </w:r>
      <w:r w:rsidRPr="00183564">
        <w:t xml:space="preserve">. </w:t>
      </w:r>
    </w:p>
    <w:p w14:paraId="657B15DE" w14:textId="77777777" w:rsidR="00EF4F50" w:rsidRPr="00183564" w:rsidRDefault="00EF4F50" w:rsidP="00EF4F50">
      <w:pPr>
        <w:pStyle w:val="BodyText"/>
      </w:pPr>
      <w:r w:rsidRPr="00183564">
        <w:t>A significant reduction in jobs as well as economic output was witnessed in Australia from March 2020</w:t>
      </w:r>
      <w:r>
        <w:t xml:space="preserve"> onwards</w:t>
      </w:r>
      <w:r w:rsidRPr="00183564">
        <w:t xml:space="preserve">, seeing a decline from the 18,135 full time jobs at the end of FY18-19 to 15,126 </w:t>
      </w:r>
      <w:r>
        <w:t xml:space="preserve">jobs </w:t>
      </w:r>
      <w:r w:rsidRPr="00183564">
        <w:t>at the end of FY19-20</w:t>
      </w:r>
      <w:r>
        <w:t xml:space="preserve"> (AEC Economic Impact Assessment, 2020)</w:t>
      </w:r>
      <w:r w:rsidRPr="00183564">
        <w:t>.</w:t>
      </w:r>
    </w:p>
    <w:p w14:paraId="3E02E4BA" w14:textId="62091D5F" w:rsidR="00EF4F50" w:rsidRPr="00183564" w:rsidRDefault="00EF4F50" w:rsidP="00EF4F50">
      <w:pPr>
        <w:pStyle w:val="BodyText"/>
      </w:pPr>
      <w:r w:rsidRPr="00183564">
        <w:t xml:space="preserve">This represents a drop of 16.6% in the three months from </w:t>
      </w:r>
      <w:r>
        <w:t>April</w:t>
      </w:r>
      <w:r w:rsidRPr="00183564">
        <w:t xml:space="preserve"> to June 2020 alone. The contribution to the economy also reduced from $5.2 billion in the 2018-19 financial year to output of $4.8 billion in the following year</w:t>
      </w:r>
      <w:r>
        <w:t xml:space="preserve"> (refer </w:t>
      </w:r>
      <w:r w:rsidR="00197BA2">
        <w:t xml:space="preserve">Table 9 </w:t>
      </w:r>
      <w:r>
        <w:t>below)</w:t>
      </w:r>
      <w:r w:rsidRPr="00183564">
        <w:t>. This decline in output of $0.5 billion only reflects the effect the pandemic had on the industry from mid-March 2020 until the end of June 2020.</w:t>
      </w:r>
    </w:p>
    <w:p w14:paraId="100D8FCF" w14:textId="77777777" w:rsidR="00EF4F50" w:rsidRPr="00183564" w:rsidRDefault="00EF4F50" w:rsidP="00EF4F50">
      <w:pPr>
        <w:pStyle w:val="BodyText"/>
        <w:keepNext/>
        <w:spacing w:before="180"/>
        <w:jc w:val="center"/>
        <w:rPr>
          <w:i/>
          <w:sz w:val="14"/>
          <w:szCs w:val="14"/>
        </w:rPr>
      </w:pPr>
      <w:r w:rsidRPr="00183564">
        <w:rPr>
          <w:noProof/>
          <w:lang w:eastAsia="en-AU"/>
        </w:rPr>
        <w:drawing>
          <wp:inline distT="0" distB="0" distL="0" distR="0" wp14:anchorId="6710DC18" wp14:editId="6E7A970B">
            <wp:extent cx="3022589" cy="162877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89721" cy="1664950"/>
                    </a:xfrm>
                    <a:prstGeom prst="rect">
                      <a:avLst/>
                    </a:prstGeom>
                    <a:noFill/>
                    <a:ln>
                      <a:noFill/>
                    </a:ln>
                  </pic:spPr>
                </pic:pic>
              </a:graphicData>
            </a:graphic>
          </wp:inline>
        </w:drawing>
      </w:r>
      <w:r w:rsidRPr="00183564">
        <w:br/>
      </w:r>
      <w:r w:rsidRPr="00183564">
        <w:rPr>
          <w:i/>
          <w:iCs/>
          <w:sz w:val="14"/>
          <w:szCs w:val="14"/>
        </w:rPr>
        <w:t xml:space="preserve">Source: </w:t>
      </w:r>
      <w:hyperlink r:id="rId37" w:history="1">
        <w:r w:rsidRPr="00183564">
          <w:rPr>
            <w:rStyle w:val="Hyperlink"/>
            <w:i/>
            <w:iCs/>
            <w:sz w:val="14"/>
            <w:szCs w:val="14"/>
          </w:rPr>
          <w:t>https://www.cruiseagency.com.au/news/australian-cruise-industry-statistics</w:t>
        </w:r>
      </w:hyperlink>
    </w:p>
    <w:p w14:paraId="7352C2AD" w14:textId="3D3398F3" w:rsidR="00EF4F50" w:rsidRDefault="00EF4F50" w:rsidP="00EF4F50">
      <w:pPr>
        <w:pStyle w:val="Caption"/>
        <w:keepNext w:val="0"/>
        <w:jc w:val="center"/>
      </w:pPr>
      <w:r>
        <w:t xml:space="preserve">Table </w:t>
      </w:r>
      <w:r w:rsidR="00733E8D">
        <w:fldChar w:fldCharType="begin"/>
      </w:r>
      <w:r w:rsidR="00733E8D">
        <w:instrText xml:space="preserve"> SEQ Table \* ARABIC </w:instrText>
      </w:r>
      <w:r w:rsidR="00733E8D">
        <w:fldChar w:fldCharType="separate"/>
      </w:r>
      <w:r w:rsidR="00B34948">
        <w:rPr>
          <w:noProof/>
        </w:rPr>
        <w:t>9</w:t>
      </w:r>
      <w:r w:rsidR="00733E8D">
        <w:rPr>
          <w:noProof/>
        </w:rPr>
        <w:fldChar w:fldCharType="end"/>
      </w:r>
      <w:r>
        <w:t xml:space="preserve"> – 2019-20 Cruise passenger visits</w:t>
      </w:r>
    </w:p>
    <w:p w14:paraId="490355D1" w14:textId="77777777" w:rsidR="00EF4F50" w:rsidRPr="00183564" w:rsidRDefault="00EF4F50" w:rsidP="00EF4F50">
      <w:pPr>
        <w:pStyle w:val="BodyText"/>
      </w:pPr>
      <w:r w:rsidRPr="00183564">
        <w:t xml:space="preserve">Although exact figures are not yet available for the 2020-21 financial year, it is known that the cruise industry was not operational at any time during this period, effectively resulting in a loss of </w:t>
      </w:r>
      <w:r>
        <w:t xml:space="preserve">up to </w:t>
      </w:r>
      <w:r w:rsidRPr="00183564">
        <w:t xml:space="preserve">$5.2 billion </w:t>
      </w:r>
      <w:r>
        <w:t xml:space="preserve">(the </w:t>
      </w:r>
      <w:r w:rsidRPr="00183564">
        <w:t xml:space="preserve">annual economic output </w:t>
      </w:r>
      <w:r>
        <w:t xml:space="preserve">by the industry </w:t>
      </w:r>
      <w:r w:rsidRPr="00183564">
        <w:t>seen in FY19</w:t>
      </w:r>
      <w:r>
        <w:t>)</w:t>
      </w:r>
      <w:r w:rsidRPr="00183564">
        <w:t xml:space="preserve">, as well as the majority of the 18,135 jobs </w:t>
      </w:r>
      <w:r>
        <w:t xml:space="preserve">in existence </w:t>
      </w:r>
      <w:r w:rsidRPr="00183564">
        <w:t>at the end of that period.</w:t>
      </w:r>
    </w:p>
    <w:p w14:paraId="6F2DC21B" w14:textId="1ED635E5" w:rsidR="00EF4F50" w:rsidRPr="00271E9D" w:rsidRDefault="00EF4F50" w:rsidP="00271E9D">
      <w:pPr>
        <w:pStyle w:val="BodyText"/>
      </w:pPr>
      <w:r w:rsidRPr="00183564">
        <w:t>It is important to be aware of the economic benefits that a thriving Cruise industry will provide to the Australian economy.</w:t>
      </w:r>
      <w:r>
        <w:t xml:space="preserve"> By putting in place a more robust and flexible framework within which to manage the development of human biosecurity risks, the Cruise industry is more likely to restart, leading to growth in jobs and in the broader Australian economy.</w:t>
      </w:r>
      <w:r w:rsidRPr="00CB1B43">
        <w:br w:type="page"/>
      </w:r>
    </w:p>
    <w:p w14:paraId="0755735D" w14:textId="497C7CA5" w:rsidR="00364884" w:rsidRPr="00183564" w:rsidRDefault="00364884" w:rsidP="00364884">
      <w:pPr>
        <w:rPr>
          <w:rFonts w:asciiTheme="majorHAnsi" w:hAnsiTheme="majorHAnsi"/>
          <w:b/>
          <w:color w:val="014463" w:themeColor="text2"/>
          <w:sz w:val="60"/>
          <w:szCs w:val="60"/>
        </w:rPr>
      </w:pPr>
    </w:p>
    <w:p w14:paraId="6F344103" w14:textId="77777777" w:rsidR="00E01B77" w:rsidRPr="00183564" w:rsidRDefault="00E01B77" w:rsidP="00DF2185">
      <w:pPr>
        <w:rPr>
          <w:rFonts w:asciiTheme="majorHAnsi" w:hAnsiTheme="majorHAnsi"/>
          <w:b/>
          <w:color w:val="014463" w:themeColor="text2"/>
          <w:sz w:val="60"/>
          <w:szCs w:val="60"/>
        </w:rPr>
      </w:pPr>
      <w:r w:rsidRPr="00183564">
        <w:t>[Blank Page]</w:t>
      </w:r>
    </w:p>
    <w:sectPr w:rsidR="00E01B77" w:rsidRPr="00183564" w:rsidSect="0075317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E3E5" w14:textId="77777777" w:rsidR="00BA0876" w:rsidRDefault="00BA0876" w:rsidP="00B95533">
      <w:pPr>
        <w:spacing w:after="0" w:line="240" w:lineRule="auto"/>
      </w:pPr>
      <w:r>
        <w:separator/>
      </w:r>
    </w:p>
  </w:endnote>
  <w:endnote w:type="continuationSeparator" w:id="0">
    <w:p w14:paraId="45714627" w14:textId="77777777" w:rsidR="00BA0876" w:rsidRDefault="00BA0876" w:rsidP="00B95533">
      <w:pPr>
        <w:spacing w:after="0" w:line="240" w:lineRule="auto"/>
      </w:pPr>
      <w:r>
        <w:continuationSeparator/>
      </w:r>
    </w:p>
  </w:endnote>
  <w:endnote w:type="continuationNotice" w:id="1">
    <w:p w14:paraId="1712C7B6" w14:textId="77777777" w:rsidR="00BA0876" w:rsidRDefault="00BA0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706402449"/>
      <w:dataBinding w:xpath="/root[1]/Classification[1]" w:storeItemID="{F533AE62-A212-4B26-92DA-A3B336E8AE06}"/>
      <w:text/>
    </w:sdtPr>
    <w:sdtEndPr/>
    <w:sdtContent>
      <w:p w14:paraId="489BC3B6" w14:textId="77777777" w:rsidR="005C421B" w:rsidRPr="00B87E45" w:rsidRDefault="005C421B" w:rsidP="001007B9">
        <w:pPr>
          <w:pStyle w:val="ProtectiveMarking"/>
        </w:pPr>
        <w:r>
          <w:t>Choose Classification</w:t>
        </w:r>
      </w:p>
    </w:sdtContent>
  </w:sdt>
  <w:p w14:paraId="1AAFF4B6" w14:textId="77777777" w:rsidR="005C421B" w:rsidRPr="00073D52" w:rsidRDefault="005C421B"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0D6E08F0" wp14:editId="51599CC7">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712F1BD3" w14:textId="2D1D3608" w:rsidR="005C421B" w:rsidRPr="00073D52" w:rsidRDefault="005C421B"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26</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6E08F0" id="_x0000_t202" coordsize="21600,21600" o:spt="202" path="m,l,21600r21600,l21600,xe">
              <v:stroke joinstyle="miter"/>
              <v:path gradientshapeok="t" o:connecttype="rect"/>
            </v:shapetype>
            <v:shape id="_x0000_s1029"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712F1BD3" w14:textId="2D1D3608" w:rsidR="005C421B" w:rsidRPr="00073D52" w:rsidRDefault="005C421B"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26</w:t>
                    </w:r>
                    <w:r w:rsidRPr="00073D52">
                      <w:rPr>
                        <w:b w:val="0"/>
                        <w:bCs/>
                        <w:noProof/>
                        <w:sz w:val="16"/>
                        <w:szCs w:val="16"/>
                      </w:rPr>
                      <w:fldChar w:fldCharType="end"/>
                    </w:r>
                  </w:p>
                </w:txbxContent>
              </v:textbox>
              <w10:wrap anchorx="margin" anchory="page"/>
              <w10:anchorlock/>
            </v:shape>
          </w:pict>
        </mc:Fallback>
      </mc:AlternateContent>
    </w:r>
  </w:p>
  <w:p w14:paraId="6B4BAA8E" w14:textId="77777777" w:rsidR="005C421B" w:rsidRPr="001007B9" w:rsidRDefault="005C421B"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1686131668"/>
      <w:dataBinding w:xpath="/root[1]/Classification[1]" w:storeItemID="{F533AE62-A212-4B26-92DA-A3B336E8AE06}"/>
      <w:text/>
    </w:sdtPr>
    <w:sdtEndPr/>
    <w:sdtContent>
      <w:p w14:paraId="266C71F6" w14:textId="77777777" w:rsidR="005C421B" w:rsidRPr="00B87E45" w:rsidRDefault="005C421B"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6BF8" w14:textId="3D251EDA" w:rsidR="005C421B" w:rsidRPr="00073D52" w:rsidRDefault="005C421B"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75E063F8" wp14:editId="4482CD26">
              <wp:simplePos x="0" y="0"/>
              <wp:positionH relativeFrom="margin">
                <wp:align>right</wp:align>
              </wp:positionH>
              <wp:positionV relativeFrom="page">
                <wp:align>bottom</wp:align>
              </wp:positionV>
              <wp:extent cx="332105" cy="72644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1C29353" w14:textId="430FE568" w:rsidR="005C421B" w:rsidRPr="00825B23" w:rsidRDefault="005C421B"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6E1A66">
                            <w:rPr>
                              <w:b w:val="0"/>
                              <w:bCs/>
                              <w:noProof/>
                              <w:sz w:val="16"/>
                              <w:szCs w:val="16"/>
                            </w:rPr>
                            <w:t>25</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E063F8" id="_x0000_t202" coordsize="21600,21600" o:spt="202" path="m,l,21600r21600,l21600,xe">
              <v:stroke joinstyle="miter"/>
              <v:path gradientshapeok="t" o:connecttype="rect"/>
            </v:shapetype>
            <v:shape id="_x0000_s1030" type="#_x0000_t202" style="position:absolute;margin-left:-25.05pt;margin-top:0;width:26.15pt;height:57.2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" filled="f" stroked="f">
              <v:textbox inset="0,0,0,0">
                <w:txbxContent>
                  <w:p w14:paraId="61C29353" w14:textId="430FE568" w:rsidR="005C421B" w:rsidRPr="00825B23" w:rsidRDefault="005C421B"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6E1A66">
                      <w:rPr>
                        <w:b w:val="0"/>
                        <w:bCs/>
                        <w:noProof/>
                        <w:sz w:val="16"/>
                        <w:szCs w:val="16"/>
                      </w:rPr>
                      <w:t>25</w:t>
                    </w:r>
                    <w:r w:rsidRPr="00825B23">
                      <w:rPr>
                        <w:b w:val="0"/>
                        <w:bCs/>
                        <w:noProof/>
                        <w:sz w:val="16"/>
                        <w:szCs w:val="16"/>
                      </w:rPr>
                      <w:fldChar w:fldCharType="end"/>
                    </w:r>
                  </w:p>
                </w:txbxContent>
              </v:textbox>
              <w10:wrap anchorx="margin" anchory="page"/>
              <w10:anchorlock/>
            </v:shape>
          </w:pict>
        </mc:Fallback>
      </mc:AlternateContent>
    </w:r>
  </w:p>
  <w:p w14:paraId="5952FCA2" w14:textId="0CCDB957" w:rsidR="005C421B" w:rsidRPr="008E1AD7" w:rsidRDefault="005C421B" w:rsidP="0023714F">
    <w:pPr>
      <w:pStyle w:val="Footer"/>
      <w:spacing w:after="500"/>
      <w:ind w:right="-144"/>
      <w:contextualSpacing/>
      <w:jc w:val="left"/>
      <w:rPr>
        <w:rFonts w:asciiTheme="minorHAnsi" w:hAnsiTheme="minorHAnsi" w:cstheme="minorHAnsi"/>
        <w:b w:val="0"/>
        <w:bCs/>
        <w:i/>
        <w:iCs/>
        <w:caps w:val="0"/>
        <w:color w:val="auto"/>
        <w:sz w:val="18"/>
        <w:szCs w:val="18"/>
      </w:rPr>
    </w:pPr>
    <w:r w:rsidRPr="008E1AD7">
      <w:rPr>
        <w:rFonts w:asciiTheme="minorHAnsi" w:hAnsiTheme="minorHAnsi" w:cstheme="minorHAnsi"/>
        <w:b w:val="0"/>
        <w:bCs/>
        <w:color w:val="auto"/>
        <w:sz w:val="18"/>
        <w:szCs w:val="18"/>
      </w:rPr>
      <w:t xml:space="preserve">Department of Agriculture, water and the environment | </w:t>
    </w:r>
    <w:sdt>
      <w:sdtPr>
        <w:rPr>
          <w:rFonts w:asciiTheme="minorHAnsi" w:hAnsiTheme="minorHAnsi" w:cstheme="minorHAnsi"/>
          <w:b w:val="0"/>
          <w:bCs/>
          <w:i/>
          <w:iCs/>
          <w:caps w:val="0"/>
          <w:color w:val="auto"/>
          <w:sz w:val="18"/>
          <w:szCs w:val="18"/>
        </w:rPr>
        <w:alias w:val="Document Heading"/>
        <w:tag w:val="DH"/>
        <w:id w:val="907726630"/>
        <w:placeholder>
          <w:docPart w:val="219620ADD92642389C5D4B3C4F0DC506"/>
        </w:placeholder>
        <w:dataBinding w:xpath="/root[1]/DH[1]" w:storeItemID="{F533AE62-A212-4B26-92DA-A3B336E8AE06}"/>
        <w:text/>
      </w:sdtPr>
      <w:sdtEndPr/>
      <w:sdtContent>
        <w:r w:rsidRPr="008E1AD7">
          <w:rPr>
            <w:rFonts w:asciiTheme="minorHAnsi" w:hAnsiTheme="minorHAnsi" w:cstheme="minorHAnsi"/>
            <w:b w:val="0"/>
            <w:bCs/>
            <w:i/>
            <w:iCs/>
            <w:caps w:val="0"/>
            <w:color w:val="auto"/>
            <w:sz w:val="18"/>
            <w:szCs w:val="18"/>
          </w:rPr>
          <w:t>Pratique and human health: amendments to the Biosecurity Act 2015</w:t>
        </w:r>
      </w:sdtContent>
    </w:sdt>
  </w:p>
  <w:p w14:paraId="4B4BE711" w14:textId="77777777" w:rsidR="005C421B" w:rsidRPr="008E1AD7" w:rsidRDefault="005C421B" w:rsidP="0023714F">
    <w:pPr>
      <w:pStyle w:val="Footer"/>
      <w:spacing w:after="500"/>
      <w:ind w:right="-144"/>
      <w:contextualSpacing/>
      <w:jc w:val="left"/>
      <w:rPr>
        <w:rFonts w:asciiTheme="minorHAnsi" w:hAnsiTheme="minorHAnsi" w:cstheme="minorHAnsi"/>
        <w:b w:val="0"/>
        <w:bCs/>
        <w:color w:val="auto"/>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533550254"/>
      <w:dataBinding w:xpath="/root[1]/Classification[1]" w:storeItemID="{F533AE62-A212-4B26-92DA-A3B336E8AE06}"/>
      <w:text/>
    </w:sdtPr>
    <w:sdtEndPr/>
    <w:sdtContent>
      <w:p w14:paraId="0045E4F1" w14:textId="77777777" w:rsidR="005C421B" w:rsidRPr="00B87E45" w:rsidRDefault="005C421B" w:rsidP="00917F95">
        <w:pPr>
          <w:pStyle w:val="ProtectiveMarking"/>
        </w:pPr>
        <w:r>
          <w:t>Choose Classification</w:t>
        </w:r>
      </w:p>
    </w:sdtContent>
  </w:sdt>
  <w:p w14:paraId="146C99DD" w14:textId="77777777" w:rsidR="005C421B" w:rsidRPr="00073D52" w:rsidRDefault="005C421B" w:rsidP="00917F95">
    <w:pPr>
      <w:pStyle w:val="Footerline"/>
    </w:pPr>
  </w:p>
  <w:p w14:paraId="2557827D" w14:textId="0FC84E43" w:rsidR="005C421B" w:rsidRPr="00195BA8" w:rsidRDefault="005C421B"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123696224"/>
        <w:placeholder>
          <w:docPart w:val="4A1B4207812C47D4A115D0D13B555E30"/>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964344218"/>
        <w:placeholder>
          <w:docPart w:val="8FA75C6A6517453A8BB1CBCC6A673432"/>
        </w:placeholder>
        <w:dataBinding w:xpath="/root[1]/DH[1]" w:storeItemID="{F533AE62-A212-4B26-92DA-A3B336E8AE06}"/>
        <w:text/>
      </w:sdtPr>
      <w:sdtEndPr/>
      <w:sdtContent>
        <w:r>
          <w:rPr>
            <w:b w:val="0"/>
            <w:bCs/>
            <w:caps w:val="0"/>
            <w:color w:val="25303B" w:themeColor="accent1"/>
            <w:sz w:val="16"/>
            <w:szCs w:val="16"/>
          </w:rPr>
          <w:t>Pratique and human health: amendments to the Biosecurity Act 2015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9AE4" w14:textId="77777777" w:rsidR="00BA0876" w:rsidRPr="003A7E73" w:rsidRDefault="00BA0876" w:rsidP="00B95533">
      <w:pPr>
        <w:spacing w:after="0" w:line="240" w:lineRule="auto"/>
        <w:rPr>
          <w:color w:val="014463" w:themeColor="accent2"/>
        </w:rPr>
      </w:pPr>
      <w:r w:rsidRPr="003A7E73">
        <w:rPr>
          <w:color w:val="014463" w:themeColor="accent2"/>
        </w:rPr>
        <w:separator/>
      </w:r>
    </w:p>
  </w:footnote>
  <w:footnote w:type="continuationSeparator" w:id="0">
    <w:p w14:paraId="7A2BA88D" w14:textId="77777777" w:rsidR="00BA0876" w:rsidRPr="003A7E73" w:rsidRDefault="00BA0876" w:rsidP="00B95533">
      <w:pPr>
        <w:spacing w:after="0" w:line="240" w:lineRule="auto"/>
        <w:rPr>
          <w:color w:val="014463" w:themeColor="accent2"/>
        </w:rPr>
      </w:pPr>
      <w:r w:rsidRPr="003A7E73">
        <w:rPr>
          <w:color w:val="014463" w:themeColor="accent2"/>
        </w:rPr>
        <w:continuationSeparator/>
      </w:r>
    </w:p>
  </w:footnote>
  <w:footnote w:type="continuationNotice" w:id="1">
    <w:p w14:paraId="03EC4CA0" w14:textId="77777777" w:rsidR="00BA0876" w:rsidRDefault="00BA0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2090721454"/>
      <w:dataBinding w:xpath="/root[1]/Classification[1]" w:storeItemID="{F533AE62-A212-4B26-92DA-A3B336E8AE06}"/>
      <w:text/>
    </w:sdtPr>
    <w:sdtEndPr/>
    <w:sdtContent>
      <w:p w14:paraId="658AD9A7" w14:textId="77777777" w:rsidR="005C421B" w:rsidRPr="00B87E45" w:rsidRDefault="005C421B" w:rsidP="001007B9">
        <w:pPr>
          <w:pStyle w:val="ProtectiveMarking"/>
        </w:pPr>
        <w:r>
          <w:t>Choose Classification</w:t>
        </w:r>
      </w:p>
    </w:sdtContent>
  </w:sdt>
  <w:p w14:paraId="1ACCBA28" w14:textId="77777777" w:rsidR="005C421B" w:rsidRPr="00073D52" w:rsidRDefault="005C421B" w:rsidP="001007B9">
    <w:pPr>
      <w:pStyle w:val="Footerline"/>
    </w:pPr>
  </w:p>
  <w:p w14:paraId="3B0E45E1" w14:textId="77777777" w:rsidR="005C421B" w:rsidRDefault="005C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840537962"/>
      <w:dataBinding w:xpath="/root[1]/Classification[1]" w:storeItemID="{F533AE62-A212-4B26-92DA-A3B336E8AE06}"/>
      <w:text/>
    </w:sdtPr>
    <w:sdtEndPr/>
    <w:sdtContent>
      <w:p w14:paraId="798A1060" w14:textId="77777777" w:rsidR="005C421B" w:rsidRPr="00B87E45" w:rsidRDefault="005C421B" w:rsidP="00663EAD">
        <w:pPr>
          <w:pStyle w:val="ProtectiveMarking"/>
        </w:pPr>
        <w:r>
          <w:t>Choose Classification</w:t>
        </w:r>
      </w:p>
    </w:sdtContent>
  </w:sdt>
  <w:p w14:paraId="40A32285" w14:textId="77777777" w:rsidR="005C421B" w:rsidRPr="00073D52" w:rsidRDefault="005C421B" w:rsidP="00663EAD">
    <w:pPr>
      <w:pStyle w:val="Footerline"/>
    </w:pPr>
  </w:p>
  <w:p w14:paraId="4D7014AB" w14:textId="77777777" w:rsidR="005C421B" w:rsidRDefault="005C4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AEF" w14:textId="77777777" w:rsidR="005C421B" w:rsidRPr="00753174" w:rsidRDefault="005C421B" w:rsidP="00753174">
    <w:pPr>
      <w:pStyle w:val="Header"/>
    </w:pPr>
  </w:p>
  <w:p w14:paraId="5E89E8E0" w14:textId="77777777" w:rsidR="005C421B" w:rsidRPr="00753174" w:rsidRDefault="005C421B"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1222554173"/>
      <w:dataBinding w:xpath="/root[1]/Classification[1]" w:storeItemID="{F533AE62-A212-4B26-92DA-A3B336E8AE06}"/>
      <w:text/>
    </w:sdtPr>
    <w:sdtEndPr/>
    <w:sdtContent>
      <w:p w14:paraId="651C0E06" w14:textId="77777777" w:rsidR="005C421B" w:rsidRPr="00B87E45" w:rsidRDefault="005C421B" w:rsidP="00663EAD">
        <w:pPr>
          <w:pStyle w:val="ProtectiveMarking"/>
        </w:pPr>
        <w:r>
          <w:t>Choose Classification</w:t>
        </w:r>
      </w:p>
    </w:sdtContent>
  </w:sdt>
  <w:p w14:paraId="0052D7D2" w14:textId="77777777" w:rsidR="005C421B" w:rsidRPr="00073D52" w:rsidRDefault="005C421B" w:rsidP="00663EAD">
    <w:pPr>
      <w:pStyle w:val="Footerline"/>
    </w:pPr>
  </w:p>
  <w:p w14:paraId="052E4C63" w14:textId="77777777" w:rsidR="005C421B" w:rsidRDefault="005C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0A2F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7AC6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3E6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223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F84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E8F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64B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4C0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18E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5CD3D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01C60DF"/>
    <w:multiLevelType w:val="hybridMultilevel"/>
    <w:tmpl w:val="D3D66632"/>
    <w:lvl w:ilvl="0" w:tplc="77323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0392AE6"/>
    <w:multiLevelType w:val="hybridMultilevel"/>
    <w:tmpl w:val="73807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8B2EA1"/>
    <w:multiLevelType w:val="hybridMultilevel"/>
    <w:tmpl w:val="49606DE4"/>
    <w:lvl w:ilvl="0" w:tplc="78DAAA36">
      <w:start w:val="1"/>
      <w:numFmt w:val="bullet"/>
      <w:lvlText w:val="o"/>
      <w:lvlJc w:val="left"/>
      <w:pPr>
        <w:ind w:left="1080" w:hanging="360"/>
      </w:pPr>
      <w:rPr>
        <w:rFonts w:ascii="Courier New" w:hAnsi="Courier New" w:cs="Courier New" w:hint="default"/>
      </w:rPr>
    </w:lvl>
    <w:lvl w:ilvl="1" w:tplc="590801AA" w:tentative="1">
      <w:start w:val="1"/>
      <w:numFmt w:val="bullet"/>
      <w:lvlText w:val="o"/>
      <w:lvlJc w:val="left"/>
      <w:pPr>
        <w:ind w:left="1800" w:hanging="360"/>
      </w:pPr>
      <w:rPr>
        <w:rFonts w:ascii="Courier New" w:hAnsi="Courier New" w:cs="Courier New" w:hint="default"/>
      </w:rPr>
    </w:lvl>
    <w:lvl w:ilvl="2" w:tplc="4E20AFF6" w:tentative="1">
      <w:start w:val="1"/>
      <w:numFmt w:val="bullet"/>
      <w:lvlText w:val=""/>
      <w:lvlJc w:val="left"/>
      <w:pPr>
        <w:ind w:left="2520" w:hanging="360"/>
      </w:pPr>
      <w:rPr>
        <w:rFonts w:ascii="Wingdings" w:hAnsi="Wingdings" w:hint="default"/>
      </w:rPr>
    </w:lvl>
    <w:lvl w:ilvl="3" w:tplc="EC82E576" w:tentative="1">
      <w:start w:val="1"/>
      <w:numFmt w:val="bullet"/>
      <w:lvlText w:val=""/>
      <w:lvlJc w:val="left"/>
      <w:pPr>
        <w:ind w:left="3240" w:hanging="360"/>
      </w:pPr>
      <w:rPr>
        <w:rFonts w:ascii="Symbol" w:hAnsi="Symbol" w:hint="default"/>
      </w:rPr>
    </w:lvl>
    <w:lvl w:ilvl="4" w:tplc="9676C066" w:tentative="1">
      <w:start w:val="1"/>
      <w:numFmt w:val="bullet"/>
      <w:lvlText w:val="o"/>
      <w:lvlJc w:val="left"/>
      <w:pPr>
        <w:ind w:left="3960" w:hanging="360"/>
      </w:pPr>
      <w:rPr>
        <w:rFonts w:ascii="Courier New" w:hAnsi="Courier New" w:cs="Courier New" w:hint="default"/>
      </w:rPr>
    </w:lvl>
    <w:lvl w:ilvl="5" w:tplc="90F6B770" w:tentative="1">
      <w:start w:val="1"/>
      <w:numFmt w:val="bullet"/>
      <w:lvlText w:val=""/>
      <w:lvlJc w:val="left"/>
      <w:pPr>
        <w:ind w:left="4680" w:hanging="360"/>
      </w:pPr>
      <w:rPr>
        <w:rFonts w:ascii="Wingdings" w:hAnsi="Wingdings" w:hint="default"/>
      </w:rPr>
    </w:lvl>
    <w:lvl w:ilvl="6" w:tplc="C2D03972" w:tentative="1">
      <w:start w:val="1"/>
      <w:numFmt w:val="bullet"/>
      <w:lvlText w:val=""/>
      <w:lvlJc w:val="left"/>
      <w:pPr>
        <w:ind w:left="5400" w:hanging="360"/>
      </w:pPr>
      <w:rPr>
        <w:rFonts w:ascii="Symbol" w:hAnsi="Symbol" w:hint="default"/>
      </w:rPr>
    </w:lvl>
    <w:lvl w:ilvl="7" w:tplc="26DE8DF8" w:tentative="1">
      <w:start w:val="1"/>
      <w:numFmt w:val="bullet"/>
      <w:lvlText w:val="o"/>
      <w:lvlJc w:val="left"/>
      <w:pPr>
        <w:ind w:left="6120" w:hanging="360"/>
      </w:pPr>
      <w:rPr>
        <w:rFonts w:ascii="Courier New" w:hAnsi="Courier New" w:cs="Courier New" w:hint="default"/>
      </w:rPr>
    </w:lvl>
    <w:lvl w:ilvl="8" w:tplc="D43CBB8C" w:tentative="1">
      <w:start w:val="1"/>
      <w:numFmt w:val="bullet"/>
      <w:lvlText w:val=""/>
      <w:lvlJc w:val="left"/>
      <w:pPr>
        <w:ind w:left="6840" w:hanging="360"/>
      </w:pPr>
      <w:rPr>
        <w:rFonts w:ascii="Wingdings" w:hAnsi="Wingdings" w:hint="default"/>
      </w:rPr>
    </w:lvl>
  </w:abstractNum>
  <w:abstractNum w:abstractNumId="13" w15:restartNumberingAfterBreak="0">
    <w:nsid w:val="030B7C6A"/>
    <w:multiLevelType w:val="multilevel"/>
    <w:tmpl w:val="E89AFFE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454" w:hanging="284"/>
      </w:pPr>
      <w:rPr>
        <w:rFonts w:hint="default"/>
      </w:rPr>
    </w:lvl>
    <w:lvl w:ilvl="2">
      <w:start w:val="1"/>
      <w:numFmt w:val="upperRoman"/>
      <w:lvlText w:val="%3"/>
      <w:lvlJc w:val="left"/>
      <w:pPr>
        <w:ind w:left="624" w:hanging="284"/>
      </w:pPr>
      <w:rPr>
        <w:rFonts w:hint="default"/>
      </w:rPr>
    </w:lvl>
    <w:lvl w:ilvl="3">
      <w:start w:val="1"/>
      <w:numFmt w:val="decimal"/>
      <w:lvlText w:val="%4."/>
      <w:lvlJc w:val="left"/>
      <w:pPr>
        <w:ind w:left="794" w:hanging="284"/>
      </w:pPr>
      <w:rPr>
        <w:rFonts w:hint="default"/>
      </w:rPr>
    </w:lvl>
    <w:lvl w:ilvl="4">
      <w:start w:val="1"/>
      <w:numFmt w:val="lowerLetter"/>
      <w:lvlText w:val="%5."/>
      <w:lvlJc w:val="left"/>
      <w:pPr>
        <w:ind w:left="964" w:hanging="284"/>
      </w:pPr>
      <w:rPr>
        <w:rFonts w:hint="default"/>
      </w:rPr>
    </w:lvl>
    <w:lvl w:ilvl="5">
      <w:start w:val="1"/>
      <w:numFmt w:val="lowerRoman"/>
      <w:lvlText w:val="%6."/>
      <w:lvlJc w:val="right"/>
      <w:pPr>
        <w:ind w:left="1134" w:hanging="284"/>
      </w:pPr>
      <w:rPr>
        <w:rFonts w:hint="default"/>
      </w:rPr>
    </w:lvl>
    <w:lvl w:ilvl="6">
      <w:start w:val="1"/>
      <w:numFmt w:val="decimal"/>
      <w:lvlText w:val="%7."/>
      <w:lvlJc w:val="left"/>
      <w:pPr>
        <w:ind w:left="1304" w:hanging="284"/>
      </w:pPr>
      <w:rPr>
        <w:rFonts w:hint="default"/>
      </w:rPr>
    </w:lvl>
    <w:lvl w:ilvl="7">
      <w:start w:val="1"/>
      <w:numFmt w:val="lowerLetter"/>
      <w:lvlText w:val="%8."/>
      <w:lvlJc w:val="left"/>
      <w:pPr>
        <w:ind w:left="1474" w:hanging="284"/>
      </w:pPr>
      <w:rPr>
        <w:rFonts w:hint="default"/>
      </w:rPr>
    </w:lvl>
    <w:lvl w:ilvl="8">
      <w:start w:val="1"/>
      <w:numFmt w:val="lowerRoman"/>
      <w:lvlText w:val="%9."/>
      <w:lvlJc w:val="right"/>
      <w:pPr>
        <w:ind w:left="1644" w:hanging="284"/>
      </w:pPr>
      <w:rPr>
        <w:rFonts w:hint="default"/>
      </w:rPr>
    </w:lvl>
  </w:abstractNum>
  <w:abstractNum w:abstractNumId="14"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5" w15:restartNumberingAfterBreak="0">
    <w:nsid w:val="10622194"/>
    <w:multiLevelType w:val="hybridMultilevel"/>
    <w:tmpl w:val="BF70B8AE"/>
    <w:lvl w:ilvl="0" w:tplc="9AC4D2EC">
      <w:start w:val="1"/>
      <w:numFmt w:val="bullet"/>
      <w:lvlText w:val=""/>
      <w:lvlJc w:val="left"/>
      <w:pPr>
        <w:tabs>
          <w:tab w:val="num" w:pos="720"/>
        </w:tabs>
        <w:ind w:left="720" w:hanging="360"/>
      </w:pPr>
      <w:rPr>
        <w:rFonts w:ascii="Symbol" w:hAnsi="Symbol" w:hint="default"/>
      </w:rPr>
    </w:lvl>
    <w:lvl w:ilvl="1" w:tplc="448639CA" w:tentative="1">
      <w:start w:val="1"/>
      <w:numFmt w:val="bullet"/>
      <w:lvlText w:val=""/>
      <w:lvlJc w:val="left"/>
      <w:pPr>
        <w:tabs>
          <w:tab w:val="num" w:pos="1440"/>
        </w:tabs>
        <w:ind w:left="1440" w:hanging="360"/>
      </w:pPr>
      <w:rPr>
        <w:rFonts w:ascii="Symbol" w:hAnsi="Symbol" w:hint="default"/>
      </w:rPr>
    </w:lvl>
    <w:lvl w:ilvl="2" w:tplc="47BA1BEC" w:tentative="1">
      <w:start w:val="1"/>
      <w:numFmt w:val="bullet"/>
      <w:lvlText w:val=""/>
      <w:lvlJc w:val="left"/>
      <w:pPr>
        <w:tabs>
          <w:tab w:val="num" w:pos="2160"/>
        </w:tabs>
        <w:ind w:left="2160" w:hanging="360"/>
      </w:pPr>
      <w:rPr>
        <w:rFonts w:ascii="Symbol" w:hAnsi="Symbol" w:hint="default"/>
      </w:rPr>
    </w:lvl>
    <w:lvl w:ilvl="3" w:tplc="98103ADC" w:tentative="1">
      <w:start w:val="1"/>
      <w:numFmt w:val="bullet"/>
      <w:lvlText w:val=""/>
      <w:lvlJc w:val="left"/>
      <w:pPr>
        <w:tabs>
          <w:tab w:val="num" w:pos="2880"/>
        </w:tabs>
        <w:ind w:left="2880" w:hanging="360"/>
      </w:pPr>
      <w:rPr>
        <w:rFonts w:ascii="Symbol" w:hAnsi="Symbol" w:hint="default"/>
      </w:rPr>
    </w:lvl>
    <w:lvl w:ilvl="4" w:tplc="93B62968" w:tentative="1">
      <w:start w:val="1"/>
      <w:numFmt w:val="bullet"/>
      <w:lvlText w:val=""/>
      <w:lvlJc w:val="left"/>
      <w:pPr>
        <w:tabs>
          <w:tab w:val="num" w:pos="3600"/>
        </w:tabs>
        <w:ind w:left="3600" w:hanging="360"/>
      </w:pPr>
      <w:rPr>
        <w:rFonts w:ascii="Symbol" w:hAnsi="Symbol" w:hint="default"/>
      </w:rPr>
    </w:lvl>
    <w:lvl w:ilvl="5" w:tplc="F79EEF68" w:tentative="1">
      <w:start w:val="1"/>
      <w:numFmt w:val="bullet"/>
      <w:lvlText w:val=""/>
      <w:lvlJc w:val="left"/>
      <w:pPr>
        <w:tabs>
          <w:tab w:val="num" w:pos="4320"/>
        </w:tabs>
        <w:ind w:left="4320" w:hanging="360"/>
      </w:pPr>
      <w:rPr>
        <w:rFonts w:ascii="Symbol" w:hAnsi="Symbol" w:hint="default"/>
      </w:rPr>
    </w:lvl>
    <w:lvl w:ilvl="6" w:tplc="F5A8CDE8" w:tentative="1">
      <w:start w:val="1"/>
      <w:numFmt w:val="bullet"/>
      <w:lvlText w:val=""/>
      <w:lvlJc w:val="left"/>
      <w:pPr>
        <w:tabs>
          <w:tab w:val="num" w:pos="5040"/>
        </w:tabs>
        <w:ind w:left="5040" w:hanging="360"/>
      </w:pPr>
      <w:rPr>
        <w:rFonts w:ascii="Symbol" w:hAnsi="Symbol" w:hint="default"/>
      </w:rPr>
    </w:lvl>
    <w:lvl w:ilvl="7" w:tplc="EE6895E2" w:tentative="1">
      <w:start w:val="1"/>
      <w:numFmt w:val="bullet"/>
      <w:lvlText w:val=""/>
      <w:lvlJc w:val="left"/>
      <w:pPr>
        <w:tabs>
          <w:tab w:val="num" w:pos="5760"/>
        </w:tabs>
        <w:ind w:left="5760" w:hanging="360"/>
      </w:pPr>
      <w:rPr>
        <w:rFonts w:ascii="Symbol" w:hAnsi="Symbol" w:hint="default"/>
      </w:rPr>
    </w:lvl>
    <w:lvl w:ilvl="8" w:tplc="A65A3D8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0BB19B2"/>
    <w:multiLevelType w:val="hybridMultilevel"/>
    <w:tmpl w:val="0A2EC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6F10D1"/>
    <w:multiLevelType w:val="hybridMultilevel"/>
    <w:tmpl w:val="E04C66E4"/>
    <w:lvl w:ilvl="0" w:tplc="2012D870">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7542464"/>
    <w:multiLevelType w:val="multilevel"/>
    <w:tmpl w:val="74266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EF3BA9"/>
    <w:multiLevelType w:val="hybridMultilevel"/>
    <w:tmpl w:val="EAC2D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BA1594"/>
    <w:multiLevelType w:val="hybridMultilevel"/>
    <w:tmpl w:val="98488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8E43DB"/>
    <w:multiLevelType w:val="hybridMultilevel"/>
    <w:tmpl w:val="CD303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F96C8B"/>
    <w:multiLevelType w:val="hybridMultilevel"/>
    <w:tmpl w:val="A3C0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2736BE"/>
    <w:multiLevelType w:val="hybridMultilevel"/>
    <w:tmpl w:val="CB783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B739E"/>
    <w:multiLevelType w:val="hybridMultilevel"/>
    <w:tmpl w:val="8CD8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7001E"/>
    <w:multiLevelType w:val="hybridMultilevel"/>
    <w:tmpl w:val="4C7CB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520959"/>
    <w:multiLevelType w:val="multilevel"/>
    <w:tmpl w:val="93E4FAE6"/>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7" w15:restartNumberingAfterBreak="0">
    <w:nsid w:val="3E6A2CB7"/>
    <w:multiLevelType w:val="hybridMultilevel"/>
    <w:tmpl w:val="398C33DE"/>
    <w:lvl w:ilvl="0" w:tplc="13483188">
      <w:start w:val="1"/>
      <w:numFmt w:val="bullet"/>
      <w:lvlText w:val=""/>
      <w:lvlJc w:val="left"/>
      <w:pPr>
        <w:tabs>
          <w:tab w:val="num" w:pos="720"/>
        </w:tabs>
        <w:ind w:left="720" w:hanging="360"/>
      </w:pPr>
      <w:rPr>
        <w:rFonts w:ascii="Symbol" w:hAnsi="Symbol" w:hint="default"/>
      </w:rPr>
    </w:lvl>
    <w:lvl w:ilvl="1" w:tplc="7C2C33B0" w:tentative="1">
      <w:start w:val="1"/>
      <w:numFmt w:val="bullet"/>
      <w:lvlText w:val=""/>
      <w:lvlJc w:val="left"/>
      <w:pPr>
        <w:tabs>
          <w:tab w:val="num" w:pos="1440"/>
        </w:tabs>
        <w:ind w:left="1440" w:hanging="360"/>
      </w:pPr>
      <w:rPr>
        <w:rFonts w:ascii="Symbol" w:hAnsi="Symbol" w:hint="default"/>
      </w:rPr>
    </w:lvl>
    <w:lvl w:ilvl="2" w:tplc="5AFA911C" w:tentative="1">
      <w:start w:val="1"/>
      <w:numFmt w:val="bullet"/>
      <w:lvlText w:val=""/>
      <w:lvlJc w:val="left"/>
      <w:pPr>
        <w:tabs>
          <w:tab w:val="num" w:pos="2160"/>
        </w:tabs>
        <w:ind w:left="2160" w:hanging="360"/>
      </w:pPr>
      <w:rPr>
        <w:rFonts w:ascii="Symbol" w:hAnsi="Symbol" w:hint="default"/>
      </w:rPr>
    </w:lvl>
    <w:lvl w:ilvl="3" w:tplc="521A380E" w:tentative="1">
      <w:start w:val="1"/>
      <w:numFmt w:val="bullet"/>
      <w:lvlText w:val=""/>
      <w:lvlJc w:val="left"/>
      <w:pPr>
        <w:tabs>
          <w:tab w:val="num" w:pos="2880"/>
        </w:tabs>
        <w:ind w:left="2880" w:hanging="360"/>
      </w:pPr>
      <w:rPr>
        <w:rFonts w:ascii="Symbol" w:hAnsi="Symbol" w:hint="default"/>
      </w:rPr>
    </w:lvl>
    <w:lvl w:ilvl="4" w:tplc="ECC845B8" w:tentative="1">
      <w:start w:val="1"/>
      <w:numFmt w:val="bullet"/>
      <w:lvlText w:val=""/>
      <w:lvlJc w:val="left"/>
      <w:pPr>
        <w:tabs>
          <w:tab w:val="num" w:pos="3600"/>
        </w:tabs>
        <w:ind w:left="3600" w:hanging="360"/>
      </w:pPr>
      <w:rPr>
        <w:rFonts w:ascii="Symbol" w:hAnsi="Symbol" w:hint="default"/>
      </w:rPr>
    </w:lvl>
    <w:lvl w:ilvl="5" w:tplc="1F0432DE" w:tentative="1">
      <w:start w:val="1"/>
      <w:numFmt w:val="bullet"/>
      <w:lvlText w:val=""/>
      <w:lvlJc w:val="left"/>
      <w:pPr>
        <w:tabs>
          <w:tab w:val="num" w:pos="4320"/>
        </w:tabs>
        <w:ind w:left="4320" w:hanging="360"/>
      </w:pPr>
      <w:rPr>
        <w:rFonts w:ascii="Symbol" w:hAnsi="Symbol" w:hint="default"/>
      </w:rPr>
    </w:lvl>
    <w:lvl w:ilvl="6" w:tplc="C078368E" w:tentative="1">
      <w:start w:val="1"/>
      <w:numFmt w:val="bullet"/>
      <w:lvlText w:val=""/>
      <w:lvlJc w:val="left"/>
      <w:pPr>
        <w:tabs>
          <w:tab w:val="num" w:pos="5040"/>
        </w:tabs>
        <w:ind w:left="5040" w:hanging="360"/>
      </w:pPr>
      <w:rPr>
        <w:rFonts w:ascii="Symbol" w:hAnsi="Symbol" w:hint="default"/>
      </w:rPr>
    </w:lvl>
    <w:lvl w:ilvl="7" w:tplc="670CD68A" w:tentative="1">
      <w:start w:val="1"/>
      <w:numFmt w:val="bullet"/>
      <w:lvlText w:val=""/>
      <w:lvlJc w:val="left"/>
      <w:pPr>
        <w:tabs>
          <w:tab w:val="num" w:pos="5760"/>
        </w:tabs>
        <w:ind w:left="5760" w:hanging="360"/>
      </w:pPr>
      <w:rPr>
        <w:rFonts w:ascii="Symbol" w:hAnsi="Symbol" w:hint="default"/>
      </w:rPr>
    </w:lvl>
    <w:lvl w:ilvl="8" w:tplc="2C2E635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49D7BA0"/>
    <w:multiLevelType w:val="hybridMultilevel"/>
    <w:tmpl w:val="475E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481011"/>
    <w:multiLevelType w:val="multilevel"/>
    <w:tmpl w:val="AD0C1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30" w15:restartNumberingAfterBreak="0">
    <w:nsid w:val="4BAF30A5"/>
    <w:multiLevelType w:val="hybridMultilevel"/>
    <w:tmpl w:val="DF2639C0"/>
    <w:lvl w:ilvl="0" w:tplc="0840D436">
      <w:start w:val="1"/>
      <w:numFmt w:val="bullet"/>
      <w:lvlText w:val=""/>
      <w:lvlJc w:val="left"/>
      <w:pPr>
        <w:tabs>
          <w:tab w:val="num" w:pos="720"/>
        </w:tabs>
        <w:ind w:left="720" w:hanging="360"/>
      </w:pPr>
      <w:rPr>
        <w:rFonts w:ascii="Symbol" w:hAnsi="Symbol" w:hint="default"/>
      </w:rPr>
    </w:lvl>
    <w:lvl w:ilvl="1" w:tplc="AE768BBC" w:tentative="1">
      <w:start w:val="1"/>
      <w:numFmt w:val="bullet"/>
      <w:lvlText w:val=""/>
      <w:lvlJc w:val="left"/>
      <w:pPr>
        <w:tabs>
          <w:tab w:val="num" w:pos="1440"/>
        </w:tabs>
        <w:ind w:left="1440" w:hanging="360"/>
      </w:pPr>
      <w:rPr>
        <w:rFonts w:ascii="Symbol" w:hAnsi="Symbol" w:hint="default"/>
      </w:rPr>
    </w:lvl>
    <w:lvl w:ilvl="2" w:tplc="5734015C" w:tentative="1">
      <w:start w:val="1"/>
      <w:numFmt w:val="bullet"/>
      <w:lvlText w:val=""/>
      <w:lvlJc w:val="left"/>
      <w:pPr>
        <w:tabs>
          <w:tab w:val="num" w:pos="2160"/>
        </w:tabs>
        <w:ind w:left="2160" w:hanging="360"/>
      </w:pPr>
      <w:rPr>
        <w:rFonts w:ascii="Symbol" w:hAnsi="Symbol" w:hint="default"/>
      </w:rPr>
    </w:lvl>
    <w:lvl w:ilvl="3" w:tplc="86A61132" w:tentative="1">
      <w:start w:val="1"/>
      <w:numFmt w:val="bullet"/>
      <w:lvlText w:val=""/>
      <w:lvlJc w:val="left"/>
      <w:pPr>
        <w:tabs>
          <w:tab w:val="num" w:pos="2880"/>
        </w:tabs>
        <w:ind w:left="2880" w:hanging="360"/>
      </w:pPr>
      <w:rPr>
        <w:rFonts w:ascii="Symbol" w:hAnsi="Symbol" w:hint="default"/>
      </w:rPr>
    </w:lvl>
    <w:lvl w:ilvl="4" w:tplc="0CE4F5F2" w:tentative="1">
      <w:start w:val="1"/>
      <w:numFmt w:val="bullet"/>
      <w:lvlText w:val=""/>
      <w:lvlJc w:val="left"/>
      <w:pPr>
        <w:tabs>
          <w:tab w:val="num" w:pos="3600"/>
        </w:tabs>
        <w:ind w:left="3600" w:hanging="360"/>
      </w:pPr>
      <w:rPr>
        <w:rFonts w:ascii="Symbol" w:hAnsi="Symbol" w:hint="default"/>
      </w:rPr>
    </w:lvl>
    <w:lvl w:ilvl="5" w:tplc="DAB4B970" w:tentative="1">
      <w:start w:val="1"/>
      <w:numFmt w:val="bullet"/>
      <w:lvlText w:val=""/>
      <w:lvlJc w:val="left"/>
      <w:pPr>
        <w:tabs>
          <w:tab w:val="num" w:pos="4320"/>
        </w:tabs>
        <w:ind w:left="4320" w:hanging="360"/>
      </w:pPr>
      <w:rPr>
        <w:rFonts w:ascii="Symbol" w:hAnsi="Symbol" w:hint="default"/>
      </w:rPr>
    </w:lvl>
    <w:lvl w:ilvl="6" w:tplc="952A0D40" w:tentative="1">
      <w:start w:val="1"/>
      <w:numFmt w:val="bullet"/>
      <w:lvlText w:val=""/>
      <w:lvlJc w:val="left"/>
      <w:pPr>
        <w:tabs>
          <w:tab w:val="num" w:pos="5040"/>
        </w:tabs>
        <w:ind w:left="5040" w:hanging="360"/>
      </w:pPr>
      <w:rPr>
        <w:rFonts w:ascii="Symbol" w:hAnsi="Symbol" w:hint="default"/>
      </w:rPr>
    </w:lvl>
    <w:lvl w:ilvl="7" w:tplc="A53C9610" w:tentative="1">
      <w:start w:val="1"/>
      <w:numFmt w:val="bullet"/>
      <w:lvlText w:val=""/>
      <w:lvlJc w:val="left"/>
      <w:pPr>
        <w:tabs>
          <w:tab w:val="num" w:pos="5760"/>
        </w:tabs>
        <w:ind w:left="5760" w:hanging="360"/>
      </w:pPr>
      <w:rPr>
        <w:rFonts w:ascii="Symbol" w:hAnsi="Symbol" w:hint="default"/>
      </w:rPr>
    </w:lvl>
    <w:lvl w:ilvl="8" w:tplc="6360F3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FB1123A"/>
    <w:multiLevelType w:val="hybridMultilevel"/>
    <w:tmpl w:val="EDD6D228"/>
    <w:lvl w:ilvl="0" w:tplc="65A01E76">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9D63C0"/>
    <w:multiLevelType w:val="hybridMultilevel"/>
    <w:tmpl w:val="03B8FFDC"/>
    <w:lvl w:ilvl="0" w:tplc="559CACA8">
      <w:start w:val="1"/>
      <w:numFmt w:val="bullet"/>
      <w:lvlText w:val=""/>
      <w:lvlJc w:val="left"/>
      <w:pPr>
        <w:tabs>
          <w:tab w:val="num" w:pos="720"/>
        </w:tabs>
        <w:ind w:left="720" w:hanging="360"/>
      </w:pPr>
      <w:rPr>
        <w:rFonts w:ascii="Symbol" w:hAnsi="Symbol" w:hint="default"/>
      </w:rPr>
    </w:lvl>
    <w:lvl w:ilvl="1" w:tplc="2D86D0D0" w:tentative="1">
      <w:start w:val="1"/>
      <w:numFmt w:val="bullet"/>
      <w:lvlText w:val=""/>
      <w:lvlJc w:val="left"/>
      <w:pPr>
        <w:tabs>
          <w:tab w:val="num" w:pos="1440"/>
        </w:tabs>
        <w:ind w:left="1440" w:hanging="360"/>
      </w:pPr>
      <w:rPr>
        <w:rFonts w:ascii="Symbol" w:hAnsi="Symbol" w:hint="default"/>
      </w:rPr>
    </w:lvl>
    <w:lvl w:ilvl="2" w:tplc="6B785C50" w:tentative="1">
      <w:start w:val="1"/>
      <w:numFmt w:val="bullet"/>
      <w:lvlText w:val=""/>
      <w:lvlJc w:val="left"/>
      <w:pPr>
        <w:tabs>
          <w:tab w:val="num" w:pos="2160"/>
        </w:tabs>
        <w:ind w:left="2160" w:hanging="360"/>
      </w:pPr>
      <w:rPr>
        <w:rFonts w:ascii="Symbol" w:hAnsi="Symbol" w:hint="default"/>
      </w:rPr>
    </w:lvl>
    <w:lvl w:ilvl="3" w:tplc="026A1D22" w:tentative="1">
      <w:start w:val="1"/>
      <w:numFmt w:val="bullet"/>
      <w:lvlText w:val=""/>
      <w:lvlJc w:val="left"/>
      <w:pPr>
        <w:tabs>
          <w:tab w:val="num" w:pos="2880"/>
        </w:tabs>
        <w:ind w:left="2880" w:hanging="360"/>
      </w:pPr>
      <w:rPr>
        <w:rFonts w:ascii="Symbol" w:hAnsi="Symbol" w:hint="default"/>
      </w:rPr>
    </w:lvl>
    <w:lvl w:ilvl="4" w:tplc="2576964E" w:tentative="1">
      <w:start w:val="1"/>
      <w:numFmt w:val="bullet"/>
      <w:lvlText w:val=""/>
      <w:lvlJc w:val="left"/>
      <w:pPr>
        <w:tabs>
          <w:tab w:val="num" w:pos="3600"/>
        </w:tabs>
        <w:ind w:left="3600" w:hanging="360"/>
      </w:pPr>
      <w:rPr>
        <w:rFonts w:ascii="Symbol" w:hAnsi="Symbol" w:hint="default"/>
      </w:rPr>
    </w:lvl>
    <w:lvl w:ilvl="5" w:tplc="B2DA0544" w:tentative="1">
      <w:start w:val="1"/>
      <w:numFmt w:val="bullet"/>
      <w:lvlText w:val=""/>
      <w:lvlJc w:val="left"/>
      <w:pPr>
        <w:tabs>
          <w:tab w:val="num" w:pos="4320"/>
        </w:tabs>
        <w:ind w:left="4320" w:hanging="360"/>
      </w:pPr>
      <w:rPr>
        <w:rFonts w:ascii="Symbol" w:hAnsi="Symbol" w:hint="default"/>
      </w:rPr>
    </w:lvl>
    <w:lvl w:ilvl="6" w:tplc="70AE56DE" w:tentative="1">
      <w:start w:val="1"/>
      <w:numFmt w:val="bullet"/>
      <w:lvlText w:val=""/>
      <w:lvlJc w:val="left"/>
      <w:pPr>
        <w:tabs>
          <w:tab w:val="num" w:pos="5040"/>
        </w:tabs>
        <w:ind w:left="5040" w:hanging="360"/>
      </w:pPr>
      <w:rPr>
        <w:rFonts w:ascii="Symbol" w:hAnsi="Symbol" w:hint="default"/>
      </w:rPr>
    </w:lvl>
    <w:lvl w:ilvl="7" w:tplc="E00EF432" w:tentative="1">
      <w:start w:val="1"/>
      <w:numFmt w:val="bullet"/>
      <w:lvlText w:val=""/>
      <w:lvlJc w:val="left"/>
      <w:pPr>
        <w:tabs>
          <w:tab w:val="num" w:pos="5760"/>
        </w:tabs>
        <w:ind w:left="5760" w:hanging="360"/>
      </w:pPr>
      <w:rPr>
        <w:rFonts w:ascii="Symbol" w:hAnsi="Symbol" w:hint="default"/>
      </w:rPr>
    </w:lvl>
    <w:lvl w:ilvl="8" w:tplc="B48C0D7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8172468"/>
    <w:multiLevelType w:val="hybridMultilevel"/>
    <w:tmpl w:val="C172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5" w15:restartNumberingAfterBreak="0">
    <w:nsid w:val="604032B3"/>
    <w:multiLevelType w:val="hybridMultilevel"/>
    <w:tmpl w:val="4142FCBC"/>
    <w:lvl w:ilvl="0" w:tplc="8294F55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7" w15:restartNumberingAfterBreak="0">
    <w:nsid w:val="66C60BCD"/>
    <w:multiLevelType w:val="hybridMultilevel"/>
    <w:tmpl w:val="F4BED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6F92B51"/>
    <w:multiLevelType w:val="hybridMultilevel"/>
    <w:tmpl w:val="10363CAE"/>
    <w:lvl w:ilvl="0" w:tplc="48B0F7D4">
      <w:start w:val="1"/>
      <w:numFmt w:val="bullet"/>
      <w:lvlText w:val="o"/>
      <w:lvlJc w:val="left"/>
      <w:pPr>
        <w:ind w:left="1080" w:hanging="360"/>
      </w:pPr>
      <w:rPr>
        <w:rFonts w:ascii="Courier New" w:hAnsi="Courier New" w:cs="Courier New" w:hint="default"/>
      </w:rPr>
    </w:lvl>
    <w:lvl w:ilvl="1" w:tplc="36224642" w:tentative="1">
      <w:start w:val="1"/>
      <w:numFmt w:val="bullet"/>
      <w:lvlText w:val="o"/>
      <w:lvlJc w:val="left"/>
      <w:pPr>
        <w:ind w:left="1800" w:hanging="360"/>
      </w:pPr>
      <w:rPr>
        <w:rFonts w:ascii="Courier New" w:hAnsi="Courier New" w:cs="Courier New" w:hint="default"/>
      </w:rPr>
    </w:lvl>
    <w:lvl w:ilvl="2" w:tplc="E2E054DE" w:tentative="1">
      <w:start w:val="1"/>
      <w:numFmt w:val="bullet"/>
      <w:lvlText w:val=""/>
      <w:lvlJc w:val="left"/>
      <w:pPr>
        <w:ind w:left="2520" w:hanging="360"/>
      </w:pPr>
      <w:rPr>
        <w:rFonts w:ascii="Wingdings" w:hAnsi="Wingdings" w:hint="default"/>
      </w:rPr>
    </w:lvl>
    <w:lvl w:ilvl="3" w:tplc="1B7A9B5E" w:tentative="1">
      <w:start w:val="1"/>
      <w:numFmt w:val="bullet"/>
      <w:lvlText w:val=""/>
      <w:lvlJc w:val="left"/>
      <w:pPr>
        <w:ind w:left="3240" w:hanging="360"/>
      </w:pPr>
      <w:rPr>
        <w:rFonts w:ascii="Symbol" w:hAnsi="Symbol" w:hint="default"/>
      </w:rPr>
    </w:lvl>
    <w:lvl w:ilvl="4" w:tplc="DE5856BA" w:tentative="1">
      <w:start w:val="1"/>
      <w:numFmt w:val="bullet"/>
      <w:lvlText w:val="o"/>
      <w:lvlJc w:val="left"/>
      <w:pPr>
        <w:ind w:left="3960" w:hanging="360"/>
      </w:pPr>
      <w:rPr>
        <w:rFonts w:ascii="Courier New" w:hAnsi="Courier New" w:cs="Courier New" w:hint="default"/>
      </w:rPr>
    </w:lvl>
    <w:lvl w:ilvl="5" w:tplc="BA200C50" w:tentative="1">
      <w:start w:val="1"/>
      <w:numFmt w:val="bullet"/>
      <w:lvlText w:val=""/>
      <w:lvlJc w:val="left"/>
      <w:pPr>
        <w:ind w:left="4680" w:hanging="360"/>
      </w:pPr>
      <w:rPr>
        <w:rFonts w:ascii="Wingdings" w:hAnsi="Wingdings" w:hint="default"/>
      </w:rPr>
    </w:lvl>
    <w:lvl w:ilvl="6" w:tplc="9E523ED0" w:tentative="1">
      <w:start w:val="1"/>
      <w:numFmt w:val="bullet"/>
      <w:lvlText w:val=""/>
      <w:lvlJc w:val="left"/>
      <w:pPr>
        <w:ind w:left="5400" w:hanging="360"/>
      </w:pPr>
      <w:rPr>
        <w:rFonts w:ascii="Symbol" w:hAnsi="Symbol" w:hint="default"/>
      </w:rPr>
    </w:lvl>
    <w:lvl w:ilvl="7" w:tplc="2F20693C" w:tentative="1">
      <w:start w:val="1"/>
      <w:numFmt w:val="bullet"/>
      <w:lvlText w:val="o"/>
      <w:lvlJc w:val="left"/>
      <w:pPr>
        <w:ind w:left="6120" w:hanging="360"/>
      </w:pPr>
      <w:rPr>
        <w:rFonts w:ascii="Courier New" w:hAnsi="Courier New" w:cs="Courier New" w:hint="default"/>
      </w:rPr>
    </w:lvl>
    <w:lvl w:ilvl="8" w:tplc="81C25D60" w:tentative="1">
      <w:start w:val="1"/>
      <w:numFmt w:val="bullet"/>
      <w:lvlText w:val=""/>
      <w:lvlJc w:val="left"/>
      <w:pPr>
        <w:ind w:left="6840" w:hanging="360"/>
      </w:pPr>
      <w:rPr>
        <w:rFonts w:ascii="Wingdings" w:hAnsi="Wingdings" w:hint="default"/>
      </w:rPr>
    </w:lvl>
  </w:abstractNum>
  <w:abstractNum w:abstractNumId="39" w15:restartNumberingAfterBreak="0">
    <w:nsid w:val="67C1247B"/>
    <w:multiLevelType w:val="hybridMultilevel"/>
    <w:tmpl w:val="D748600E"/>
    <w:lvl w:ilvl="0" w:tplc="53A68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AA1A2D"/>
    <w:multiLevelType w:val="hybridMultilevel"/>
    <w:tmpl w:val="BF1AE3C8"/>
    <w:lvl w:ilvl="0" w:tplc="B2F03270">
      <w:start w:val="1"/>
      <w:numFmt w:val="bullet"/>
      <w:lvlText w:val="o"/>
      <w:lvlJc w:val="left"/>
      <w:pPr>
        <w:ind w:left="1080" w:hanging="360"/>
      </w:pPr>
      <w:rPr>
        <w:rFonts w:ascii="Courier New" w:hAnsi="Courier New" w:cs="Courier New" w:hint="default"/>
      </w:rPr>
    </w:lvl>
    <w:lvl w:ilvl="1" w:tplc="664E1466" w:tentative="1">
      <w:start w:val="1"/>
      <w:numFmt w:val="bullet"/>
      <w:lvlText w:val="o"/>
      <w:lvlJc w:val="left"/>
      <w:pPr>
        <w:ind w:left="1800" w:hanging="360"/>
      </w:pPr>
      <w:rPr>
        <w:rFonts w:ascii="Courier New" w:hAnsi="Courier New" w:cs="Courier New" w:hint="default"/>
      </w:rPr>
    </w:lvl>
    <w:lvl w:ilvl="2" w:tplc="08B8BA9E" w:tentative="1">
      <w:start w:val="1"/>
      <w:numFmt w:val="bullet"/>
      <w:lvlText w:val=""/>
      <w:lvlJc w:val="left"/>
      <w:pPr>
        <w:ind w:left="2520" w:hanging="360"/>
      </w:pPr>
      <w:rPr>
        <w:rFonts w:ascii="Wingdings" w:hAnsi="Wingdings" w:hint="default"/>
      </w:rPr>
    </w:lvl>
    <w:lvl w:ilvl="3" w:tplc="DF9618CA" w:tentative="1">
      <w:start w:val="1"/>
      <w:numFmt w:val="bullet"/>
      <w:lvlText w:val=""/>
      <w:lvlJc w:val="left"/>
      <w:pPr>
        <w:ind w:left="3240" w:hanging="360"/>
      </w:pPr>
      <w:rPr>
        <w:rFonts w:ascii="Symbol" w:hAnsi="Symbol" w:hint="default"/>
      </w:rPr>
    </w:lvl>
    <w:lvl w:ilvl="4" w:tplc="83BADBEC" w:tentative="1">
      <w:start w:val="1"/>
      <w:numFmt w:val="bullet"/>
      <w:lvlText w:val="o"/>
      <w:lvlJc w:val="left"/>
      <w:pPr>
        <w:ind w:left="3960" w:hanging="360"/>
      </w:pPr>
      <w:rPr>
        <w:rFonts w:ascii="Courier New" w:hAnsi="Courier New" w:cs="Courier New" w:hint="default"/>
      </w:rPr>
    </w:lvl>
    <w:lvl w:ilvl="5" w:tplc="8A8ECC8E" w:tentative="1">
      <w:start w:val="1"/>
      <w:numFmt w:val="bullet"/>
      <w:lvlText w:val=""/>
      <w:lvlJc w:val="left"/>
      <w:pPr>
        <w:ind w:left="4680" w:hanging="360"/>
      </w:pPr>
      <w:rPr>
        <w:rFonts w:ascii="Wingdings" w:hAnsi="Wingdings" w:hint="default"/>
      </w:rPr>
    </w:lvl>
    <w:lvl w:ilvl="6" w:tplc="0FD48636" w:tentative="1">
      <w:start w:val="1"/>
      <w:numFmt w:val="bullet"/>
      <w:lvlText w:val=""/>
      <w:lvlJc w:val="left"/>
      <w:pPr>
        <w:ind w:left="5400" w:hanging="360"/>
      </w:pPr>
      <w:rPr>
        <w:rFonts w:ascii="Symbol" w:hAnsi="Symbol" w:hint="default"/>
      </w:rPr>
    </w:lvl>
    <w:lvl w:ilvl="7" w:tplc="443042E6" w:tentative="1">
      <w:start w:val="1"/>
      <w:numFmt w:val="bullet"/>
      <w:lvlText w:val="o"/>
      <w:lvlJc w:val="left"/>
      <w:pPr>
        <w:ind w:left="6120" w:hanging="360"/>
      </w:pPr>
      <w:rPr>
        <w:rFonts w:ascii="Courier New" w:hAnsi="Courier New" w:cs="Courier New" w:hint="default"/>
      </w:rPr>
    </w:lvl>
    <w:lvl w:ilvl="8" w:tplc="CF883604" w:tentative="1">
      <w:start w:val="1"/>
      <w:numFmt w:val="bullet"/>
      <w:lvlText w:val=""/>
      <w:lvlJc w:val="left"/>
      <w:pPr>
        <w:ind w:left="6840" w:hanging="360"/>
      </w:pPr>
      <w:rPr>
        <w:rFonts w:ascii="Wingdings" w:hAnsi="Wingdings" w:hint="default"/>
      </w:rPr>
    </w:lvl>
  </w:abstractNum>
  <w:abstractNum w:abstractNumId="41" w15:restartNumberingAfterBreak="0">
    <w:nsid w:val="70CB7049"/>
    <w:multiLevelType w:val="multilevel"/>
    <w:tmpl w:val="AD0C1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42"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4" w15:restartNumberingAfterBreak="0">
    <w:nsid w:val="742D36EE"/>
    <w:multiLevelType w:val="multilevel"/>
    <w:tmpl w:val="07A0C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B62416"/>
    <w:multiLevelType w:val="hybridMultilevel"/>
    <w:tmpl w:val="3AB8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B147AA"/>
    <w:multiLevelType w:val="hybridMultilevel"/>
    <w:tmpl w:val="07B64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3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26"/>
    <w:lvlOverride w:ilvl="0">
      <w:lvl w:ilvl="0">
        <w:start w:val="1"/>
        <w:numFmt w:val="decimal"/>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14"/>
  </w:num>
  <w:num w:numId="6">
    <w:abstractNumId w:val="43"/>
  </w:num>
  <w:num w:numId="7">
    <w:abstractNumId w:val="42"/>
  </w:num>
  <w:num w:numId="8">
    <w:abstractNumId w:val="20"/>
  </w:num>
  <w:num w:numId="9">
    <w:abstractNumId w:val="35"/>
  </w:num>
  <w:num w:numId="10">
    <w:abstractNumId w:val="18"/>
  </w:num>
  <w:num w:numId="11">
    <w:abstractNumId w:val="44"/>
  </w:num>
  <w:num w:numId="12">
    <w:abstractNumId w:val="46"/>
  </w:num>
  <w:num w:numId="13">
    <w:abstractNumId w:val="29"/>
  </w:num>
  <w:num w:numId="14">
    <w:abstractNumId w:val="41"/>
  </w:num>
  <w:num w:numId="15">
    <w:abstractNumId w:val="12"/>
  </w:num>
  <w:num w:numId="16">
    <w:abstractNumId w:val="38"/>
  </w:num>
  <w:num w:numId="17">
    <w:abstractNumId w:val="40"/>
  </w:num>
  <w:num w:numId="18">
    <w:abstractNumId w:val="37"/>
  </w:num>
  <w:num w:numId="19">
    <w:abstractNumId w:val="27"/>
  </w:num>
  <w:num w:numId="20">
    <w:abstractNumId w:val="30"/>
  </w:num>
  <w:num w:numId="21">
    <w:abstractNumId w:val="15"/>
  </w:num>
  <w:num w:numId="22">
    <w:abstractNumId w:val="32"/>
  </w:num>
  <w:num w:numId="23">
    <w:abstractNumId w:val="11"/>
  </w:num>
  <w:num w:numId="24">
    <w:abstractNumId w:val="19"/>
  </w:num>
  <w:num w:numId="25">
    <w:abstractNumId w:val="9"/>
  </w:num>
  <w:num w:numId="26">
    <w:abstractNumId w:val="7"/>
    <w:lvlOverride w:ilvl="0">
      <w:startOverride w:val="1"/>
    </w:lvlOverride>
  </w:num>
  <w:num w:numId="27">
    <w:abstractNumId w:val="16"/>
  </w:num>
  <w:num w:numId="28">
    <w:abstractNumId w:val="31"/>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8"/>
  </w:num>
  <w:num w:numId="38">
    <w:abstractNumId w:val="23"/>
  </w:num>
  <w:num w:numId="39">
    <w:abstractNumId w:val="45"/>
  </w:num>
  <w:num w:numId="40">
    <w:abstractNumId w:val="22"/>
  </w:num>
  <w:num w:numId="41">
    <w:abstractNumId w:val="39"/>
  </w:num>
  <w:num w:numId="42">
    <w:abstractNumId w:val="33"/>
  </w:num>
  <w:num w:numId="43">
    <w:abstractNumId w:val="10"/>
  </w:num>
  <w:num w:numId="44">
    <w:abstractNumId w:val="21"/>
  </w:num>
  <w:num w:numId="45">
    <w:abstractNumId w:val="13"/>
  </w:num>
  <w:num w:numId="46">
    <w:abstractNumId w:val="17"/>
  </w:num>
  <w:num w:numId="47">
    <w:abstractNumId w:val="25"/>
  </w:num>
  <w:num w:numId="4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85"/>
    <w:rsid w:val="0000030F"/>
    <w:rsid w:val="000006C9"/>
    <w:rsid w:val="000006E0"/>
    <w:rsid w:val="00000809"/>
    <w:rsid w:val="00000B26"/>
    <w:rsid w:val="00000E5C"/>
    <w:rsid w:val="00000E6F"/>
    <w:rsid w:val="000010CF"/>
    <w:rsid w:val="00002320"/>
    <w:rsid w:val="000028D8"/>
    <w:rsid w:val="00002C17"/>
    <w:rsid w:val="00002F73"/>
    <w:rsid w:val="0000372B"/>
    <w:rsid w:val="00003768"/>
    <w:rsid w:val="00003F06"/>
    <w:rsid w:val="00004537"/>
    <w:rsid w:val="00004576"/>
    <w:rsid w:val="00004712"/>
    <w:rsid w:val="0000471F"/>
    <w:rsid w:val="00004A4A"/>
    <w:rsid w:val="00004E8F"/>
    <w:rsid w:val="00005083"/>
    <w:rsid w:val="0000517A"/>
    <w:rsid w:val="00005670"/>
    <w:rsid w:val="000057A1"/>
    <w:rsid w:val="00005967"/>
    <w:rsid w:val="00005A11"/>
    <w:rsid w:val="00005A6D"/>
    <w:rsid w:val="000062A9"/>
    <w:rsid w:val="000064E3"/>
    <w:rsid w:val="000066A3"/>
    <w:rsid w:val="00006F0D"/>
    <w:rsid w:val="00006FDB"/>
    <w:rsid w:val="0000713B"/>
    <w:rsid w:val="00007156"/>
    <w:rsid w:val="000072BB"/>
    <w:rsid w:val="0000751C"/>
    <w:rsid w:val="000075FF"/>
    <w:rsid w:val="000077B2"/>
    <w:rsid w:val="00007A4C"/>
    <w:rsid w:val="00007FF0"/>
    <w:rsid w:val="00010AC2"/>
    <w:rsid w:val="00010AF0"/>
    <w:rsid w:val="00010B9F"/>
    <w:rsid w:val="00010F7F"/>
    <w:rsid w:val="00011160"/>
    <w:rsid w:val="000111FC"/>
    <w:rsid w:val="00011228"/>
    <w:rsid w:val="00011765"/>
    <w:rsid w:val="00011DCE"/>
    <w:rsid w:val="000125BF"/>
    <w:rsid w:val="00012C3F"/>
    <w:rsid w:val="00012CA8"/>
    <w:rsid w:val="00012E8B"/>
    <w:rsid w:val="00012EBB"/>
    <w:rsid w:val="00012F7B"/>
    <w:rsid w:val="000131E3"/>
    <w:rsid w:val="000137EA"/>
    <w:rsid w:val="00013829"/>
    <w:rsid w:val="00013A60"/>
    <w:rsid w:val="000145AC"/>
    <w:rsid w:val="000149ED"/>
    <w:rsid w:val="00014DCC"/>
    <w:rsid w:val="00014E30"/>
    <w:rsid w:val="00015746"/>
    <w:rsid w:val="00015E5B"/>
    <w:rsid w:val="00015F6A"/>
    <w:rsid w:val="00016097"/>
    <w:rsid w:val="00016131"/>
    <w:rsid w:val="00017035"/>
    <w:rsid w:val="00017677"/>
    <w:rsid w:val="00017683"/>
    <w:rsid w:val="0001776A"/>
    <w:rsid w:val="00017999"/>
    <w:rsid w:val="00017A0F"/>
    <w:rsid w:val="00017DC3"/>
    <w:rsid w:val="00017F4A"/>
    <w:rsid w:val="00017F8A"/>
    <w:rsid w:val="000201AA"/>
    <w:rsid w:val="00020597"/>
    <w:rsid w:val="0002068D"/>
    <w:rsid w:val="000206E1"/>
    <w:rsid w:val="000208F8"/>
    <w:rsid w:val="000209DC"/>
    <w:rsid w:val="000209F5"/>
    <w:rsid w:val="00020E4F"/>
    <w:rsid w:val="00021652"/>
    <w:rsid w:val="00021BE9"/>
    <w:rsid w:val="00021CF1"/>
    <w:rsid w:val="00021D9C"/>
    <w:rsid w:val="00022123"/>
    <w:rsid w:val="000223B5"/>
    <w:rsid w:val="000224BC"/>
    <w:rsid w:val="00022867"/>
    <w:rsid w:val="00023364"/>
    <w:rsid w:val="000234D9"/>
    <w:rsid w:val="00023AC4"/>
    <w:rsid w:val="00023C61"/>
    <w:rsid w:val="00023F82"/>
    <w:rsid w:val="00024BD6"/>
    <w:rsid w:val="00025F38"/>
    <w:rsid w:val="00025F67"/>
    <w:rsid w:val="00026707"/>
    <w:rsid w:val="00026DA0"/>
    <w:rsid w:val="000272EF"/>
    <w:rsid w:val="000274D5"/>
    <w:rsid w:val="000276BA"/>
    <w:rsid w:val="00027C11"/>
    <w:rsid w:val="00027DA3"/>
    <w:rsid w:val="000304A4"/>
    <w:rsid w:val="000304B2"/>
    <w:rsid w:val="00030742"/>
    <w:rsid w:val="000308B1"/>
    <w:rsid w:val="00030949"/>
    <w:rsid w:val="00030A08"/>
    <w:rsid w:val="00030C58"/>
    <w:rsid w:val="00030E58"/>
    <w:rsid w:val="00031303"/>
    <w:rsid w:val="00031A5D"/>
    <w:rsid w:val="00031B5C"/>
    <w:rsid w:val="00031FDB"/>
    <w:rsid w:val="00032029"/>
    <w:rsid w:val="00032535"/>
    <w:rsid w:val="00032B82"/>
    <w:rsid w:val="00032E2E"/>
    <w:rsid w:val="00032E39"/>
    <w:rsid w:val="00032EF4"/>
    <w:rsid w:val="00032EF7"/>
    <w:rsid w:val="000331DE"/>
    <w:rsid w:val="000333F9"/>
    <w:rsid w:val="00033625"/>
    <w:rsid w:val="00033F61"/>
    <w:rsid w:val="00034012"/>
    <w:rsid w:val="00034181"/>
    <w:rsid w:val="0003429C"/>
    <w:rsid w:val="00034532"/>
    <w:rsid w:val="00034830"/>
    <w:rsid w:val="00034AD8"/>
    <w:rsid w:val="00034E0D"/>
    <w:rsid w:val="00034EF9"/>
    <w:rsid w:val="00034FEC"/>
    <w:rsid w:val="00035794"/>
    <w:rsid w:val="000358D4"/>
    <w:rsid w:val="00035B65"/>
    <w:rsid w:val="00035D20"/>
    <w:rsid w:val="00035D5E"/>
    <w:rsid w:val="0003606D"/>
    <w:rsid w:val="0003614A"/>
    <w:rsid w:val="00036359"/>
    <w:rsid w:val="00036407"/>
    <w:rsid w:val="00036731"/>
    <w:rsid w:val="00036B51"/>
    <w:rsid w:val="00036CB5"/>
    <w:rsid w:val="000372B3"/>
    <w:rsid w:val="0003783D"/>
    <w:rsid w:val="0003785F"/>
    <w:rsid w:val="0003788C"/>
    <w:rsid w:val="00037E5B"/>
    <w:rsid w:val="0004001F"/>
    <w:rsid w:val="000400CC"/>
    <w:rsid w:val="000404FD"/>
    <w:rsid w:val="000405EB"/>
    <w:rsid w:val="000409AE"/>
    <w:rsid w:val="00041250"/>
    <w:rsid w:val="00041600"/>
    <w:rsid w:val="0004160C"/>
    <w:rsid w:val="000417A0"/>
    <w:rsid w:val="00041844"/>
    <w:rsid w:val="000419F8"/>
    <w:rsid w:val="00041B5B"/>
    <w:rsid w:val="00041CFA"/>
    <w:rsid w:val="00042DCC"/>
    <w:rsid w:val="00042E89"/>
    <w:rsid w:val="00042EC2"/>
    <w:rsid w:val="00042EF1"/>
    <w:rsid w:val="0004302D"/>
    <w:rsid w:val="00043E2B"/>
    <w:rsid w:val="00043F77"/>
    <w:rsid w:val="0004421F"/>
    <w:rsid w:val="000442A3"/>
    <w:rsid w:val="000442CC"/>
    <w:rsid w:val="000447F2"/>
    <w:rsid w:val="00044900"/>
    <w:rsid w:val="00044904"/>
    <w:rsid w:val="00044BF9"/>
    <w:rsid w:val="00044DB8"/>
    <w:rsid w:val="00044E03"/>
    <w:rsid w:val="00044E96"/>
    <w:rsid w:val="00045033"/>
    <w:rsid w:val="000450C9"/>
    <w:rsid w:val="0004546C"/>
    <w:rsid w:val="00045ABA"/>
    <w:rsid w:val="00045BCC"/>
    <w:rsid w:val="00045CCC"/>
    <w:rsid w:val="00045E70"/>
    <w:rsid w:val="000464D3"/>
    <w:rsid w:val="000467A7"/>
    <w:rsid w:val="00046DAA"/>
    <w:rsid w:val="00046E00"/>
    <w:rsid w:val="0004751D"/>
    <w:rsid w:val="000475EE"/>
    <w:rsid w:val="000476F3"/>
    <w:rsid w:val="00047909"/>
    <w:rsid w:val="00047A49"/>
    <w:rsid w:val="00050079"/>
    <w:rsid w:val="000503A6"/>
    <w:rsid w:val="000506EE"/>
    <w:rsid w:val="00050892"/>
    <w:rsid w:val="00050BB0"/>
    <w:rsid w:val="00050DC4"/>
    <w:rsid w:val="00050FE8"/>
    <w:rsid w:val="00051233"/>
    <w:rsid w:val="000512F2"/>
    <w:rsid w:val="0005142C"/>
    <w:rsid w:val="000514E4"/>
    <w:rsid w:val="00051564"/>
    <w:rsid w:val="000516AB"/>
    <w:rsid w:val="000517B1"/>
    <w:rsid w:val="00051A15"/>
    <w:rsid w:val="00051FF5"/>
    <w:rsid w:val="0005217A"/>
    <w:rsid w:val="00052573"/>
    <w:rsid w:val="000525BF"/>
    <w:rsid w:val="0005277A"/>
    <w:rsid w:val="000531C0"/>
    <w:rsid w:val="00053730"/>
    <w:rsid w:val="00053A5A"/>
    <w:rsid w:val="00053CD9"/>
    <w:rsid w:val="0005422C"/>
    <w:rsid w:val="0005422D"/>
    <w:rsid w:val="000544A2"/>
    <w:rsid w:val="000544FD"/>
    <w:rsid w:val="000548FF"/>
    <w:rsid w:val="00054A74"/>
    <w:rsid w:val="00054A80"/>
    <w:rsid w:val="00054EF8"/>
    <w:rsid w:val="00054FF2"/>
    <w:rsid w:val="000553AB"/>
    <w:rsid w:val="000557FA"/>
    <w:rsid w:val="00055811"/>
    <w:rsid w:val="00055B10"/>
    <w:rsid w:val="000564E4"/>
    <w:rsid w:val="00056C46"/>
    <w:rsid w:val="00056D1A"/>
    <w:rsid w:val="00056D69"/>
    <w:rsid w:val="00057318"/>
    <w:rsid w:val="0005783D"/>
    <w:rsid w:val="00057A67"/>
    <w:rsid w:val="00057B46"/>
    <w:rsid w:val="00057BAC"/>
    <w:rsid w:val="00057FB9"/>
    <w:rsid w:val="00060145"/>
    <w:rsid w:val="00060857"/>
    <w:rsid w:val="00060C8B"/>
    <w:rsid w:val="00061294"/>
    <w:rsid w:val="000618DE"/>
    <w:rsid w:val="00061C79"/>
    <w:rsid w:val="00061CFB"/>
    <w:rsid w:val="0006200B"/>
    <w:rsid w:val="0006205F"/>
    <w:rsid w:val="00062151"/>
    <w:rsid w:val="00062430"/>
    <w:rsid w:val="00062437"/>
    <w:rsid w:val="00062494"/>
    <w:rsid w:val="000625E6"/>
    <w:rsid w:val="000627BC"/>
    <w:rsid w:val="000628B5"/>
    <w:rsid w:val="00062E00"/>
    <w:rsid w:val="00063034"/>
    <w:rsid w:val="00063255"/>
    <w:rsid w:val="00063353"/>
    <w:rsid w:val="00063609"/>
    <w:rsid w:val="000637D0"/>
    <w:rsid w:val="00063A92"/>
    <w:rsid w:val="00063B3D"/>
    <w:rsid w:val="000640CC"/>
    <w:rsid w:val="0006427A"/>
    <w:rsid w:val="000645C2"/>
    <w:rsid w:val="00064A0E"/>
    <w:rsid w:val="00064CC7"/>
    <w:rsid w:val="00064DD9"/>
    <w:rsid w:val="00065214"/>
    <w:rsid w:val="000652FB"/>
    <w:rsid w:val="00065386"/>
    <w:rsid w:val="000658E9"/>
    <w:rsid w:val="00065B28"/>
    <w:rsid w:val="00065D4E"/>
    <w:rsid w:val="00065F6D"/>
    <w:rsid w:val="00066831"/>
    <w:rsid w:val="0006690E"/>
    <w:rsid w:val="000669A8"/>
    <w:rsid w:val="00066AB2"/>
    <w:rsid w:val="00067059"/>
    <w:rsid w:val="000670A7"/>
    <w:rsid w:val="000670EC"/>
    <w:rsid w:val="00067890"/>
    <w:rsid w:val="00067ADA"/>
    <w:rsid w:val="00067D33"/>
    <w:rsid w:val="00070199"/>
    <w:rsid w:val="000701A2"/>
    <w:rsid w:val="0007054F"/>
    <w:rsid w:val="000709FF"/>
    <w:rsid w:val="00070C67"/>
    <w:rsid w:val="00070DD2"/>
    <w:rsid w:val="000711EE"/>
    <w:rsid w:val="000714E2"/>
    <w:rsid w:val="000716AF"/>
    <w:rsid w:val="000722D1"/>
    <w:rsid w:val="00072CB0"/>
    <w:rsid w:val="00072F7D"/>
    <w:rsid w:val="00073158"/>
    <w:rsid w:val="00073424"/>
    <w:rsid w:val="00073BB6"/>
    <w:rsid w:val="00073BFC"/>
    <w:rsid w:val="00073D52"/>
    <w:rsid w:val="00073EC6"/>
    <w:rsid w:val="00073F42"/>
    <w:rsid w:val="0007410D"/>
    <w:rsid w:val="000745F7"/>
    <w:rsid w:val="000748E7"/>
    <w:rsid w:val="00074A14"/>
    <w:rsid w:val="000750A7"/>
    <w:rsid w:val="0007571C"/>
    <w:rsid w:val="00075B9F"/>
    <w:rsid w:val="00075FCD"/>
    <w:rsid w:val="000767CC"/>
    <w:rsid w:val="00076916"/>
    <w:rsid w:val="000769E2"/>
    <w:rsid w:val="00076AD1"/>
    <w:rsid w:val="000770C5"/>
    <w:rsid w:val="00077534"/>
    <w:rsid w:val="000779D6"/>
    <w:rsid w:val="00077A99"/>
    <w:rsid w:val="00077B78"/>
    <w:rsid w:val="00077D31"/>
    <w:rsid w:val="00077F9E"/>
    <w:rsid w:val="000803CA"/>
    <w:rsid w:val="00080678"/>
    <w:rsid w:val="000806B9"/>
    <w:rsid w:val="0008085C"/>
    <w:rsid w:val="00080A4B"/>
    <w:rsid w:val="00080AA1"/>
    <w:rsid w:val="00081520"/>
    <w:rsid w:val="00081A68"/>
    <w:rsid w:val="000823D7"/>
    <w:rsid w:val="0008265C"/>
    <w:rsid w:val="00082CF3"/>
    <w:rsid w:val="00082D7A"/>
    <w:rsid w:val="00082FD2"/>
    <w:rsid w:val="00083555"/>
    <w:rsid w:val="0008374B"/>
    <w:rsid w:val="0008391C"/>
    <w:rsid w:val="00083F70"/>
    <w:rsid w:val="000842B7"/>
    <w:rsid w:val="000843AC"/>
    <w:rsid w:val="0008465D"/>
    <w:rsid w:val="00084A4E"/>
    <w:rsid w:val="00084E22"/>
    <w:rsid w:val="00084EC2"/>
    <w:rsid w:val="0008514E"/>
    <w:rsid w:val="00085B09"/>
    <w:rsid w:val="00085E3D"/>
    <w:rsid w:val="00085E43"/>
    <w:rsid w:val="00085E7F"/>
    <w:rsid w:val="000860DB"/>
    <w:rsid w:val="000867D0"/>
    <w:rsid w:val="0008696F"/>
    <w:rsid w:val="00086BB2"/>
    <w:rsid w:val="00086BB5"/>
    <w:rsid w:val="00086E3A"/>
    <w:rsid w:val="00086E47"/>
    <w:rsid w:val="00086FDA"/>
    <w:rsid w:val="00087001"/>
    <w:rsid w:val="00087376"/>
    <w:rsid w:val="0008738D"/>
    <w:rsid w:val="000873C4"/>
    <w:rsid w:val="000875A2"/>
    <w:rsid w:val="000875CC"/>
    <w:rsid w:val="000876F3"/>
    <w:rsid w:val="000877DD"/>
    <w:rsid w:val="00087A48"/>
    <w:rsid w:val="00087AFE"/>
    <w:rsid w:val="00087D9E"/>
    <w:rsid w:val="0009002B"/>
    <w:rsid w:val="000901F8"/>
    <w:rsid w:val="0009040A"/>
    <w:rsid w:val="00090668"/>
    <w:rsid w:val="00090778"/>
    <w:rsid w:val="00090851"/>
    <w:rsid w:val="00090C21"/>
    <w:rsid w:val="000915CC"/>
    <w:rsid w:val="00091713"/>
    <w:rsid w:val="000917D2"/>
    <w:rsid w:val="00091A70"/>
    <w:rsid w:val="00091BCD"/>
    <w:rsid w:val="00092078"/>
    <w:rsid w:val="00092258"/>
    <w:rsid w:val="00092420"/>
    <w:rsid w:val="0009265A"/>
    <w:rsid w:val="0009340A"/>
    <w:rsid w:val="00093EA8"/>
    <w:rsid w:val="00094514"/>
    <w:rsid w:val="000946A2"/>
    <w:rsid w:val="00094F2B"/>
    <w:rsid w:val="000956AB"/>
    <w:rsid w:val="00095961"/>
    <w:rsid w:val="00095BF3"/>
    <w:rsid w:val="000960AA"/>
    <w:rsid w:val="000963BB"/>
    <w:rsid w:val="00096448"/>
    <w:rsid w:val="0009677D"/>
    <w:rsid w:val="0009677F"/>
    <w:rsid w:val="00096891"/>
    <w:rsid w:val="00096F71"/>
    <w:rsid w:val="00097294"/>
    <w:rsid w:val="00097ACA"/>
    <w:rsid w:val="00097EC2"/>
    <w:rsid w:val="000A00D5"/>
    <w:rsid w:val="000A04A9"/>
    <w:rsid w:val="000A08CA"/>
    <w:rsid w:val="000A0B16"/>
    <w:rsid w:val="000A0DFC"/>
    <w:rsid w:val="000A0E4C"/>
    <w:rsid w:val="000A0F16"/>
    <w:rsid w:val="000A1116"/>
    <w:rsid w:val="000A1352"/>
    <w:rsid w:val="000A18B5"/>
    <w:rsid w:val="000A1B21"/>
    <w:rsid w:val="000A1F30"/>
    <w:rsid w:val="000A2274"/>
    <w:rsid w:val="000A22E5"/>
    <w:rsid w:val="000A2D50"/>
    <w:rsid w:val="000A3105"/>
    <w:rsid w:val="000A33F5"/>
    <w:rsid w:val="000A3892"/>
    <w:rsid w:val="000A3A8C"/>
    <w:rsid w:val="000A3C26"/>
    <w:rsid w:val="000A3C2C"/>
    <w:rsid w:val="000A3C3A"/>
    <w:rsid w:val="000A46DE"/>
    <w:rsid w:val="000A47CA"/>
    <w:rsid w:val="000A4891"/>
    <w:rsid w:val="000A4C3C"/>
    <w:rsid w:val="000A4ED1"/>
    <w:rsid w:val="000A4FB6"/>
    <w:rsid w:val="000A51C2"/>
    <w:rsid w:val="000A550B"/>
    <w:rsid w:val="000A5707"/>
    <w:rsid w:val="000A5A2F"/>
    <w:rsid w:val="000A5A8E"/>
    <w:rsid w:val="000A6192"/>
    <w:rsid w:val="000A656C"/>
    <w:rsid w:val="000A663D"/>
    <w:rsid w:val="000A6787"/>
    <w:rsid w:val="000A67DE"/>
    <w:rsid w:val="000A6B54"/>
    <w:rsid w:val="000A6C34"/>
    <w:rsid w:val="000A6E52"/>
    <w:rsid w:val="000A6F70"/>
    <w:rsid w:val="000A7E9F"/>
    <w:rsid w:val="000A7F61"/>
    <w:rsid w:val="000B021A"/>
    <w:rsid w:val="000B077D"/>
    <w:rsid w:val="000B0899"/>
    <w:rsid w:val="000B09A9"/>
    <w:rsid w:val="000B0AA1"/>
    <w:rsid w:val="000B0E47"/>
    <w:rsid w:val="000B0E5F"/>
    <w:rsid w:val="000B0F99"/>
    <w:rsid w:val="000B19F5"/>
    <w:rsid w:val="000B1D1F"/>
    <w:rsid w:val="000B209A"/>
    <w:rsid w:val="000B245B"/>
    <w:rsid w:val="000B24D8"/>
    <w:rsid w:val="000B290A"/>
    <w:rsid w:val="000B2C5A"/>
    <w:rsid w:val="000B2DEE"/>
    <w:rsid w:val="000B3305"/>
    <w:rsid w:val="000B37EB"/>
    <w:rsid w:val="000B39CB"/>
    <w:rsid w:val="000B3B40"/>
    <w:rsid w:val="000B4400"/>
    <w:rsid w:val="000B4BD4"/>
    <w:rsid w:val="000B4CD9"/>
    <w:rsid w:val="000B5168"/>
    <w:rsid w:val="000B5C52"/>
    <w:rsid w:val="000B5D73"/>
    <w:rsid w:val="000B5EC2"/>
    <w:rsid w:val="000B611B"/>
    <w:rsid w:val="000B680B"/>
    <w:rsid w:val="000B6B89"/>
    <w:rsid w:val="000B6FDA"/>
    <w:rsid w:val="000B7177"/>
    <w:rsid w:val="000B753C"/>
    <w:rsid w:val="000B7A8E"/>
    <w:rsid w:val="000C0290"/>
    <w:rsid w:val="000C0B58"/>
    <w:rsid w:val="000C0CE3"/>
    <w:rsid w:val="000C138D"/>
    <w:rsid w:val="000C15F6"/>
    <w:rsid w:val="000C2027"/>
    <w:rsid w:val="000C20C2"/>
    <w:rsid w:val="000C20FE"/>
    <w:rsid w:val="000C27FA"/>
    <w:rsid w:val="000C2DBE"/>
    <w:rsid w:val="000C2F0E"/>
    <w:rsid w:val="000C327F"/>
    <w:rsid w:val="000C3484"/>
    <w:rsid w:val="000C3623"/>
    <w:rsid w:val="000C3B43"/>
    <w:rsid w:val="000C3B54"/>
    <w:rsid w:val="000C3FDB"/>
    <w:rsid w:val="000C4454"/>
    <w:rsid w:val="000C470D"/>
    <w:rsid w:val="000C4BF6"/>
    <w:rsid w:val="000C4C90"/>
    <w:rsid w:val="000C4DC6"/>
    <w:rsid w:val="000C4F02"/>
    <w:rsid w:val="000C52E7"/>
    <w:rsid w:val="000C538C"/>
    <w:rsid w:val="000C5770"/>
    <w:rsid w:val="000C5BE8"/>
    <w:rsid w:val="000C5F39"/>
    <w:rsid w:val="000C5F7E"/>
    <w:rsid w:val="000C6342"/>
    <w:rsid w:val="000C63F8"/>
    <w:rsid w:val="000C6611"/>
    <w:rsid w:val="000C6EF5"/>
    <w:rsid w:val="000C6F89"/>
    <w:rsid w:val="000C71A9"/>
    <w:rsid w:val="000C724F"/>
    <w:rsid w:val="000D023B"/>
    <w:rsid w:val="000D0D96"/>
    <w:rsid w:val="000D12C7"/>
    <w:rsid w:val="000D1B72"/>
    <w:rsid w:val="000D1B9A"/>
    <w:rsid w:val="000D1D1D"/>
    <w:rsid w:val="000D239B"/>
    <w:rsid w:val="000D2641"/>
    <w:rsid w:val="000D2677"/>
    <w:rsid w:val="000D2816"/>
    <w:rsid w:val="000D28E2"/>
    <w:rsid w:val="000D2945"/>
    <w:rsid w:val="000D2A95"/>
    <w:rsid w:val="000D2F81"/>
    <w:rsid w:val="000D302A"/>
    <w:rsid w:val="000D308C"/>
    <w:rsid w:val="000D3608"/>
    <w:rsid w:val="000D3A03"/>
    <w:rsid w:val="000D3C49"/>
    <w:rsid w:val="000D3CC5"/>
    <w:rsid w:val="000D43FC"/>
    <w:rsid w:val="000D455F"/>
    <w:rsid w:val="000D4728"/>
    <w:rsid w:val="000D4782"/>
    <w:rsid w:val="000D487F"/>
    <w:rsid w:val="000D4EC7"/>
    <w:rsid w:val="000D5167"/>
    <w:rsid w:val="000D557A"/>
    <w:rsid w:val="000D56BC"/>
    <w:rsid w:val="000D5CAD"/>
    <w:rsid w:val="000D5D42"/>
    <w:rsid w:val="000D5DC5"/>
    <w:rsid w:val="000D5E84"/>
    <w:rsid w:val="000D5ED2"/>
    <w:rsid w:val="000D5EE4"/>
    <w:rsid w:val="000D61F4"/>
    <w:rsid w:val="000D63A5"/>
    <w:rsid w:val="000D63CD"/>
    <w:rsid w:val="000D64C9"/>
    <w:rsid w:val="000D679C"/>
    <w:rsid w:val="000D68B5"/>
    <w:rsid w:val="000D6EBA"/>
    <w:rsid w:val="000D6F37"/>
    <w:rsid w:val="000D7F3A"/>
    <w:rsid w:val="000E01C2"/>
    <w:rsid w:val="000E0345"/>
    <w:rsid w:val="000E0415"/>
    <w:rsid w:val="000E0537"/>
    <w:rsid w:val="000E05BF"/>
    <w:rsid w:val="000E06B1"/>
    <w:rsid w:val="000E09AB"/>
    <w:rsid w:val="000E09EF"/>
    <w:rsid w:val="000E0B41"/>
    <w:rsid w:val="000E0D98"/>
    <w:rsid w:val="000E0E01"/>
    <w:rsid w:val="000E0EDD"/>
    <w:rsid w:val="000E1153"/>
    <w:rsid w:val="000E1306"/>
    <w:rsid w:val="000E1391"/>
    <w:rsid w:val="000E151E"/>
    <w:rsid w:val="000E1661"/>
    <w:rsid w:val="000E1932"/>
    <w:rsid w:val="000E1EA1"/>
    <w:rsid w:val="000E254F"/>
    <w:rsid w:val="000E25D8"/>
    <w:rsid w:val="000E2A82"/>
    <w:rsid w:val="000E2C3B"/>
    <w:rsid w:val="000E2D4B"/>
    <w:rsid w:val="000E2F93"/>
    <w:rsid w:val="000E33BF"/>
    <w:rsid w:val="000E35FB"/>
    <w:rsid w:val="000E36F5"/>
    <w:rsid w:val="000E4246"/>
    <w:rsid w:val="000E42E7"/>
    <w:rsid w:val="000E44E0"/>
    <w:rsid w:val="000E44FE"/>
    <w:rsid w:val="000E4504"/>
    <w:rsid w:val="000E454B"/>
    <w:rsid w:val="000E4638"/>
    <w:rsid w:val="000E4A54"/>
    <w:rsid w:val="000E4AFB"/>
    <w:rsid w:val="000E4BAF"/>
    <w:rsid w:val="000E5095"/>
    <w:rsid w:val="000E54C9"/>
    <w:rsid w:val="000E5515"/>
    <w:rsid w:val="000E5BB1"/>
    <w:rsid w:val="000E5DE3"/>
    <w:rsid w:val="000E68B6"/>
    <w:rsid w:val="000E699D"/>
    <w:rsid w:val="000E6AAD"/>
    <w:rsid w:val="000E6AB2"/>
    <w:rsid w:val="000E6D3F"/>
    <w:rsid w:val="000E6ED9"/>
    <w:rsid w:val="000E705A"/>
    <w:rsid w:val="000E70B1"/>
    <w:rsid w:val="000E7173"/>
    <w:rsid w:val="000E72D0"/>
    <w:rsid w:val="000E7587"/>
    <w:rsid w:val="000E7AD1"/>
    <w:rsid w:val="000E7E46"/>
    <w:rsid w:val="000F0A71"/>
    <w:rsid w:val="000F0D09"/>
    <w:rsid w:val="000F1006"/>
    <w:rsid w:val="000F1120"/>
    <w:rsid w:val="000F114D"/>
    <w:rsid w:val="000F1685"/>
    <w:rsid w:val="000F1D1A"/>
    <w:rsid w:val="000F1FFC"/>
    <w:rsid w:val="000F2148"/>
    <w:rsid w:val="000F233E"/>
    <w:rsid w:val="000F23B0"/>
    <w:rsid w:val="000F23C9"/>
    <w:rsid w:val="000F23DB"/>
    <w:rsid w:val="000F2D41"/>
    <w:rsid w:val="000F3176"/>
    <w:rsid w:val="000F32DB"/>
    <w:rsid w:val="000F347B"/>
    <w:rsid w:val="000F354D"/>
    <w:rsid w:val="000F372E"/>
    <w:rsid w:val="000F378E"/>
    <w:rsid w:val="000F383F"/>
    <w:rsid w:val="000F4084"/>
    <w:rsid w:val="000F41CB"/>
    <w:rsid w:val="000F421A"/>
    <w:rsid w:val="000F43DF"/>
    <w:rsid w:val="000F43E7"/>
    <w:rsid w:val="000F43FA"/>
    <w:rsid w:val="000F46F3"/>
    <w:rsid w:val="000F4E18"/>
    <w:rsid w:val="000F4F26"/>
    <w:rsid w:val="000F50DF"/>
    <w:rsid w:val="000F5167"/>
    <w:rsid w:val="000F54B7"/>
    <w:rsid w:val="000F57FA"/>
    <w:rsid w:val="000F58E0"/>
    <w:rsid w:val="000F5C20"/>
    <w:rsid w:val="000F627E"/>
    <w:rsid w:val="000F64C6"/>
    <w:rsid w:val="000F64CF"/>
    <w:rsid w:val="000F66D6"/>
    <w:rsid w:val="000F6724"/>
    <w:rsid w:val="000F68E0"/>
    <w:rsid w:val="000F6B5E"/>
    <w:rsid w:val="000F6BC1"/>
    <w:rsid w:val="000F6BD5"/>
    <w:rsid w:val="000F6D77"/>
    <w:rsid w:val="000F703A"/>
    <w:rsid w:val="000F726D"/>
    <w:rsid w:val="000F7426"/>
    <w:rsid w:val="000F75D9"/>
    <w:rsid w:val="000F7624"/>
    <w:rsid w:val="000F77F4"/>
    <w:rsid w:val="000F79A8"/>
    <w:rsid w:val="000F7B4B"/>
    <w:rsid w:val="000F7D18"/>
    <w:rsid w:val="000F7EB2"/>
    <w:rsid w:val="00100598"/>
    <w:rsid w:val="00100792"/>
    <w:rsid w:val="001007B9"/>
    <w:rsid w:val="0010083D"/>
    <w:rsid w:val="00100AB7"/>
    <w:rsid w:val="0010176F"/>
    <w:rsid w:val="00101C1C"/>
    <w:rsid w:val="00101C67"/>
    <w:rsid w:val="00101D38"/>
    <w:rsid w:val="00101D43"/>
    <w:rsid w:val="0010207B"/>
    <w:rsid w:val="001023FF"/>
    <w:rsid w:val="001024D6"/>
    <w:rsid w:val="00102BF3"/>
    <w:rsid w:val="00102C3A"/>
    <w:rsid w:val="00102CAE"/>
    <w:rsid w:val="0010311A"/>
    <w:rsid w:val="0010336A"/>
    <w:rsid w:val="00103590"/>
    <w:rsid w:val="00103B00"/>
    <w:rsid w:val="0010425E"/>
    <w:rsid w:val="00104522"/>
    <w:rsid w:val="00104611"/>
    <w:rsid w:val="001047A1"/>
    <w:rsid w:val="00104B90"/>
    <w:rsid w:val="00104D76"/>
    <w:rsid w:val="00104E3A"/>
    <w:rsid w:val="001053BA"/>
    <w:rsid w:val="001054D3"/>
    <w:rsid w:val="001054D7"/>
    <w:rsid w:val="001056C1"/>
    <w:rsid w:val="00105B46"/>
    <w:rsid w:val="00105ECB"/>
    <w:rsid w:val="00106180"/>
    <w:rsid w:val="0010619E"/>
    <w:rsid w:val="00106275"/>
    <w:rsid w:val="00106C9F"/>
    <w:rsid w:val="0010725D"/>
    <w:rsid w:val="001073A0"/>
    <w:rsid w:val="00107770"/>
    <w:rsid w:val="001078BF"/>
    <w:rsid w:val="00107EB6"/>
    <w:rsid w:val="001100F2"/>
    <w:rsid w:val="00110423"/>
    <w:rsid w:val="00110CFB"/>
    <w:rsid w:val="00110F64"/>
    <w:rsid w:val="00111029"/>
    <w:rsid w:val="00111149"/>
    <w:rsid w:val="0011131A"/>
    <w:rsid w:val="00111433"/>
    <w:rsid w:val="0011151D"/>
    <w:rsid w:val="001115DB"/>
    <w:rsid w:val="00111953"/>
    <w:rsid w:val="0011200A"/>
    <w:rsid w:val="00112793"/>
    <w:rsid w:val="001129B5"/>
    <w:rsid w:val="00112D68"/>
    <w:rsid w:val="00112F4A"/>
    <w:rsid w:val="00113013"/>
    <w:rsid w:val="0011351C"/>
    <w:rsid w:val="001137D1"/>
    <w:rsid w:val="00113866"/>
    <w:rsid w:val="00113B5A"/>
    <w:rsid w:val="00113BEC"/>
    <w:rsid w:val="001144CF"/>
    <w:rsid w:val="001147BC"/>
    <w:rsid w:val="00114998"/>
    <w:rsid w:val="00114C2B"/>
    <w:rsid w:val="00114C52"/>
    <w:rsid w:val="00114D53"/>
    <w:rsid w:val="00114FE1"/>
    <w:rsid w:val="00115361"/>
    <w:rsid w:val="00115414"/>
    <w:rsid w:val="001154BA"/>
    <w:rsid w:val="0011568B"/>
    <w:rsid w:val="00115A37"/>
    <w:rsid w:val="00115F20"/>
    <w:rsid w:val="00116126"/>
    <w:rsid w:val="00116656"/>
    <w:rsid w:val="001166DA"/>
    <w:rsid w:val="001166E9"/>
    <w:rsid w:val="00116984"/>
    <w:rsid w:val="00116B3F"/>
    <w:rsid w:val="00117103"/>
    <w:rsid w:val="001171B9"/>
    <w:rsid w:val="001174AA"/>
    <w:rsid w:val="001177A9"/>
    <w:rsid w:val="001201AE"/>
    <w:rsid w:val="0012068C"/>
    <w:rsid w:val="001209FB"/>
    <w:rsid w:val="00121127"/>
    <w:rsid w:val="001213A5"/>
    <w:rsid w:val="00121430"/>
    <w:rsid w:val="00121771"/>
    <w:rsid w:val="001217D5"/>
    <w:rsid w:val="00121BCB"/>
    <w:rsid w:val="00122060"/>
    <w:rsid w:val="0012220E"/>
    <w:rsid w:val="00122314"/>
    <w:rsid w:val="001226E1"/>
    <w:rsid w:val="001229C7"/>
    <w:rsid w:val="00122C54"/>
    <w:rsid w:val="001231DA"/>
    <w:rsid w:val="00123253"/>
    <w:rsid w:val="001233D4"/>
    <w:rsid w:val="001235E1"/>
    <w:rsid w:val="00123744"/>
    <w:rsid w:val="00123862"/>
    <w:rsid w:val="00124195"/>
    <w:rsid w:val="00124324"/>
    <w:rsid w:val="00124E87"/>
    <w:rsid w:val="001259CF"/>
    <w:rsid w:val="001259FA"/>
    <w:rsid w:val="00125A11"/>
    <w:rsid w:val="00126234"/>
    <w:rsid w:val="00126446"/>
    <w:rsid w:val="0012664A"/>
    <w:rsid w:val="00126AEB"/>
    <w:rsid w:val="001273CE"/>
    <w:rsid w:val="001275E4"/>
    <w:rsid w:val="00127643"/>
    <w:rsid w:val="00127645"/>
    <w:rsid w:val="001276EF"/>
    <w:rsid w:val="00127E87"/>
    <w:rsid w:val="00130114"/>
    <w:rsid w:val="001307AD"/>
    <w:rsid w:val="00130BCF"/>
    <w:rsid w:val="00130E03"/>
    <w:rsid w:val="00130E8A"/>
    <w:rsid w:val="00130EF7"/>
    <w:rsid w:val="001311B1"/>
    <w:rsid w:val="00131315"/>
    <w:rsid w:val="0013131C"/>
    <w:rsid w:val="0013168D"/>
    <w:rsid w:val="00131C68"/>
    <w:rsid w:val="00131E51"/>
    <w:rsid w:val="00131F1A"/>
    <w:rsid w:val="00132074"/>
    <w:rsid w:val="00132268"/>
    <w:rsid w:val="001323E2"/>
    <w:rsid w:val="001323FB"/>
    <w:rsid w:val="001324F4"/>
    <w:rsid w:val="0013295B"/>
    <w:rsid w:val="00133477"/>
    <w:rsid w:val="00133646"/>
    <w:rsid w:val="00133F12"/>
    <w:rsid w:val="0013404F"/>
    <w:rsid w:val="001342CF"/>
    <w:rsid w:val="001345D9"/>
    <w:rsid w:val="0013482A"/>
    <w:rsid w:val="00134A08"/>
    <w:rsid w:val="00134FB9"/>
    <w:rsid w:val="001351A1"/>
    <w:rsid w:val="00135299"/>
    <w:rsid w:val="001353DD"/>
    <w:rsid w:val="00135803"/>
    <w:rsid w:val="00135B15"/>
    <w:rsid w:val="00136175"/>
    <w:rsid w:val="001361EE"/>
    <w:rsid w:val="001364AA"/>
    <w:rsid w:val="001364D5"/>
    <w:rsid w:val="001365A4"/>
    <w:rsid w:val="001366F4"/>
    <w:rsid w:val="0013687E"/>
    <w:rsid w:val="001369E2"/>
    <w:rsid w:val="00136B8A"/>
    <w:rsid w:val="00136D89"/>
    <w:rsid w:val="001370D6"/>
    <w:rsid w:val="0013714F"/>
    <w:rsid w:val="00137361"/>
    <w:rsid w:val="00137580"/>
    <w:rsid w:val="00137701"/>
    <w:rsid w:val="00137B96"/>
    <w:rsid w:val="00137F2E"/>
    <w:rsid w:val="00137F4C"/>
    <w:rsid w:val="00137F4E"/>
    <w:rsid w:val="001402E5"/>
    <w:rsid w:val="001404E2"/>
    <w:rsid w:val="0014066C"/>
    <w:rsid w:val="001407AA"/>
    <w:rsid w:val="0014085F"/>
    <w:rsid w:val="00140DA4"/>
    <w:rsid w:val="00141195"/>
    <w:rsid w:val="0014121C"/>
    <w:rsid w:val="00141748"/>
    <w:rsid w:val="00141B53"/>
    <w:rsid w:val="00141BD8"/>
    <w:rsid w:val="00141E95"/>
    <w:rsid w:val="00141F9F"/>
    <w:rsid w:val="00141FB0"/>
    <w:rsid w:val="00142375"/>
    <w:rsid w:val="0014274E"/>
    <w:rsid w:val="0014284B"/>
    <w:rsid w:val="00142F43"/>
    <w:rsid w:val="001431A5"/>
    <w:rsid w:val="00143297"/>
    <w:rsid w:val="001437AD"/>
    <w:rsid w:val="0014391D"/>
    <w:rsid w:val="00143B77"/>
    <w:rsid w:val="00143D08"/>
    <w:rsid w:val="001447AD"/>
    <w:rsid w:val="00144EB7"/>
    <w:rsid w:val="00145129"/>
    <w:rsid w:val="001453D4"/>
    <w:rsid w:val="0014582E"/>
    <w:rsid w:val="00145A00"/>
    <w:rsid w:val="00145A67"/>
    <w:rsid w:val="00145A81"/>
    <w:rsid w:val="00145F41"/>
    <w:rsid w:val="001463AF"/>
    <w:rsid w:val="0014659A"/>
    <w:rsid w:val="001466E2"/>
    <w:rsid w:val="00146E02"/>
    <w:rsid w:val="0014706E"/>
    <w:rsid w:val="001473D5"/>
    <w:rsid w:val="00147596"/>
    <w:rsid w:val="00147D29"/>
    <w:rsid w:val="001500C3"/>
    <w:rsid w:val="001501D1"/>
    <w:rsid w:val="0015042B"/>
    <w:rsid w:val="00150543"/>
    <w:rsid w:val="001508A0"/>
    <w:rsid w:val="00150BAC"/>
    <w:rsid w:val="00150C58"/>
    <w:rsid w:val="00150D00"/>
    <w:rsid w:val="00150D60"/>
    <w:rsid w:val="00150D85"/>
    <w:rsid w:val="00150E89"/>
    <w:rsid w:val="001515CD"/>
    <w:rsid w:val="00151945"/>
    <w:rsid w:val="00151AD6"/>
    <w:rsid w:val="00151F79"/>
    <w:rsid w:val="00152704"/>
    <w:rsid w:val="0015275A"/>
    <w:rsid w:val="0015288F"/>
    <w:rsid w:val="00152EFB"/>
    <w:rsid w:val="001532B1"/>
    <w:rsid w:val="00153CC4"/>
    <w:rsid w:val="00153EDA"/>
    <w:rsid w:val="00153F75"/>
    <w:rsid w:val="00154330"/>
    <w:rsid w:val="001548A1"/>
    <w:rsid w:val="00155306"/>
    <w:rsid w:val="0015537B"/>
    <w:rsid w:val="00155BDC"/>
    <w:rsid w:val="00155DA4"/>
    <w:rsid w:val="00155ED3"/>
    <w:rsid w:val="00155FFB"/>
    <w:rsid w:val="00156300"/>
    <w:rsid w:val="00156EC7"/>
    <w:rsid w:val="00156F9C"/>
    <w:rsid w:val="0015739B"/>
    <w:rsid w:val="00157708"/>
    <w:rsid w:val="001579CC"/>
    <w:rsid w:val="00157A6D"/>
    <w:rsid w:val="00157E6D"/>
    <w:rsid w:val="0016050C"/>
    <w:rsid w:val="00160865"/>
    <w:rsid w:val="001608E8"/>
    <w:rsid w:val="001609E3"/>
    <w:rsid w:val="00160B16"/>
    <w:rsid w:val="00160B32"/>
    <w:rsid w:val="00161377"/>
    <w:rsid w:val="0016152B"/>
    <w:rsid w:val="00161549"/>
    <w:rsid w:val="00161631"/>
    <w:rsid w:val="00161E7E"/>
    <w:rsid w:val="00161FFF"/>
    <w:rsid w:val="001621ED"/>
    <w:rsid w:val="00162548"/>
    <w:rsid w:val="001626F2"/>
    <w:rsid w:val="00162AA1"/>
    <w:rsid w:val="00162F16"/>
    <w:rsid w:val="00162FAB"/>
    <w:rsid w:val="001630F1"/>
    <w:rsid w:val="00163175"/>
    <w:rsid w:val="00163BF9"/>
    <w:rsid w:val="00163E0D"/>
    <w:rsid w:val="0016415A"/>
    <w:rsid w:val="001642EE"/>
    <w:rsid w:val="00164448"/>
    <w:rsid w:val="001645D0"/>
    <w:rsid w:val="001646B2"/>
    <w:rsid w:val="0016491C"/>
    <w:rsid w:val="00164A1B"/>
    <w:rsid w:val="00164C09"/>
    <w:rsid w:val="00164C55"/>
    <w:rsid w:val="001650E3"/>
    <w:rsid w:val="00165231"/>
    <w:rsid w:val="001655D8"/>
    <w:rsid w:val="00165EEA"/>
    <w:rsid w:val="00165FC4"/>
    <w:rsid w:val="00165FE3"/>
    <w:rsid w:val="00166203"/>
    <w:rsid w:val="00166268"/>
    <w:rsid w:val="0016635E"/>
    <w:rsid w:val="001665B8"/>
    <w:rsid w:val="00166A82"/>
    <w:rsid w:val="0016710C"/>
    <w:rsid w:val="001671BA"/>
    <w:rsid w:val="00167210"/>
    <w:rsid w:val="00167668"/>
    <w:rsid w:val="00167731"/>
    <w:rsid w:val="00167769"/>
    <w:rsid w:val="0016787D"/>
    <w:rsid w:val="0016787F"/>
    <w:rsid w:val="00170334"/>
    <w:rsid w:val="0017091C"/>
    <w:rsid w:val="00170CF1"/>
    <w:rsid w:val="00170E5C"/>
    <w:rsid w:val="00171029"/>
    <w:rsid w:val="001711C0"/>
    <w:rsid w:val="001714D0"/>
    <w:rsid w:val="001715A1"/>
    <w:rsid w:val="00171C14"/>
    <w:rsid w:val="00172310"/>
    <w:rsid w:val="0017237A"/>
    <w:rsid w:val="00172476"/>
    <w:rsid w:val="001727AF"/>
    <w:rsid w:val="0017296A"/>
    <w:rsid w:val="00172A15"/>
    <w:rsid w:val="00172A47"/>
    <w:rsid w:val="00172B27"/>
    <w:rsid w:val="00172BC2"/>
    <w:rsid w:val="001730C2"/>
    <w:rsid w:val="0017318B"/>
    <w:rsid w:val="00173AB5"/>
    <w:rsid w:val="00173AB6"/>
    <w:rsid w:val="00173B20"/>
    <w:rsid w:val="001741E5"/>
    <w:rsid w:val="00174A34"/>
    <w:rsid w:val="00174D32"/>
    <w:rsid w:val="00174EF3"/>
    <w:rsid w:val="00175227"/>
    <w:rsid w:val="001754CA"/>
    <w:rsid w:val="00175841"/>
    <w:rsid w:val="00175915"/>
    <w:rsid w:val="00175ADF"/>
    <w:rsid w:val="00175D86"/>
    <w:rsid w:val="00175E1D"/>
    <w:rsid w:val="00175F37"/>
    <w:rsid w:val="00176505"/>
    <w:rsid w:val="0017697B"/>
    <w:rsid w:val="00176B95"/>
    <w:rsid w:val="00176BD5"/>
    <w:rsid w:val="00176BE8"/>
    <w:rsid w:val="00176C5A"/>
    <w:rsid w:val="00176CAF"/>
    <w:rsid w:val="00176CFE"/>
    <w:rsid w:val="00176EA5"/>
    <w:rsid w:val="00177290"/>
    <w:rsid w:val="001772DF"/>
    <w:rsid w:val="00177611"/>
    <w:rsid w:val="001776A0"/>
    <w:rsid w:val="0017798C"/>
    <w:rsid w:val="00177C70"/>
    <w:rsid w:val="00177E85"/>
    <w:rsid w:val="00177FDF"/>
    <w:rsid w:val="00180203"/>
    <w:rsid w:val="00180755"/>
    <w:rsid w:val="001807D8"/>
    <w:rsid w:val="001809C6"/>
    <w:rsid w:val="00180ADE"/>
    <w:rsid w:val="0018137F"/>
    <w:rsid w:val="00181426"/>
    <w:rsid w:val="001815D4"/>
    <w:rsid w:val="001820E2"/>
    <w:rsid w:val="00182247"/>
    <w:rsid w:val="001825A9"/>
    <w:rsid w:val="00182952"/>
    <w:rsid w:val="00182ABB"/>
    <w:rsid w:val="00182D30"/>
    <w:rsid w:val="00182E65"/>
    <w:rsid w:val="00183003"/>
    <w:rsid w:val="00183222"/>
    <w:rsid w:val="0018350C"/>
    <w:rsid w:val="00183564"/>
    <w:rsid w:val="0018363A"/>
    <w:rsid w:val="001836BA"/>
    <w:rsid w:val="00183780"/>
    <w:rsid w:val="001840BB"/>
    <w:rsid w:val="00184295"/>
    <w:rsid w:val="0018465F"/>
    <w:rsid w:val="001849D7"/>
    <w:rsid w:val="00184B16"/>
    <w:rsid w:val="00184BEB"/>
    <w:rsid w:val="00184E66"/>
    <w:rsid w:val="00184F95"/>
    <w:rsid w:val="001850CB"/>
    <w:rsid w:val="00185334"/>
    <w:rsid w:val="00185525"/>
    <w:rsid w:val="00185AA7"/>
    <w:rsid w:val="00185AC9"/>
    <w:rsid w:val="00185AD3"/>
    <w:rsid w:val="00186520"/>
    <w:rsid w:val="001867E7"/>
    <w:rsid w:val="00187115"/>
    <w:rsid w:val="001877B0"/>
    <w:rsid w:val="001878C7"/>
    <w:rsid w:val="00187D52"/>
    <w:rsid w:val="00187F03"/>
    <w:rsid w:val="00187F35"/>
    <w:rsid w:val="00190591"/>
    <w:rsid w:val="0019083C"/>
    <w:rsid w:val="00190F22"/>
    <w:rsid w:val="00191144"/>
    <w:rsid w:val="001911EA"/>
    <w:rsid w:val="001916E4"/>
    <w:rsid w:val="001918ED"/>
    <w:rsid w:val="00191A60"/>
    <w:rsid w:val="00191A76"/>
    <w:rsid w:val="00192052"/>
    <w:rsid w:val="00192B80"/>
    <w:rsid w:val="00193143"/>
    <w:rsid w:val="0019324C"/>
    <w:rsid w:val="0019332C"/>
    <w:rsid w:val="001935A1"/>
    <w:rsid w:val="001937BF"/>
    <w:rsid w:val="001938E7"/>
    <w:rsid w:val="00193BB0"/>
    <w:rsid w:val="00193EB1"/>
    <w:rsid w:val="001941A0"/>
    <w:rsid w:val="001941EC"/>
    <w:rsid w:val="0019425B"/>
    <w:rsid w:val="001942C6"/>
    <w:rsid w:val="00194B52"/>
    <w:rsid w:val="00194C7C"/>
    <w:rsid w:val="00194EFB"/>
    <w:rsid w:val="00195A77"/>
    <w:rsid w:val="00195BA8"/>
    <w:rsid w:val="00195E64"/>
    <w:rsid w:val="0019634F"/>
    <w:rsid w:val="001965A5"/>
    <w:rsid w:val="00196727"/>
    <w:rsid w:val="00197010"/>
    <w:rsid w:val="001973CE"/>
    <w:rsid w:val="0019740E"/>
    <w:rsid w:val="00197BA2"/>
    <w:rsid w:val="001A00C6"/>
    <w:rsid w:val="001A07B5"/>
    <w:rsid w:val="001A0944"/>
    <w:rsid w:val="001A0B92"/>
    <w:rsid w:val="001A0BDF"/>
    <w:rsid w:val="001A0CAA"/>
    <w:rsid w:val="001A0E92"/>
    <w:rsid w:val="001A114A"/>
    <w:rsid w:val="001A1605"/>
    <w:rsid w:val="001A167F"/>
    <w:rsid w:val="001A1E41"/>
    <w:rsid w:val="001A206A"/>
    <w:rsid w:val="001A20E4"/>
    <w:rsid w:val="001A29A2"/>
    <w:rsid w:val="001A29C0"/>
    <w:rsid w:val="001A2C4C"/>
    <w:rsid w:val="001A2CB2"/>
    <w:rsid w:val="001A2EDE"/>
    <w:rsid w:val="001A2F86"/>
    <w:rsid w:val="001A31C2"/>
    <w:rsid w:val="001A3432"/>
    <w:rsid w:val="001A3AB6"/>
    <w:rsid w:val="001A3B1D"/>
    <w:rsid w:val="001A4225"/>
    <w:rsid w:val="001A45B6"/>
    <w:rsid w:val="001A4958"/>
    <w:rsid w:val="001A4DD6"/>
    <w:rsid w:val="001A4F0A"/>
    <w:rsid w:val="001A5416"/>
    <w:rsid w:val="001A585C"/>
    <w:rsid w:val="001A59A9"/>
    <w:rsid w:val="001A661D"/>
    <w:rsid w:val="001A66AD"/>
    <w:rsid w:val="001A680E"/>
    <w:rsid w:val="001A6F81"/>
    <w:rsid w:val="001A70E1"/>
    <w:rsid w:val="001A7325"/>
    <w:rsid w:val="001A732B"/>
    <w:rsid w:val="001A76A0"/>
    <w:rsid w:val="001A7A26"/>
    <w:rsid w:val="001A7ACF"/>
    <w:rsid w:val="001A7C21"/>
    <w:rsid w:val="001A7CBA"/>
    <w:rsid w:val="001A7F18"/>
    <w:rsid w:val="001B0144"/>
    <w:rsid w:val="001B04E4"/>
    <w:rsid w:val="001B051F"/>
    <w:rsid w:val="001B0788"/>
    <w:rsid w:val="001B08F9"/>
    <w:rsid w:val="001B0939"/>
    <w:rsid w:val="001B09DA"/>
    <w:rsid w:val="001B0A32"/>
    <w:rsid w:val="001B0E7A"/>
    <w:rsid w:val="001B0EF7"/>
    <w:rsid w:val="001B1045"/>
    <w:rsid w:val="001B10ED"/>
    <w:rsid w:val="001B11A5"/>
    <w:rsid w:val="001B12CC"/>
    <w:rsid w:val="001B1C7A"/>
    <w:rsid w:val="001B1F4E"/>
    <w:rsid w:val="001B1F69"/>
    <w:rsid w:val="001B210C"/>
    <w:rsid w:val="001B29D4"/>
    <w:rsid w:val="001B2BC8"/>
    <w:rsid w:val="001B2C22"/>
    <w:rsid w:val="001B2C6E"/>
    <w:rsid w:val="001B2CE5"/>
    <w:rsid w:val="001B2D2F"/>
    <w:rsid w:val="001B2EC4"/>
    <w:rsid w:val="001B329E"/>
    <w:rsid w:val="001B332B"/>
    <w:rsid w:val="001B34C8"/>
    <w:rsid w:val="001B35C2"/>
    <w:rsid w:val="001B38E9"/>
    <w:rsid w:val="001B3B1D"/>
    <w:rsid w:val="001B3E0C"/>
    <w:rsid w:val="001B3EB7"/>
    <w:rsid w:val="001B3EDA"/>
    <w:rsid w:val="001B4521"/>
    <w:rsid w:val="001B5077"/>
    <w:rsid w:val="001B5095"/>
    <w:rsid w:val="001B524E"/>
    <w:rsid w:val="001B534D"/>
    <w:rsid w:val="001B5384"/>
    <w:rsid w:val="001B60AC"/>
    <w:rsid w:val="001B6141"/>
    <w:rsid w:val="001B6347"/>
    <w:rsid w:val="001B63CF"/>
    <w:rsid w:val="001B6533"/>
    <w:rsid w:val="001B658D"/>
    <w:rsid w:val="001B6714"/>
    <w:rsid w:val="001B6828"/>
    <w:rsid w:val="001B6A5D"/>
    <w:rsid w:val="001B6AC7"/>
    <w:rsid w:val="001B6F00"/>
    <w:rsid w:val="001B74D9"/>
    <w:rsid w:val="001B7936"/>
    <w:rsid w:val="001B7A03"/>
    <w:rsid w:val="001B7CC6"/>
    <w:rsid w:val="001B7E62"/>
    <w:rsid w:val="001B7F4E"/>
    <w:rsid w:val="001C039C"/>
    <w:rsid w:val="001C085F"/>
    <w:rsid w:val="001C09E9"/>
    <w:rsid w:val="001C0B96"/>
    <w:rsid w:val="001C126F"/>
    <w:rsid w:val="001C12C5"/>
    <w:rsid w:val="001C14EA"/>
    <w:rsid w:val="001C15F3"/>
    <w:rsid w:val="001C15F4"/>
    <w:rsid w:val="001C16AA"/>
    <w:rsid w:val="001C233D"/>
    <w:rsid w:val="001C2468"/>
    <w:rsid w:val="001C2535"/>
    <w:rsid w:val="001C269A"/>
    <w:rsid w:val="001C26B8"/>
    <w:rsid w:val="001C29CD"/>
    <w:rsid w:val="001C3177"/>
    <w:rsid w:val="001C34E6"/>
    <w:rsid w:val="001C3679"/>
    <w:rsid w:val="001C36E0"/>
    <w:rsid w:val="001C3BA2"/>
    <w:rsid w:val="001C4625"/>
    <w:rsid w:val="001C563C"/>
    <w:rsid w:val="001C59B3"/>
    <w:rsid w:val="001C5CB7"/>
    <w:rsid w:val="001C5DFA"/>
    <w:rsid w:val="001C6090"/>
    <w:rsid w:val="001C66ED"/>
    <w:rsid w:val="001C6B7A"/>
    <w:rsid w:val="001C6CFC"/>
    <w:rsid w:val="001C6D76"/>
    <w:rsid w:val="001C6FDF"/>
    <w:rsid w:val="001C7076"/>
    <w:rsid w:val="001C722C"/>
    <w:rsid w:val="001C77B5"/>
    <w:rsid w:val="001C7F99"/>
    <w:rsid w:val="001D004A"/>
    <w:rsid w:val="001D0232"/>
    <w:rsid w:val="001D0FB9"/>
    <w:rsid w:val="001D15BC"/>
    <w:rsid w:val="001D1FC5"/>
    <w:rsid w:val="001D2542"/>
    <w:rsid w:val="001D283B"/>
    <w:rsid w:val="001D2DC4"/>
    <w:rsid w:val="001D3466"/>
    <w:rsid w:val="001D3659"/>
    <w:rsid w:val="001D3663"/>
    <w:rsid w:val="001D4759"/>
    <w:rsid w:val="001D489D"/>
    <w:rsid w:val="001D4AE2"/>
    <w:rsid w:val="001D5698"/>
    <w:rsid w:val="001D5A94"/>
    <w:rsid w:val="001D5AAC"/>
    <w:rsid w:val="001D5FAC"/>
    <w:rsid w:val="001D65BB"/>
    <w:rsid w:val="001D65E6"/>
    <w:rsid w:val="001D6A88"/>
    <w:rsid w:val="001D6AB9"/>
    <w:rsid w:val="001D6B2F"/>
    <w:rsid w:val="001D6C89"/>
    <w:rsid w:val="001D73C7"/>
    <w:rsid w:val="001D752F"/>
    <w:rsid w:val="001D7A11"/>
    <w:rsid w:val="001D7BB8"/>
    <w:rsid w:val="001D7E89"/>
    <w:rsid w:val="001E0175"/>
    <w:rsid w:val="001E08B2"/>
    <w:rsid w:val="001E0FE9"/>
    <w:rsid w:val="001E1137"/>
    <w:rsid w:val="001E122F"/>
    <w:rsid w:val="001E133B"/>
    <w:rsid w:val="001E16C4"/>
    <w:rsid w:val="001E1941"/>
    <w:rsid w:val="001E1EF9"/>
    <w:rsid w:val="001E2307"/>
    <w:rsid w:val="001E233E"/>
    <w:rsid w:val="001E2624"/>
    <w:rsid w:val="001E266F"/>
    <w:rsid w:val="001E2A10"/>
    <w:rsid w:val="001E2D92"/>
    <w:rsid w:val="001E2E5D"/>
    <w:rsid w:val="001E2EB6"/>
    <w:rsid w:val="001E319D"/>
    <w:rsid w:val="001E32BB"/>
    <w:rsid w:val="001E34A7"/>
    <w:rsid w:val="001E354E"/>
    <w:rsid w:val="001E39DF"/>
    <w:rsid w:val="001E3C01"/>
    <w:rsid w:val="001E41D3"/>
    <w:rsid w:val="001E4273"/>
    <w:rsid w:val="001E45A3"/>
    <w:rsid w:val="001E46AD"/>
    <w:rsid w:val="001E46F9"/>
    <w:rsid w:val="001E4BCD"/>
    <w:rsid w:val="001E4C9E"/>
    <w:rsid w:val="001E4D47"/>
    <w:rsid w:val="001E5353"/>
    <w:rsid w:val="001E5868"/>
    <w:rsid w:val="001E6121"/>
    <w:rsid w:val="001E6303"/>
    <w:rsid w:val="001E641C"/>
    <w:rsid w:val="001E65B8"/>
    <w:rsid w:val="001E67AC"/>
    <w:rsid w:val="001E733F"/>
    <w:rsid w:val="001E73D4"/>
    <w:rsid w:val="001E7AF5"/>
    <w:rsid w:val="001E7E77"/>
    <w:rsid w:val="001F0866"/>
    <w:rsid w:val="001F0BE9"/>
    <w:rsid w:val="001F0D18"/>
    <w:rsid w:val="001F1154"/>
    <w:rsid w:val="001F14F2"/>
    <w:rsid w:val="001F1774"/>
    <w:rsid w:val="001F1FE2"/>
    <w:rsid w:val="001F20D6"/>
    <w:rsid w:val="001F2686"/>
    <w:rsid w:val="001F28E4"/>
    <w:rsid w:val="001F2950"/>
    <w:rsid w:val="001F2A6A"/>
    <w:rsid w:val="001F2C9E"/>
    <w:rsid w:val="001F2E07"/>
    <w:rsid w:val="001F30CC"/>
    <w:rsid w:val="001F335D"/>
    <w:rsid w:val="001F3722"/>
    <w:rsid w:val="001F3836"/>
    <w:rsid w:val="001F38C2"/>
    <w:rsid w:val="001F3CB0"/>
    <w:rsid w:val="001F41D4"/>
    <w:rsid w:val="001F47CA"/>
    <w:rsid w:val="001F5276"/>
    <w:rsid w:val="001F5330"/>
    <w:rsid w:val="001F5505"/>
    <w:rsid w:val="001F57D5"/>
    <w:rsid w:val="001F5C9F"/>
    <w:rsid w:val="001F5FA5"/>
    <w:rsid w:val="001F6578"/>
    <w:rsid w:val="001F680B"/>
    <w:rsid w:val="001F700F"/>
    <w:rsid w:val="001F7101"/>
    <w:rsid w:val="001F738E"/>
    <w:rsid w:val="001F78F0"/>
    <w:rsid w:val="001F7999"/>
    <w:rsid w:val="001F7B29"/>
    <w:rsid w:val="001F7EE3"/>
    <w:rsid w:val="001F7FE3"/>
    <w:rsid w:val="00200086"/>
    <w:rsid w:val="0020076A"/>
    <w:rsid w:val="00200DC4"/>
    <w:rsid w:val="002010B2"/>
    <w:rsid w:val="00201372"/>
    <w:rsid w:val="0020200F"/>
    <w:rsid w:val="00202300"/>
    <w:rsid w:val="00202406"/>
    <w:rsid w:val="00202874"/>
    <w:rsid w:val="00202882"/>
    <w:rsid w:val="0020299B"/>
    <w:rsid w:val="002030DE"/>
    <w:rsid w:val="0020335C"/>
    <w:rsid w:val="0020337F"/>
    <w:rsid w:val="00203497"/>
    <w:rsid w:val="002036A5"/>
    <w:rsid w:val="00203751"/>
    <w:rsid w:val="00203913"/>
    <w:rsid w:val="00203A15"/>
    <w:rsid w:val="00203B0E"/>
    <w:rsid w:val="00203B54"/>
    <w:rsid w:val="00203B5A"/>
    <w:rsid w:val="00203C91"/>
    <w:rsid w:val="00203C93"/>
    <w:rsid w:val="00203D2A"/>
    <w:rsid w:val="00204345"/>
    <w:rsid w:val="00204411"/>
    <w:rsid w:val="002047DC"/>
    <w:rsid w:val="00204883"/>
    <w:rsid w:val="00204D1A"/>
    <w:rsid w:val="00204DFD"/>
    <w:rsid w:val="00204F16"/>
    <w:rsid w:val="0020619A"/>
    <w:rsid w:val="0020624B"/>
    <w:rsid w:val="00206300"/>
    <w:rsid w:val="00206460"/>
    <w:rsid w:val="0020677B"/>
    <w:rsid w:val="00206843"/>
    <w:rsid w:val="00206B50"/>
    <w:rsid w:val="00206F2A"/>
    <w:rsid w:val="002071A0"/>
    <w:rsid w:val="00207AE6"/>
    <w:rsid w:val="00207CF7"/>
    <w:rsid w:val="00210309"/>
    <w:rsid w:val="00210684"/>
    <w:rsid w:val="00210E46"/>
    <w:rsid w:val="00210EDA"/>
    <w:rsid w:val="002113A8"/>
    <w:rsid w:val="002116B5"/>
    <w:rsid w:val="00211BD7"/>
    <w:rsid w:val="00211C44"/>
    <w:rsid w:val="0021247A"/>
    <w:rsid w:val="00212849"/>
    <w:rsid w:val="0021294C"/>
    <w:rsid w:val="00212C37"/>
    <w:rsid w:val="00212DA6"/>
    <w:rsid w:val="0021313D"/>
    <w:rsid w:val="00213340"/>
    <w:rsid w:val="0021339F"/>
    <w:rsid w:val="002134F7"/>
    <w:rsid w:val="002138A2"/>
    <w:rsid w:val="00213949"/>
    <w:rsid w:val="002141CA"/>
    <w:rsid w:val="00214239"/>
    <w:rsid w:val="002142EA"/>
    <w:rsid w:val="00214A48"/>
    <w:rsid w:val="00214B64"/>
    <w:rsid w:val="00214D1A"/>
    <w:rsid w:val="00215250"/>
    <w:rsid w:val="0021533B"/>
    <w:rsid w:val="0021553A"/>
    <w:rsid w:val="00215630"/>
    <w:rsid w:val="00215FB1"/>
    <w:rsid w:val="0021642F"/>
    <w:rsid w:val="002165B6"/>
    <w:rsid w:val="0021664C"/>
    <w:rsid w:val="002166F9"/>
    <w:rsid w:val="002168D9"/>
    <w:rsid w:val="00216B82"/>
    <w:rsid w:val="00217242"/>
    <w:rsid w:val="00217A35"/>
    <w:rsid w:val="00217B79"/>
    <w:rsid w:val="00217C17"/>
    <w:rsid w:val="0022014E"/>
    <w:rsid w:val="0022059E"/>
    <w:rsid w:val="00220D97"/>
    <w:rsid w:val="00220F58"/>
    <w:rsid w:val="0022146A"/>
    <w:rsid w:val="002215D8"/>
    <w:rsid w:val="002217AA"/>
    <w:rsid w:val="0022197D"/>
    <w:rsid w:val="00221AD9"/>
    <w:rsid w:val="00221B0F"/>
    <w:rsid w:val="002220C6"/>
    <w:rsid w:val="002220D9"/>
    <w:rsid w:val="0022285B"/>
    <w:rsid w:val="00222C54"/>
    <w:rsid w:val="00222F2F"/>
    <w:rsid w:val="0022312D"/>
    <w:rsid w:val="00223135"/>
    <w:rsid w:val="0022398D"/>
    <w:rsid w:val="00223C2E"/>
    <w:rsid w:val="00223DFD"/>
    <w:rsid w:val="00223F94"/>
    <w:rsid w:val="00224060"/>
    <w:rsid w:val="00224880"/>
    <w:rsid w:val="00224BC9"/>
    <w:rsid w:val="00224D40"/>
    <w:rsid w:val="00224E46"/>
    <w:rsid w:val="0022508C"/>
    <w:rsid w:val="002252C8"/>
    <w:rsid w:val="002260C4"/>
    <w:rsid w:val="0022656A"/>
    <w:rsid w:val="002265FA"/>
    <w:rsid w:val="00226635"/>
    <w:rsid w:val="00226CD8"/>
    <w:rsid w:val="00226D19"/>
    <w:rsid w:val="00227176"/>
    <w:rsid w:val="00227321"/>
    <w:rsid w:val="00227332"/>
    <w:rsid w:val="0022754B"/>
    <w:rsid w:val="00227612"/>
    <w:rsid w:val="00227677"/>
    <w:rsid w:val="002277CE"/>
    <w:rsid w:val="002305E1"/>
    <w:rsid w:val="00230AD8"/>
    <w:rsid w:val="0023101B"/>
    <w:rsid w:val="00231023"/>
    <w:rsid w:val="002310A9"/>
    <w:rsid w:val="0023168D"/>
    <w:rsid w:val="00231B22"/>
    <w:rsid w:val="00231BDE"/>
    <w:rsid w:val="00231C40"/>
    <w:rsid w:val="00231E89"/>
    <w:rsid w:val="0023256F"/>
    <w:rsid w:val="0023294E"/>
    <w:rsid w:val="002329D0"/>
    <w:rsid w:val="00232A3E"/>
    <w:rsid w:val="00232B8E"/>
    <w:rsid w:val="002330B8"/>
    <w:rsid w:val="00233255"/>
    <w:rsid w:val="002334E6"/>
    <w:rsid w:val="00233C17"/>
    <w:rsid w:val="00234030"/>
    <w:rsid w:val="0023434C"/>
    <w:rsid w:val="0023473E"/>
    <w:rsid w:val="00234A8D"/>
    <w:rsid w:val="00234F2E"/>
    <w:rsid w:val="00235072"/>
    <w:rsid w:val="00235A0F"/>
    <w:rsid w:val="00235A2E"/>
    <w:rsid w:val="00235C71"/>
    <w:rsid w:val="00235F1A"/>
    <w:rsid w:val="00235F9B"/>
    <w:rsid w:val="00236050"/>
    <w:rsid w:val="002360CA"/>
    <w:rsid w:val="002365AA"/>
    <w:rsid w:val="00236B58"/>
    <w:rsid w:val="00236CE1"/>
    <w:rsid w:val="002370E4"/>
    <w:rsid w:val="0023714F"/>
    <w:rsid w:val="002376DC"/>
    <w:rsid w:val="00237808"/>
    <w:rsid w:val="00240641"/>
    <w:rsid w:val="00240832"/>
    <w:rsid w:val="00240AED"/>
    <w:rsid w:val="00241324"/>
    <w:rsid w:val="00241495"/>
    <w:rsid w:val="0024191E"/>
    <w:rsid w:val="00241A24"/>
    <w:rsid w:val="00241AB2"/>
    <w:rsid w:val="00241D31"/>
    <w:rsid w:val="00241E35"/>
    <w:rsid w:val="00242489"/>
    <w:rsid w:val="0024253D"/>
    <w:rsid w:val="002428B9"/>
    <w:rsid w:val="002429DE"/>
    <w:rsid w:val="00242BFA"/>
    <w:rsid w:val="00242E96"/>
    <w:rsid w:val="00243475"/>
    <w:rsid w:val="00243A30"/>
    <w:rsid w:val="00243D5D"/>
    <w:rsid w:val="00243D80"/>
    <w:rsid w:val="00243D90"/>
    <w:rsid w:val="002443A8"/>
    <w:rsid w:val="002443B5"/>
    <w:rsid w:val="002445E4"/>
    <w:rsid w:val="00244A77"/>
    <w:rsid w:val="00244D81"/>
    <w:rsid w:val="00244F8C"/>
    <w:rsid w:val="002450CD"/>
    <w:rsid w:val="002451BF"/>
    <w:rsid w:val="00245447"/>
    <w:rsid w:val="00245D98"/>
    <w:rsid w:val="00246E34"/>
    <w:rsid w:val="002477D9"/>
    <w:rsid w:val="00247999"/>
    <w:rsid w:val="00247B78"/>
    <w:rsid w:val="00247F01"/>
    <w:rsid w:val="002503BF"/>
    <w:rsid w:val="0025066C"/>
    <w:rsid w:val="00250B21"/>
    <w:rsid w:val="00250B9C"/>
    <w:rsid w:val="00250D97"/>
    <w:rsid w:val="00250EFD"/>
    <w:rsid w:val="00250F2A"/>
    <w:rsid w:val="002512BF"/>
    <w:rsid w:val="00251377"/>
    <w:rsid w:val="0025139A"/>
    <w:rsid w:val="00251403"/>
    <w:rsid w:val="0025159E"/>
    <w:rsid w:val="00251B02"/>
    <w:rsid w:val="00251F75"/>
    <w:rsid w:val="002526CD"/>
    <w:rsid w:val="002527C8"/>
    <w:rsid w:val="00252981"/>
    <w:rsid w:val="00252AA5"/>
    <w:rsid w:val="00252B5D"/>
    <w:rsid w:val="00252EAC"/>
    <w:rsid w:val="00252F38"/>
    <w:rsid w:val="00253641"/>
    <w:rsid w:val="00253B8B"/>
    <w:rsid w:val="0025425D"/>
    <w:rsid w:val="002542A2"/>
    <w:rsid w:val="002542FA"/>
    <w:rsid w:val="00254374"/>
    <w:rsid w:val="0025485E"/>
    <w:rsid w:val="0025489B"/>
    <w:rsid w:val="0025548E"/>
    <w:rsid w:val="00255551"/>
    <w:rsid w:val="002558AC"/>
    <w:rsid w:val="00255938"/>
    <w:rsid w:val="002559B8"/>
    <w:rsid w:val="00255C69"/>
    <w:rsid w:val="00255CA2"/>
    <w:rsid w:val="00255CC9"/>
    <w:rsid w:val="00255F4A"/>
    <w:rsid w:val="002560FA"/>
    <w:rsid w:val="0025661C"/>
    <w:rsid w:val="0025664B"/>
    <w:rsid w:val="00256982"/>
    <w:rsid w:val="0025718F"/>
    <w:rsid w:val="002573FF"/>
    <w:rsid w:val="00257774"/>
    <w:rsid w:val="00257E14"/>
    <w:rsid w:val="00257F5E"/>
    <w:rsid w:val="00260261"/>
    <w:rsid w:val="0026089B"/>
    <w:rsid w:val="0026089C"/>
    <w:rsid w:val="00260B43"/>
    <w:rsid w:val="00260CE3"/>
    <w:rsid w:val="00260F22"/>
    <w:rsid w:val="0026146E"/>
    <w:rsid w:val="002615C2"/>
    <w:rsid w:val="002615F9"/>
    <w:rsid w:val="0026165C"/>
    <w:rsid w:val="002616CC"/>
    <w:rsid w:val="002618EA"/>
    <w:rsid w:val="002618F7"/>
    <w:rsid w:val="002619E0"/>
    <w:rsid w:val="00261C79"/>
    <w:rsid w:val="00261FB1"/>
    <w:rsid w:val="00262145"/>
    <w:rsid w:val="00262402"/>
    <w:rsid w:val="0026254B"/>
    <w:rsid w:val="00262668"/>
    <w:rsid w:val="00262868"/>
    <w:rsid w:val="00262A13"/>
    <w:rsid w:val="00263049"/>
    <w:rsid w:val="00263947"/>
    <w:rsid w:val="00263BF3"/>
    <w:rsid w:val="00263EB2"/>
    <w:rsid w:val="00264225"/>
    <w:rsid w:val="0026431B"/>
    <w:rsid w:val="00264605"/>
    <w:rsid w:val="00264A89"/>
    <w:rsid w:val="00264A94"/>
    <w:rsid w:val="00264AA7"/>
    <w:rsid w:val="00264B12"/>
    <w:rsid w:val="00264E4A"/>
    <w:rsid w:val="00265009"/>
    <w:rsid w:val="002653CC"/>
    <w:rsid w:val="00265B28"/>
    <w:rsid w:val="00265B9D"/>
    <w:rsid w:val="00265DD0"/>
    <w:rsid w:val="002664A7"/>
    <w:rsid w:val="002664BE"/>
    <w:rsid w:val="002664C4"/>
    <w:rsid w:val="00266983"/>
    <w:rsid w:val="002669C9"/>
    <w:rsid w:val="00266D28"/>
    <w:rsid w:val="00266D38"/>
    <w:rsid w:val="0026714B"/>
    <w:rsid w:val="0026735A"/>
    <w:rsid w:val="00267425"/>
    <w:rsid w:val="00267C08"/>
    <w:rsid w:val="00267D79"/>
    <w:rsid w:val="00270646"/>
    <w:rsid w:val="00270B2E"/>
    <w:rsid w:val="00270C24"/>
    <w:rsid w:val="00270FEB"/>
    <w:rsid w:val="002710A6"/>
    <w:rsid w:val="0027113E"/>
    <w:rsid w:val="00271264"/>
    <w:rsid w:val="002713F9"/>
    <w:rsid w:val="00271460"/>
    <w:rsid w:val="002714C7"/>
    <w:rsid w:val="00271610"/>
    <w:rsid w:val="002716D0"/>
    <w:rsid w:val="0027187B"/>
    <w:rsid w:val="00271894"/>
    <w:rsid w:val="00271965"/>
    <w:rsid w:val="00271B25"/>
    <w:rsid w:val="00271E3B"/>
    <w:rsid w:val="00271E9D"/>
    <w:rsid w:val="0027200A"/>
    <w:rsid w:val="00272708"/>
    <w:rsid w:val="0027274A"/>
    <w:rsid w:val="00272936"/>
    <w:rsid w:val="002729A6"/>
    <w:rsid w:val="00272A5F"/>
    <w:rsid w:val="0027317E"/>
    <w:rsid w:val="002731A9"/>
    <w:rsid w:val="002731D2"/>
    <w:rsid w:val="0027329D"/>
    <w:rsid w:val="002734E0"/>
    <w:rsid w:val="002738B8"/>
    <w:rsid w:val="00273CF8"/>
    <w:rsid w:val="00273FC3"/>
    <w:rsid w:val="00274311"/>
    <w:rsid w:val="00274A6C"/>
    <w:rsid w:val="00274BA2"/>
    <w:rsid w:val="00274C14"/>
    <w:rsid w:val="00274CEF"/>
    <w:rsid w:val="00274E6B"/>
    <w:rsid w:val="002750AF"/>
    <w:rsid w:val="002751B0"/>
    <w:rsid w:val="00275939"/>
    <w:rsid w:val="00275969"/>
    <w:rsid w:val="00275E83"/>
    <w:rsid w:val="00275FE2"/>
    <w:rsid w:val="00276013"/>
    <w:rsid w:val="0027612B"/>
    <w:rsid w:val="00276222"/>
    <w:rsid w:val="002762B6"/>
    <w:rsid w:val="0027632F"/>
    <w:rsid w:val="00276E24"/>
    <w:rsid w:val="0027708F"/>
    <w:rsid w:val="002770E7"/>
    <w:rsid w:val="00277323"/>
    <w:rsid w:val="0027769C"/>
    <w:rsid w:val="002776AB"/>
    <w:rsid w:val="0027782E"/>
    <w:rsid w:val="00277A74"/>
    <w:rsid w:val="00277B2E"/>
    <w:rsid w:val="00277B43"/>
    <w:rsid w:val="00277C46"/>
    <w:rsid w:val="00277DEA"/>
    <w:rsid w:val="00277E53"/>
    <w:rsid w:val="0028003D"/>
    <w:rsid w:val="002800B6"/>
    <w:rsid w:val="002802A5"/>
    <w:rsid w:val="0028038E"/>
    <w:rsid w:val="00280553"/>
    <w:rsid w:val="00280CAE"/>
    <w:rsid w:val="00281099"/>
    <w:rsid w:val="002814E3"/>
    <w:rsid w:val="00281669"/>
    <w:rsid w:val="00281A33"/>
    <w:rsid w:val="00281B79"/>
    <w:rsid w:val="00281BB9"/>
    <w:rsid w:val="00281CF3"/>
    <w:rsid w:val="00281F30"/>
    <w:rsid w:val="00281FCE"/>
    <w:rsid w:val="0028218B"/>
    <w:rsid w:val="002821A0"/>
    <w:rsid w:val="0028235F"/>
    <w:rsid w:val="00282993"/>
    <w:rsid w:val="002829D2"/>
    <w:rsid w:val="00282EA8"/>
    <w:rsid w:val="00282FA2"/>
    <w:rsid w:val="0028324D"/>
    <w:rsid w:val="002837D4"/>
    <w:rsid w:val="00283D0D"/>
    <w:rsid w:val="00284379"/>
    <w:rsid w:val="002843C7"/>
    <w:rsid w:val="002843F8"/>
    <w:rsid w:val="002844C1"/>
    <w:rsid w:val="00284710"/>
    <w:rsid w:val="002847B6"/>
    <w:rsid w:val="002848C7"/>
    <w:rsid w:val="00284B63"/>
    <w:rsid w:val="002852D0"/>
    <w:rsid w:val="0028565F"/>
    <w:rsid w:val="00285C60"/>
    <w:rsid w:val="00285DF9"/>
    <w:rsid w:val="00286079"/>
    <w:rsid w:val="002866C2"/>
    <w:rsid w:val="00286B49"/>
    <w:rsid w:val="00286FA1"/>
    <w:rsid w:val="0028701F"/>
    <w:rsid w:val="00287199"/>
    <w:rsid w:val="00287292"/>
    <w:rsid w:val="002876D1"/>
    <w:rsid w:val="00287704"/>
    <w:rsid w:val="00287ECF"/>
    <w:rsid w:val="00290152"/>
    <w:rsid w:val="00290224"/>
    <w:rsid w:val="0029047D"/>
    <w:rsid w:val="002907D4"/>
    <w:rsid w:val="0029084E"/>
    <w:rsid w:val="002909C5"/>
    <w:rsid w:val="00290FFD"/>
    <w:rsid w:val="00291084"/>
    <w:rsid w:val="00291230"/>
    <w:rsid w:val="00291465"/>
    <w:rsid w:val="0029184E"/>
    <w:rsid w:val="00291912"/>
    <w:rsid w:val="00291E1A"/>
    <w:rsid w:val="00292353"/>
    <w:rsid w:val="00292600"/>
    <w:rsid w:val="0029297A"/>
    <w:rsid w:val="0029298F"/>
    <w:rsid w:val="00292A30"/>
    <w:rsid w:val="00292C85"/>
    <w:rsid w:val="00292D86"/>
    <w:rsid w:val="00292E21"/>
    <w:rsid w:val="00293112"/>
    <w:rsid w:val="002932E4"/>
    <w:rsid w:val="00293356"/>
    <w:rsid w:val="00293490"/>
    <w:rsid w:val="00293728"/>
    <w:rsid w:val="00293A05"/>
    <w:rsid w:val="00293E0E"/>
    <w:rsid w:val="0029411D"/>
    <w:rsid w:val="00294575"/>
    <w:rsid w:val="00294830"/>
    <w:rsid w:val="002948F2"/>
    <w:rsid w:val="002949F4"/>
    <w:rsid w:val="00294CAF"/>
    <w:rsid w:val="00294D1D"/>
    <w:rsid w:val="002955DD"/>
    <w:rsid w:val="002955E8"/>
    <w:rsid w:val="002958F6"/>
    <w:rsid w:val="00295AEB"/>
    <w:rsid w:val="00295B44"/>
    <w:rsid w:val="00295CD2"/>
    <w:rsid w:val="00295E98"/>
    <w:rsid w:val="00295EB6"/>
    <w:rsid w:val="00296403"/>
    <w:rsid w:val="002967A2"/>
    <w:rsid w:val="00296E9E"/>
    <w:rsid w:val="002976DE"/>
    <w:rsid w:val="00297C15"/>
    <w:rsid w:val="002A0227"/>
    <w:rsid w:val="002A0289"/>
    <w:rsid w:val="002A02D8"/>
    <w:rsid w:val="002A03B4"/>
    <w:rsid w:val="002A0907"/>
    <w:rsid w:val="002A0973"/>
    <w:rsid w:val="002A0B6B"/>
    <w:rsid w:val="002A0B73"/>
    <w:rsid w:val="002A0ECB"/>
    <w:rsid w:val="002A10C4"/>
    <w:rsid w:val="002A13A9"/>
    <w:rsid w:val="002A1515"/>
    <w:rsid w:val="002A168C"/>
    <w:rsid w:val="002A1757"/>
    <w:rsid w:val="002A178A"/>
    <w:rsid w:val="002A1A35"/>
    <w:rsid w:val="002A1A58"/>
    <w:rsid w:val="002A1AA4"/>
    <w:rsid w:val="002A217F"/>
    <w:rsid w:val="002A23D6"/>
    <w:rsid w:val="002A2488"/>
    <w:rsid w:val="002A26F3"/>
    <w:rsid w:val="002A2A2C"/>
    <w:rsid w:val="002A3705"/>
    <w:rsid w:val="002A371E"/>
    <w:rsid w:val="002A3A20"/>
    <w:rsid w:val="002A3B07"/>
    <w:rsid w:val="002A403A"/>
    <w:rsid w:val="002A4068"/>
    <w:rsid w:val="002A40A7"/>
    <w:rsid w:val="002A41CD"/>
    <w:rsid w:val="002A41D2"/>
    <w:rsid w:val="002A41FC"/>
    <w:rsid w:val="002A4357"/>
    <w:rsid w:val="002A46AF"/>
    <w:rsid w:val="002A4DBB"/>
    <w:rsid w:val="002A4F31"/>
    <w:rsid w:val="002A508B"/>
    <w:rsid w:val="002A566E"/>
    <w:rsid w:val="002A5690"/>
    <w:rsid w:val="002A5D6C"/>
    <w:rsid w:val="002A5D7F"/>
    <w:rsid w:val="002A601B"/>
    <w:rsid w:val="002A6585"/>
    <w:rsid w:val="002A67FB"/>
    <w:rsid w:val="002A69A2"/>
    <w:rsid w:val="002A6E90"/>
    <w:rsid w:val="002A6FCF"/>
    <w:rsid w:val="002A713E"/>
    <w:rsid w:val="002A7285"/>
    <w:rsid w:val="002A74BC"/>
    <w:rsid w:val="002A7B7C"/>
    <w:rsid w:val="002B004A"/>
    <w:rsid w:val="002B0842"/>
    <w:rsid w:val="002B0A1E"/>
    <w:rsid w:val="002B0ADE"/>
    <w:rsid w:val="002B1166"/>
    <w:rsid w:val="002B1A9D"/>
    <w:rsid w:val="002B1ABA"/>
    <w:rsid w:val="002B1D20"/>
    <w:rsid w:val="002B2880"/>
    <w:rsid w:val="002B2E34"/>
    <w:rsid w:val="002B3069"/>
    <w:rsid w:val="002B3167"/>
    <w:rsid w:val="002B370F"/>
    <w:rsid w:val="002B38D8"/>
    <w:rsid w:val="002B3A43"/>
    <w:rsid w:val="002B3D4E"/>
    <w:rsid w:val="002B3EC8"/>
    <w:rsid w:val="002B42E7"/>
    <w:rsid w:val="002B4B0A"/>
    <w:rsid w:val="002B52D7"/>
    <w:rsid w:val="002B5456"/>
    <w:rsid w:val="002B68E9"/>
    <w:rsid w:val="002B6959"/>
    <w:rsid w:val="002B6BC0"/>
    <w:rsid w:val="002B744F"/>
    <w:rsid w:val="002B7471"/>
    <w:rsid w:val="002B75BD"/>
    <w:rsid w:val="002B7D12"/>
    <w:rsid w:val="002B7D24"/>
    <w:rsid w:val="002B7D4A"/>
    <w:rsid w:val="002C012E"/>
    <w:rsid w:val="002C0560"/>
    <w:rsid w:val="002C097B"/>
    <w:rsid w:val="002C0B70"/>
    <w:rsid w:val="002C12C3"/>
    <w:rsid w:val="002C1603"/>
    <w:rsid w:val="002C171A"/>
    <w:rsid w:val="002C1A64"/>
    <w:rsid w:val="002C1B0E"/>
    <w:rsid w:val="002C1B2D"/>
    <w:rsid w:val="002C1BD6"/>
    <w:rsid w:val="002C1CBC"/>
    <w:rsid w:val="002C2320"/>
    <w:rsid w:val="002C2D01"/>
    <w:rsid w:val="002C2E3D"/>
    <w:rsid w:val="002C3C4F"/>
    <w:rsid w:val="002C3D35"/>
    <w:rsid w:val="002C3DB4"/>
    <w:rsid w:val="002C4468"/>
    <w:rsid w:val="002C4828"/>
    <w:rsid w:val="002C48A4"/>
    <w:rsid w:val="002C4ABE"/>
    <w:rsid w:val="002C4B46"/>
    <w:rsid w:val="002C50BD"/>
    <w:rsid w:val="002C54D5"/>
    <w:rsid w:val="002C55AE"/>
    <w:rsid w:val="002C57E8"/>
    <w:rsid w:val="002C5846"/>
    <w:rsid w:val="002C5D84"/>
    <w:rsid w:val="002C5DB3"/>
    <w:rsid w:val="002C5DEA"/>
    <w:rsid w:val="002C5F5B"/>
    <w:rsid w:val="002C6203"/>
    <w:rsid w:val="002C673A"/>
    <w:rsid w:val="002C6843"/>
    <w:rsid w:val="002C68B5"/>
    <w:rsid w:val="002C6BE3"/>
    <w:rsid w:val="002C6C65"/>
    <w:rsid w:val="002C7261"/>
    <w:rsid w:val="002C73D2"/>
    <w:rsid w:val="002C7419"/>
    <w:rsid w:val="002C741C"/>
    <w:rsid w:val="002C75D5"/>
    <w:rsid w:val="002C76CB"/>
    <w:rsid w:val="002C777D"/>
    <w:rsid w:val="002C77F5"/>
    <w:rsid w:val="002C797D"/>
    <w:rsid w:val="002C7AC4"/>
    <w:rsid w:val="002C7C1B"/>
    <w:rsid w:val="002C7CF6"/>
    <w:rsid w:val="002C7E20"/>
    <w:rsid w:val="002D0633"/>
    <w:rsid w:val="002D0ADE"/>
    <w:rsid w:val="002D0E6C"/>
    <w:rsid w:val="002D1C95"/>
    <w:rsid w:val="002D1F4B"/>
    <w:rsid w:val="002D278D"/>
    <w:rsid w:val="002D2988"/>
    <w:rsid w:val="002D298D"/>
    <w:rsid w:val="002D2B42"/>
    <w:rsid w:val="002D2DB2"/>
    <w:rsid w:val="002D2F10"/>
    <w:rsid w:val="002D37A0"/>
    <w:rsid w:val="002D3E26"/>
    <w:rsid w:val="002D40B1"/>
    <w:rsid w:val="002D40DD"/>
    <w:rsid w:val="002D40F6"/>
    <w:rsid w:val="002D45CD"/>
    <w:rsid w:val="002D45F9"/>
    <w:rsid w:val="002D4839"/>
    <w:rsid w:val="002D4A2D"/>
    <w:rsid w:val="002D4A6D"/>
    <w:rsid w:val="002D4B7E"/>
    <w:rsid w:val="002D4E49"/>
    <w:rsid w:val="002D4F9F"/>
    <w:rsid w:val="002D5019"/>
    <w:rsid w:val="002D5068"/>
    <w:rsid w:val="002D537C"/>
    <w:rsid w:val="002D54B6"/>
    <w:rsid w:val="002D55BA"/>
    <w:rsid w:val="002D5CBA"/>
    <w:rsid w:val="002D5F4A"/>
    <w:rsid w:val="002D605D"/>
    <w:rsid w:val="002D6F37"/>
    <w:rsid w:val="002D75F9"/>
    <w:rsid w:val="002D7818"/>
    <w:rsid w:val="002D781D"/>
    <w:rsid w:val="002D7B00"/>
    <w:rsid w:val="002D7B3E"/>
    <w:rsid w:val="002E05FF"/>
    <w:rsid w:val="002E07AC"/>
    <w:rsid w:val="002E0B07"/>
    <w:rsid w:val="002E0BFF"/>
    <w:rsid w:val="002E0DA9"/>
    <w:rsid w:val="002E0F7B"/>
    <w:rsid w:val="002E15EA"/>
    <w:rsid w:val="002E18D9"/>
    <w:rsid w:val="002E1908"/>
    <w:rsid w:val="002E1983"/>
    <w:rsid w:val="002E1CF4"/>
    <w:rsid w:val="002E1EA3"/>
    <w:rsid w:val="002E1FE4"/>
    <w:rsid w:val="002E2226"/>
    <w:rsid w:val="002E235B"/>
    <w:rsid w:val="002E2386"/>
    <w:rsid w:val="002E2535"/>
    <w:rsid w:val="002E253E"/>
    <w:rsid w:val="002E2668"/>
    <w:rsid w:val="002E281B"/>
    <w:rsid w:val="002E3069"/>
    <w:rsid w:val="002E30AD"/>
    <w:rsid w:val="002E3106"/>
    <w:rsid w:val="002E347C"/>
    <w:rsid w:val="002E3A5E"/>
    <w:rsid w:val="002E3ACB"/>
    <w:rsid w:val="002E3C1C"/>
    <w:rsid w:val="002E3C56"/>
    <w:rsid w:val="002E3ECF"/>
    <w:rsid w:val="002E3EF7"/>
    <w:rsid w:val="002E3FD4"/>
    <w:rsid w:val="002E40C1"/>
    <w:rsid w:val="002E4676"/>
    <w:rsid w:val="002E4AEC"/>
    <w:rsid w:val="002E4E63"/>
    <w:rsid w:val="002E5403"/>
    <w:rsid w:val="002E5447"/>
    <w:rsid w:val="002E5483"/>
    <w:rsid w:val="002E5521"/>
    <w:rsid w:val="002E55C6"/>
    <w:rsid w:val="002E55EA"/>
    <w:rsid w:val="002E5BB3"/>
    <w:rsid w:val="002E6499"/>
    <w:rsid w:val="002E64D6"/>
    <w:rsid w:val="002E6557"/>
    <w:rsid w:val="002E6883"/>
    <w:rsid w:val="002E6AA1"/>
    <w:rsid w:val="002E6AE1"/>
    <w:rsid w:val="002E7008"/>
    <w:rsid w:val="002E70D0"/>
    <w:rsid w:val="002E7256"/>
    <w:rsid w:val="002E72A0"/>
    <w:rsid w:val="002E72A4"/>
    <w:rsid w:val="002E761E"/>
    <w:rsid w:val="002E7932"/>
    <w:rsid w:val="002E7A06"/>
    <w:rsid w:val="002E7F11"/>
    <w:rsid w:val="002E7F6A"/>
    <w:rsid w:val="002E7F88"/>
    <w:rsid w:val="002F0257"/>
    <w:rsid w:val="002F02D5"/>
    <w:rsid w:val="002F0983"/>
    <w:rsid w:val="002F0BE6"/>
    <w:rsid w:val="002F0CA0"/>
    <w:rsid w:val="002F0DC4"/>
    <w:rsid w:val="002F1438"/>
    <w:rsid w:val="002F16B8"/>
    <w:rsid w:val="002F1BBC"/>
    <w:rsid w:val="002F1E47"/>
    <w:rsid w:val="002F1F3D"/>
    <w:rsid w:val="002F2C93"/>
    <w:rsid w:val="002F2D4D"/>
    <w:rsid w:val="002F2FCC"/>
    <w:rsid w:val="002F317C"/>
    <w:rsid w:val="002F32B5"/>
    <w:rsid w:val="002F3510"/>
    <w:rsid w:val="002F3517"/>
    <w:rsid w:val="002F3A33"/>
    <w:rsid w:val="002F40FB"/>
    <w:rsid w:val="002F57C6"/>
    <w:rsid w:val="002F57E0"/>
    <w:rsid w:val="002F5D6A"/>
    <w:rsid w:val="002F5DA2"/>
    <w:rsid w:val="002F6355"/>
    <w:rsid w:val="002F65EE"/>
    <w:rsid w:val="002F66FF"/>
    <w:rsid w:val="002F6F81"/>
    <w:rsid w:val="002F6FDB"/>
    <w:rsid w:val="002F7272"/>
    <w:rsid w:val="002F732A"/>
    <w:rsid w:val="002F76F7"/>
    <w:rsid w:val="002F775C"/>
    <w:rsid w:val="002F793E"/>
    <w:rsid w:val="002F7D4F"/>
    <w:rsid w:val="003000DB"/>
    <w:rsid w:val="003007F8"/>
    <w:rsid w:val="003009BA"/>
    <w:rsid w:val="00300C0A"/>
    <w:rsid w:val="00300C4E"/>
    <w:rsid w:val="00300CFB"/>
    <w:rsid w:val="00300D98"/>
    <w:rsid w:val="00301683"/>
    <w:rsid w:val="003016C1"/>
    <w:rsid w:val="003017A2"/>
    <w:rsid w:val="00301830"/>
    <w:rsid w:val="00301A82"/>
    <w:rsid w:val="00301C2D"/>
    <w:rsid w:val="0030214F"/>
    <w:rsid w:val="00302C00"/>
    <w:rsid w:val="00302C68"/>
    <w:rsid w:val="00302E4E"/>
    <w:rsid w:val="00302F33"/>
    <w:rsid w:val="003035E2"/>
    <w:rsid w:val="003036BA"/>
    <w:rsid w:val="00303745"/>
    <w:rsid w:val="00303F4E"/>
    <w:rsid w:val="003041F6"/>
    <w:rsid w:val="0030444F"/>
    <w:rsid w:val="00304C1D"/>
    <w:rsid w:val="00304DBF"/>
    <w:rsid w:val="00304FDB"/>
    <w:rsid w:val="00305A23"/>
    <w:rsid w:val="00305BCE"/>
    <w:rsid w:val="00305D3D"/>
    <w:rsid w:val="00306636"/>
    <w:rsid w:val="00306A9B"/>
    <w:rsid w:val="00306D6A"/>
    <w:rsid w:val="00306F9A"/>
    <w:rsid w:val="003070FF"/>
    <w:rsid w:val="0030710B"/>
    <w:rsid w:val="00307511"/>
    <w:rsid w:val="0030773A"/>
    <w:rsid w:val="00307A69"/>
    <w:rsid w:val="00307A71"/>
    <w:rsid w:val="00307C37"/>
    <w:rsid w:val="00307DA0"/>
    <w:rsid w:val="00307FAB"/>
    <w:rsid w:val="00310756"/>
    <w:rsid w:val="00310A68"/>
    <w:rsid w:val="00310F66"/>
    <w:rsid w:val="00311022"/>
    <w:rsid w:val="0031139E"/>
    <w:rsid w:val="003117F4"/>
    <w:rsid w:val="003119DE"/>
    <w:rsid w:val="00311C7A"/>
    <w:rsid w:val="00311D35"/>
    <w:rsid w:val="00311E5C"/>
    <w:rsid w:val="00312066"/>
    <w:rsid w:val="00312562"/>
    <w:rsid w:val="00312563"/>
    <w:rsid w:val="003127CB"/>
    <w:rsid w:val="003129F9"/>
    <w:rsid w:val="00312AFE"/>
    <w:rsid w:val="00312B5F"/>
    <w:rsid w:val="00312C3B"/>
    <w:rsid w:val="00312E4A"/>
    <w:rsid w:val="00312E4D"/>
    <w:rsid w:val="00313590"/>
    <w:rsid w:val="00313CB7"/>
    <w:rsid w:val="00313CCD"/>
    <w:rsid w:val="00313EB9"/>
    <w:rsid w:val="00313ECF"/>
    <w:rsid w:val="0031403C"/>
    <w:rsid w:val="00314136"/>
    <w:rsid w:val="00314547"/>
    <w:rsid w:val="00314710"/>
    <w:rsid w:val="00314B76"/>
    <w:rsid w:val="00315085"/>
    <w:rsid w:val="003152B9"/>
    <w:rsid w:val="0031546F"/>
    <w:rsid w:val="003157D8"/>
    <w:rsid w:val="003158BA"/>
    <w:rsid w:val="00315A50"/>
    <w:rsid w:val="00315B7E"/>
    <w:rsid w:val="00315FE8"/>
    <w:rsid w:val="003161D7"/>
    <w:rsid w:val="0031670F"/>
    <w:rsid w:val="003168ED"/>
    <w:rsid w:val="00316B0D"/>
    <w:rsid w:val="0031761D"/>
    <w:rsid w:val="00317908"/>
    <w:rsid w:val="003207C3"/>
    <w:rsid w:val="00320FC0"/>
    <w:rsid w:val="00320FC7"/>
    <w:rsid w:val="00321041"/>
    <w:rsid w:val="00321312"/>
    <w:rsid w:val="00321B64"/>
    <w:rsid w:val="00321CFE"/>
    <w:rsid w:val="0032267A"/>
    <w:rsid w:val="00322A79"/>
    <w:rsid w:val="00322EE8"/>
    <w:rsid w:val="00323B6F"/>
    <w:rsid w:val="00323B73"/>
    <w:rsid w:val="00323ED3"/>
    <w:rsid w:val="00323EE9"/>
    <w:rsid w:val="003242F6"/>
    <w:rsid w:val="003243FC"/>
    <w:rsid w:val="0032441C"/>
    <w:rsid w:val="00324478"/>
    <w:rsid w:val="003244F3"/>
    <w:rsid w:val="003245D4"/>
    <w:rsid w:val="0032496B"/>
    <w:rsid w:val="00324C2E"/>
    <w:rsid w:val="00324CB3"/>
    <w:rsid w:val="00324D67"/>
    <w:rsid w:val="003251DD"/>
    <w:rsid w:val="00325225"/>
    <w:rsid w:val="0032528B"/>
    <w:rsid w:val="003255C0"/>
    <w:rsid w:val="00325723"/>
    <w:rsid w:val="003257B9"/>
    <w:rsid w:val="003260B0"/>
    <w:rsid w:val="00326216"/>
    <w:rsid w:val="00326224"/>
    <w:rsid w:val="003266E4"/>
    <w:rsid w:val="0032676F"/>
    <w:rsid w:val="003267DB"/>
    <w:rsid w:val="00327472"/>
    <w:rsid w:val="00327C43"/>
    <w:rsid w:val="003300DB"/>
    <w:rsid w:val="0033044C"/>
    <w:rsid w:val="003306CB"/>
    <w:rsid w:val="0033088D"/>
    <w:rsid w:val="00330AFE"/>
    <w:rsid w:val="00330D9A"/>
    <w:rsid w:val="00331209"/>
    <w:rsid w:val="003313E1"/>
    <w:rsid w:val="00331DC9"/>
    <w:rsid w:val="00331EBE"/>
    <w:rsid w:val="003323E3"/>
    <w:rsid w:val="00332705"/>
    <w:rsid w:val="00332779"/>
    <w:rsid w:val="00332809"/>
    <w:rsid w:val="00332864"/>
    <w:rsid w:val="00332A84"/>
    <w:rsid w:val="00332B4D"/>
    <w:rsid w:val="00332CF6"/>
    <w:rsid w:val="003332E7"/>
    <w:rsid w:val="00333435"/>
    <w:rsid w:val="0033346C"/>
    <w:rsid w:val="00333FE6"/>
    <w:rsid w:val="00334519"/>
    <w:rsid w:val="00334DAC"/>
    <w:rsid w:val="00335425"/>
    <w:rsid w:val="00335AC1"/>
    <w:rsid w:val="00335CBF"/>
    <w:rsid w:val="00335EB6"/>
    <w:rsid w:val="0033660B"/>
    <w:rsid w:val="003369CD"/>
    <w:rsid w:val="00336C30"/>
    <w:rsid w:val="00336CB9"/>
    <w:rsid w:val="00336E74"/>
    <w:rsid w:val="003374B4"/>
    <w:rsid w:val="00337564"/>
    <w:rsid w:val="003377BC"/>
    <w:rsid w:val="00337A54"/>
    <w:rsid w:val="00337B45"/>
    <w:rsid w:val="00337E08"/>
    <w:rsid w:val="00340124"/>
    <w:rsid w:val="00340195"/>
    <w:rsid w:val="003402A1"/>
    <w:rsid w:val="003402E1"/>
    <w:rsid w:val="0034048B"/>
    <w:rsid w:val="00340836"/>
    <w:rsid w:val="00340A8F"/>
    <w:rsid w:val="00340ECC"/>
    <w:rsid w:val="0034119B"/>
    <w:rsid w:val="003411EB"/>
    <w:rsid w:val="00341CF4"/>
    <w:rsid w:val="00341FDE"/>
    <w:rsid w:val="00342095"/>
    <w:rsid w:val="0034228E"/>
    <w:rsid w:val="003426C7"/>
    <w:rsid w:val="00342725"/>
    <w:rsid w:val="003428C5"/>
    <w:rsid w:val="00342B7B"/>
    <w:rsid w:val="00342F5D"/>
    <w:rsid w:val="00342FDC"/>
    <w:rsid w:val="00343275"/>
    <w:rsid w:val="00343A17"/>
    <w:rsid w:val="00343BB6"/>
    <w:rsid w:val="00343D35"/>
    <w:rsid w:val="00344095"/>
    <w:rsid w:val="00344137"/>
    <w:rsid w:val="0034421E"/>
    <w:rsid w:val="003448D2"/>
    <w:rsid w:val="00344A0D"/>
    <w:rsid w:val="00344CD3"/>
    <w:rsid w:val="00344CD7"/>
    <w:rsid w:val="003452E8"/>
    <w:rsid w:val="00345D0F"/>
    <w:rsid w:val="00345D20"/>
    <w:rsid w:val="00345F23"/>
    <w:rsid w:val="0034603F"/>
    <w:rsid w:val="003460DE"/>
    <w:rsid w:val="00346338"/>
    <w:rsid w:val="003463AE"/>
    <w:rsid w:val="00346FEB"/>
    <w:rsid w:val="003470FC"/>
    <w:rsid w:val="00347674"/>
    <w:rsid w:val="0034777D"/>
    <w:rsid w:val="00347AF4"/>
    <w:rsid w:val="00347C7B"/>
    <w:rsid w:val="00347DEC"/>
    <w:rsid w:val="00347E04"/>
    <w:rsid w:val="003500C6"/>
    <w:rsid w:val="00350503"/>
    <w:rsid w:val="0035050B"/>
    <w:rsid w:val="003508FA"/>
    <w:rsid w:val="00350AD1"/>
    <w:rsid w:val="00350C94"/>
    <w:rsid w:val="003511CE"/>
    <w:rsid w:val="00351262"/>
    <w:rsid w:val="00351535"/>
    <w:rsid w:val="003517D9"/>
    <w:rsid w:val="00351D0F"/>
    <w:rsid w:val="00351EC3"/>
    <w:rsid w:val="00351EFE"/>
    <w:rsid w:val="0035225E"/>
    <w:rsid w:val="00352848"/>
    <w:rsid w:val="00352A52"/>
    <w:rsid w:val="00352C6B"/>
    <w:rsid w:val="0035306A"/>
    <w:rsid w:val="0035358B"/>
    <w:rsid w:val="00353715"/>
    <w:rsid w:val="00353893"/>
    <w:rsid w:val="00353E58"/>
    <w:rsid w:val="0035517A"/>
    <w:rsid w:val="003557C5"/>
    <w:rsid w:val="00355CD5"/>
    <w:rsid w:val="00355E03"/>
    <w:rsid w:val="00355E15"/>
    <w:rsid w:val="0035602E"/>
    <w:rsid w:val="003564B7"/>
    <w:rsid w:val="003568FA"/>
    <w:rsid w:val="00356BAB"/>
    <w:rsid w:val="00356C45"/>
    <w:rsid w:val="00356E22"/>
    <w:rsid w:val="003571E2"/>
    <w:rsid w:val="0035723F"/>
    <w:rsid w:val="003573B2"/>
    <w:rsid w:val="00357709"/>
    <w:rsid w:val="0035795F"/>
    <w:rsid w:val="00357FD7"/>
    <w:rsid w:val="00360007"/>
    <w:rsid w:val="00360239"/>
    <w:rsid w:val="00360628"/>
    <w:rsid w:val="00360971"/>
    <w:rsid w:val="00360F8B"/>
    <w:rsid w:val="00361036"/>
    <w:rsid w:val="00361AB0"/>
    <w:rsid w:val="00361F66"/>
    <w:rsid w:val="0036218A"/>
    <w:rsid w:val="00362279"/>
    <w:rsid w:val="00362309"/>
    <w:rsid w:val="00362493"/>
    <w:rsid w:val="003625A6"/>
    <w:rsid w:val="003628A3"/>
    <w:rsid w:val="003628C9"/>
    <w:rsid w:val="00362932"/>
    <w:rsid w:val="00362A8F"/>
    <w:rsid w:val="00362E12"/>
    <w:rsid w:val="003632C0"/>
    <w:rsid w:val="003634C7"/>
    <w:rsid w:val="00363558"/>
    <w:rsid w:val="00363936"/>
    <w:rsid w:val="00363AE5"/>
    <w:rsid w:val="00363CD8"/>
    <w:rsid w:val="0036400E"/>
    <w:rsid w:val="0036419C"/>
    <w:rsid w:val="00364246"/>
    <w:rsid w:val="00364338"/>
    <w:rsid w:val="0036440B"/>
    <w:rsid w:val="00364884"/>
    <w:rsid w:val="00364F4A"/>
    <w:rsid w:val="00364F78"/>
    <w:rsid w:val="00365260"/>
    <w:rsid w:val="003652AD"/>
    <w:rsid w:val="0036563E"/>
    <w:rsid w:val="00365832"/>
    <w:rsid w:val="00365AC0"/>
    <w:rsid w:val="003660BF"/>
    <w:rsid w:val="00366161"/>
    <w:rsid w:val="0036622F"/>
    <w:rsid w:val="00366297"/>
    <w:rsid w:val="0036649D"/>
    <w:rsid w:val="00366565"/>
    <w:rsid w:val="0036661A"/>
    <w:rsid w:val="00366776"/>
    <w:rsid w:val="003667BB"/>
    <w:rsid w:val="00366878"/>
    <w:rsid w:val="00366954"/>
    <w:rsid w:val="00366A87"/>
    <w:rsid w:val="00366C7D"/>
    <w:rsid w:val="0036703D"/>
    <w:rsid w:val="003675BA"/>
    <w:rsid w:val="003677D0"/>
    <w:rsid w:val="00367963"/>
    <w:rsid w:val="00367A08"/>
    <w:rsid w:val="00370166"/>
    <w:rsid w:val="0037035D"/>
    <w:rsid w:val="003706DA"/>
    <w:rsid w:val="003708D2"/>
    <w:rsid w:val="00370A88"/>
    <w:rsid w:val="00370C70"/>
    <w:rsid w:val="00370FC7"/>
    <w:rsid w:val="00370FEB"/>
    <w:rsid w:val="0037172D"/>
    <w:rsid w:val="00371933"/>
    <w:rsid w:val="003719E4"/>
    <w:rsid w:val="00372097"/>
    <w:rsid w:val="00372110"/>
    <w:rsid w:val="00372411"/>
    <w:rsid w:val="0037273B"/>
    <w:rsid w:val="00372952"/>
    <w:rsid w:val="00372CF0"/>
    <w:rsid w:val="0037344A"/>
    <w:rsid w:val="0037375E"/>
    <w:rsid w:val="00374330"/>
    <w:rsid w:val="00374617"/>
    <w:rsid w:val="00374618"/>
    <w:rsid w:val="0037494F"/>
    <w:rsid w:val="00374ADB"/>
    <w:rsid w:val="00374C62"/>
    <w:rsid w:val="00374FF9"/>
    <w:rsid w:val="003751D8"/>
    <w:rsid w:val="00375812"/>
    <w:rsid w:val="0037594B"/>
    <w:rsid w:val="00375AAC"/>
    <w:rsid w:val="00375C58"/>
    <w:rsid w:val="00375D6D"/>
    <w:rsid w:val="00375DC0"/>
    <w:rsid w:val="00375F50"/>
    <w:rsid w:val="003760FA"/>
    <w:rsid w:val="00376129"/>
    <w:rsid w:val="00377126"/>
    <w:rsid w:val="003775FE"/>
    <w:rsid w:val="003779CB"/>
    <w:rsid w:val="00377A22"/>
    <w:rsid w:val="0038002F"/>
    <w:rsid w:val="00380292"/>
    <w:rsid w:val="0038046A"/>
    <w:rsid w:val="0038048F"/>
    <w:rsid w:val="00380607"/>
    <w:rsid w:val="00380636"/>
    <w:rsid w:val="00381108"/>
    <w:rsid w:val="00381201"/>
    <w:rsid w:val="00381258"/>
    <w:rsid w:val="003813E1"/>
    <w:rsid w:val="0038153F"/>
    <w:rsid w:val="0038192C"/>
    <w:rsid w:val="0038251D"/>
    <w:rsid w:val="003826F2"/>
    <w:rsid w:val="00382939"/>
    <w:rsid w:val="00382D3C"/>
    <w:rsid w:val="00382DC5"/>
    <w:rsid w:val="00382E5B"/>
    <w:rsid w:val="00382E61"/>
    <w:rsid w:val="00382E7C"/>
    <w:rsid w:val="00382F0E"/>
    <w:rsid w:val="00383103"/>
    <w:rsid w:val="003836F0"/>
    <w:rsid w:val="003839D5"/>
    <w:rsid w:val="00383ADE"/>
    <w:rsid w:val="00383D7B"/>
    <w:rsid w:val="00383F19"/>
    <w:rsid w:val="0038405A"/>
    <w:rsid w:val="003848AC"/>
    <w:rsid w:val="003848EF"/>
    <w:rsid w:val="00384B98"/>
    <w:rsid w:val="00384D22"/>
    <w:rsid w:val="00384DED"/>
    <w:rsid w:val="0038503C"/>
    <w:rsid w:val="0038519B"/>
    <w:rsid w:val="003852E7"/>
    <w:rsid w:val="0038531D"/>
    <w:rsid w:val="00385B65"/>
    <w:rsid w:val="00385FB4"/>
    <w:rsid w:val="0038606A"/>
    <w:rsid w:val="00386108"/>
    <w:rsid w:val="00386B80"/>
    <w:rsid w:val="00387114"/>
    <w:rsid w:val="00387421"/>
    <w:rsid w:val="0038756E"/>
    <w:rsid w:val="0038768E"/>
    <w:rsid w:val="00387AD4"/>
    <w:rsid w:val="0039037C"/>
    <w:rsid w:val="003907AE"/>
    <w:rsid w:val="00390A13"/>
    <w:rsid w:val="00390CCF"/>
    <w:rsid w:val="00390E18"/>
    <w:rsid w:val="00390EBC"/>
    <w:rsid w:val="0039130F"/>
    <w:rsid w:val="0039155B"/>
    <w:rsid w:val="0039172A"/>
    <w:rsid w:val="00391929"/>
    <w:rsid w:val="00391967"/>
    <w:rsid w:val="00391DEC"/>
    <w:rsid w:val="00391E21"/>
    <w:rsid w:val="00392105"/>
    <w:rsid w:val="0039216A"/>
    <w:rsid w:val="00392264"/>
    <w:rsid w:val="00392368"/>
    <w:rsid w:val="00392514"/>
    <w:rsid w:val="00393575"/>
    <w:rsid w:val="003935E9"/>
    <w:rsid w:val="00393824"/>
    <w:rsid w:val="00393AC4"/>
    <w:rsid w:val="00393D2E"/>
    <w:rsid w:val="00393FBE"/>
    <w:rsid w:val="003940C9"/>
    <w:rsid w:val="003941CD"/>
    <w:rsid w:val="00394446"/>
    <w:rsid w:val="003948ED"/>
    <w:rsid w:val="00394AAF"/>
    <w:rsid w:val="00394AFA"/>
    <w:rsid w:val="00394BB6"/>
    <w:rsid w:val="00394F1A"/>
    <w:rsid w:val="00395A2E"/>
    <w:rsid w:val="00395F34"/>
    <w:rsid w:val="00396428"/>
    <w:rsid w:val="0039644E"/>
    <w:rsid w:val="0039651E"/>
    <w:rsid w:val="0039668E"/>
    <w:rsid w:val="00396857"/>
    <w:rsid w:val="00396AB4"/>
    <w:rsid w:val="00396CBE"/>
    <w:rsid w:val="00396FE2"/>
    <w:rsid w:val="0039757C"/>
    <w:rsid w:val="00397635"/>
    <w:rsid w:val="00397661"/>
    <w:rsid w:val="003977B7"/>
    <w:rsid w:val="003A067A"/>
    <w:rsid w:val="003A06A0"/>
    <w:rsid w:val="003A0B97"/>
    <w:rsid w:val="003A12C3"/>
    <w:rsid w:val="003A1BD6"/>
    <w:rsid w:val="003A1F5B"/>
    <w:rsid w:val="003A2278"/>
    <w:rsid w:val="003A242B"/>
    <w:rsid w:val="003A243B"/>
    <w:rsid w:val="003A253F"/>
    <w:rsid w:val="003A296B"/>
    <w:rsid w:val="003A2AD6"/>
    <w:rsid w:val="003A2AE4"/>
    <w:rsid w:val="003A32C5"/>
    <w:rsid w:val="003A3895"/>
    <w:rsid w:val="003A3BE6"/>
    <w:rsid w:val="003A3D38"/>
    <w:rsid w:val="003A3E57"/>
    <w:rsid w:val="003A45C5"/>
    <w:rsid w:val="003A4773"/>
    <w:rsid w:val="003A49B8"/>
    <w:rsid w:val="003A4F7E"/>
    <w:rsid w:val="003A5128"/>
    <w:rsid w:val="003A5A9E"/>
    <w:rsid w:val="003A5B3C"/>
    <w:rsid w:val="003A5FD4"/>
    <w:rsid w:val="003A6003"/>
    <w:rsid w:val="003A6081"/>
    <w:rsid w:val="003A6221"/>
    <w:rsid w:val="003A654A"/>
    <w:rsid w:val="003A6CA7"/>
    <w:rsid w:val="003A6E5C"/>
    <w:rsid w:val="003A6E8D"/>
    <w:rsid w:val="003A7339"/>
    <w:rsid w:val="003A73D8"/>
    <w:rsid w:val="003A764F"/>
    <w:rsid w:val="003A7BBA"/>
    <w:rsid w:val="003A7E73"/>
    <w:rsid w:val="003A7EF8"/>
    <w:rsid w:val="003B0439"/>
    <w:rsid w:val="003B0692"/>
    <w:rsid w:val="003B0697"/>
    <w:rsid w:val="003B077C"/>
    <w:rsid w:val="003B07A3"/>
    <w:rsid w:val="003B087A"/>
    <w:rsid w:val="003B08A2"/>
    <w:rsid w:val="003B0911"/>
    <w:rsid w:val="003B0E1E"/>
    <w:rsid w:val="003B0F8E"/>
    <w:rsid w:val="003B1059"/>
    <w:rsid w:val="003B1062"/>
    <w:rsid w:val="003B11E5"/>
    <w:rsid w:val="003B1389"/>
    <w:rsid w:val="003B14F4"/>
    <w:rsid w:val="003B156E"/>
    <w:rsid w:val="003B1693"/>
    <w:rsid w:val="003B1FD2"/>
    <w:rsid w:val="003B20E7"/>
    <w:rsid w:val="003B2600"/>
    <w:rsid w:val="003B265B"/>
    <w:rsid w:val="003B26FA"/>
    <w:rsid w:val="003B2B7C"/>
    <w:rsid w:val="003B2C12"/>
    <w:rsid w:val="003B3135"/>
    <w:rsid w:val="003B3511"/>
    <w:rsid w:val="003B372F"/>
    <w:rsid w:val="003B3B25"/>
    <w:rsid w:val="003B415E"/>
    <w:rsid w:val="003B4278"/>
    <w:rsid w:val="003B4363"/>
    <w:rsid w:val="003B4425"/>
    <w:rsid w:val="003B448A"/>
    <w:rsid w:val="003B4525"/>
    <w:rsid w:val="003B4733"/>
    <w:rsid w:val="003B4934"/>
    <w:rsid w:val="003B4A82"/>
    <w:rsid w:val="003B4DF7"/>
    <w:rsid w:val="003B57AE"/>
    <w:rsid w:val="003B58E2"/>
    <w:rsid w:val="003B5954"/>
    <w:rsid w:val="003B59EB"/>
    <w:rsid w:val="003B5E20"/>
    <w:rsid w:val="003B6C5E"/>
    <w:rsid w:val="003B6CAB"/>
    <w:rsid w:val="003B6EA0"/>
    <w:rsid w:val="003B73FC"/>
    <w:rsid w:val="003B7B23"/>
    <w:rsid w:val="003B7C4E"/>
    <w:rsid w:val="003B7D13"/>
    <w:rsid w:val="003B7D76"/>
    <w:rsid w:val="003C0273"/>
    <w:rsid w:val="003C0775"/>
    <w:rsid w:val="003C09E6"/>
    <w:rsid w:val="003C0C0D"/>
    <w:rsid w:val="003C151F"/>
    <w:rsid w:val="003C16F1"/>
    <w:rsid w:val="003C16FD"/>
    <w:rsid w:val="003C1A37"/>
    <w:rsid w:val="003C1AE2"/>
    <w:rsid w:val="003C21D3"/>
    <w:rsid w:val="003C24BB"/>
    <w:rsid w:val="003C273F"/>
    <w:rsid w:val="003C27A8"/>
    <w:rsid w:val="003C27BA"/>
    <w:rsid w:val="003C2C26"/>
    <w:rsid w:val="003C2CEC"/>
    <w:rsid w:val="003C2E54"/>
    <w:rsid w:val="003C2E5D"/>
    <w:rsid w:val="003C3339"/>
    <w:rsid w:val="003C3719"/>
    <w:rsid w:val="003C3A3A"/>
    <w:rsid w:val="003C3B35"/>
    <w:rsid w:val="003C3C37"/>
    <w:rsid w:val="003C3D8E"/>
    <w:rsid w:val="003C3F1C"/>
    <w:rsid w:val="003C424F"/>
    <w:rsid w:val="003C484C"/>
    <w:rsid w:val="003C4A9F"/>
    <w:rsid w:val="003C5342"/>
    <w:rsid w:val="003C557F"/>
    <w:rsid w:val="003C578F"/>
    <w:rsid w:val="003C5D7E"/>
    <w:rsid w:val="003C619F"/>
    <w:rsid w:val="003C6295"/>
    <w:rsid w:val="003C686C"/>
    <w:rsid w:val="003C6895"/>
    <w:rsid w:val="003C689F"/>
    <w:rsid w:val="003C6961"/>
    <w:rsid w:val="003C69A3"/>
    <w:rsid w:val="003C774B"/>
    <w:rsid w:val="003C7791"/>
    <w:rsid w:val="003C7968"/>
    <w:rsid w:val="003C7DFF"/>
    <w:rsid w:val="003C7E8B"/>
    <w:rsid w:val="003C7EC6"/>
    <w:rsid w:val="003D06C8"/>
    <w:rsid w:val="003D07C9"/>
    <w:rsid w:val="003D0C44"/>
    <w:rsid w:val="003D112C"/>
    <w:rsid w:val="003D15A7"/>
    <w:rsid w:val="003D1687"/>
    <w:rsid w:val="003D1BB2"/>
    <w:rsid w:val="003D20F0"/>
    <w:rsid w:val="003D21A3"/>
    <w:rsid w:val="003D2362"/>
    <w:rsid w:val="003D23ED"/>
    <w:rsid w:val="003D290F"/>
    <w:rsid w:val="003D307C"/>
    <w:rsid w:val="003D315C"/>
    <w:rsid w:val="003D3F20"/>
    <w:rsid w:val="003D4254"/>
    <w:rsid w:val="003D4423"/>
    <w:rsid w:val="003D49EA"/>
    <w:rsid w:val="003D4C33"/>
    <w:rsid w:val="003D4E45"/>
    <w:rsid w:val="003D52D0"/>
    <w:rsid w:val="003D54C9"/>
    <w:rsid w:val="003D5ADA"/>
    <w:rsid w:val="003D5D41"/>
    <w:rsid w:val="003D5E76"/>
    <w:rsid w:val="003D5F0A"/>
    <w:rsid w:val="003D5FCC"/>
    <w:rsid w:val="003D63B0"/>
    <w:rsid w:val="003D66D8"/>
    <w:rsid w:val="003D6896"/>
    <w:rsid w:val="003D69F7"/>
    <w:rsid w:val="003D6C12"/>
    <w:rsid w:val="003D6F76"/>
    <w:rsid w:val="003D701F"/>
    <w:rsid w:val="003D7242"/>
    <w:rsid w:val="003D7A47"/>
    <w:rsid w:val="003D7B14"/>
    <w:rsid w:val="003E0784"/>
    <w:rsid w:val="003E1305"/>
    <w:rsid w:val="003E135A"/>
    <w:rsid w:val="003E1816"/>
    <w:rsid w:val="003E1918"/>
    <w:rsid w:val="003E1A9B"/>
    <w:rsid w:val="003E1DDF"/>
    <w:rsid w:val="003E2200"/>
    <w:rsid w:val="003E26FA"/>
    <w:rsid w:val="003E27F7"/>
    <w:rsid w:val="003E2BE3"/>
    <w:rsid w:val="003E2C91"/>
    <w:rsid w:val="003E2CDC"/>
    <w:rsid w:val="003E2E20"/>
    <w:rsid w:val="003E31EE"/>
    <w:rsid w:val="003E3592"/>
    <w:rsid w:val="003E382F"/>
    <w:rsid w:val="003E3DD6"/>
    <w:rsid w:val="003E44B4"/>
    <w:rsid w:val="003E4595"/>
    <w:rsid w:val="003E5365"/>
    <w:rsid w:val="003E53D3"/>
    <w:rsid w:val="003E58DF"/>
    <w:rsid w:val="003E5CE3"/>
    <w:rsid w:val="003E5CF1"/>
    <w:rsid w:val="003E6362"/>
    <w:rsid w:val="003E636B"/>
    <w:rsid w:val="003E6468"/>
    <w:rsid w:val="003E659F"/>
    <w:rsid w:val="003E685D"/>
    <w:rsid w:val="003E6B8B"/>
    <w:rsid w:val="003E6EF6"/>
    <w:rsid w:val="003E6F53"/>
    <w:rsid w:val="003E7021"/>
    <w:rsid w:val="003E7334"/>
    <w:rsid w:val="003E7427"/>
    <w:rsid w:val="003E74B9"/>
    <w:rsid w:val="003E78B4"/>
    <w:rsid w:val="003E7B09"/>
    <w:rsid w:val="003E7B7F"/>
    <w:rsid w:val="003E7EA5"/>
    <w:rsid w:val="003E7F3C"/>
    <w:rsid w:val="003F00AC"/>
    <w:rsid w:val="003F017E"/>
    <w:rsid w:val="003F01A3"/>
    <w:rsid w:val="003F0286"/>
    <w:rsid w:val="003F0336"/>
    <w:rsid w:val="003F0508"/>
    <w:rsid w:val="003F0705"/>
    <w:rsid w:val="003F0965"/>
    <w:rsid w:val="003F0CBB"/>
    <w:rsid w:val="003F17BC"/>
    <w:rsid w:val="003F1872"/>
    <w:rsid w:val="003F192A"/>
    <w:rsid w:val="003F1A1E"/>
    <w:rsid w:val="003F1A32"/>
    <w:rsid w:val="003F1CCE"/>
    <w:rsid w:val="003F20F9"/>
    <w:rsid w:val="003F24FD"/>
    <w:rsid w:val="003F256F"/>
    <w:rsid w:val="003F2673"/>
    <w:rsid w:val="003F283B"/>
    <w:rsid w:val="003F2C81"/>
    <w:rsid w:val="003F351D"/>
    <w:rsid w:val="003F3C10"/>
    <w:rsid w:val="003F3F25"/>
    <w:rsid w:val="003F416B"/>
    <w:rsid w:val="003F436F"/>
    <w:rsid w:val="003F46E2"/>
    <w:rsid w:val="003F4801"/>
    <w:rsid w:val="003F48C6"/>
    <w:rsid w:val="003F4D6E"/>
    <w:rsid w:val="003F5B85"/>
    <w:rsid w:val="003F5B9A"/>
    <w:rsid w:val="003F6028"/>
    <w:rsid w:val="003F6047"/>
    <w:rsid w:val="003F608F"/>
    <w:rsid w:val="003F60E9"/>
    <w:rsid w:val="003F60F2"/>
    <w:rsid w:val="003F63C4"/>
    <w:rsid w:val="003F668E"/>
    <w:rsid w:val="003F6700"/>
    <w:rsid w:val="003F6A69"/>
    <w:rsid w:val="003F6CD5"/>
    <w:rsid w:val="003F6DE3"/>
    <w:rsid w:val="003F7308"/>
    <w:rsid w:val="003F7548"/>
    <w:rsid w:val="003F7614"/>
    <w:rsid w:val="003F7D4E"/>
    <w:rsid w:val="003F7E70"/>
    <w:rsid w:val="003F7E9F"/>
    <w:rsid w:val="003F7F6F"/>
    <w:rsid w:val="00400637"/>
    <w:rsid w:val="00400A05"/>
    <w:rsid w:val="00400A18"/>
    <w:rsid w:val="00400C6B"/>
    <w:rsid w:val="00400CDC"/>
    <w:rsid w:val="00400F82"/>
    <w:rsid w:val="0040103C"/>
    <w:rsid w:val="004012EF"/>
    <w:rsid w:val="0040133F"/>
    <w:rsid w:val="00401509"/>
    <w:rsid w:val="00401BD5"/>
    <w:rsid w:val="00402329"/>
    <w:rsid w:val="00402424"/>
    <w:rsid w:val="004027B0"/>
    <w:rsid w:val="0040307D"/>
    <w:rsid w:val="004033D3"/>
    <w:rsid w:val="00403415"/>
    <w:rsid w:val="00403572"/>
    <w:rsid w:val="00404158"/>
    <w:rsid w:val="004048B5"/>
    <w:rsid w:val="00404A02"/>
    <w:rsid w:val="00404A70"/>
    <w:rsid w:val="00404AC4"/>
    <w:rsid w:val="00404E6D"/>
    <w:rsid w:val="004053B7"/>
    <w:rsid w:val="0040556F"/>
    <w:rsid w:val="00405751"/>
    <w:rsid w:val="0040591A"/>
    <w:rsid w:val="004059BC"/>
    <w:rsid w:val="00405B23"/>
    <w:rsid w:val="00405B4B"/>
    <w:rsid w:val="00405BB9"/>
    <w:rsid w:val="00405BCA"/>
    <w:rsid w:val="00405D3B"/>
    <w:rsid w:val="0040620A"/>
    <w:rsid w:val="00406ABE"/>
    <w:rsid w:val="00406EC9"/>
    <w:rsid w:val="004070C8"/>
    <w:rsid w:val="004071FA"/>
    <w:rsid w:val="0040782F"/>
    <w:rsid w:val="004079C5"/>
    <w:rsid w:val="00407F36"/>
    <w:rsid w:val="004100ED"/>
    <w:rsid w:val="0041017F"/>
    <w:rsid w:val="004106A3"/>
    <w:rsid w:val="004106B5"/>
    <w:rsid w:val="004110F4"/>
    <w:rsid w:val="0041115C"/>
    <w:rsid w:val="0041128B"/>
    <w:rsid w:val="00411508"/>
    <w:rsid w:val="00411674"/>
    <w:rsid w:val="0041172D"/>
    <w:rsid w:val="00411A8A"/>
    <w:rsid w:val="00411B4E"/>
    <w:rsid w:val="00411E61"/>
    <w:rsid w:val="0041210D"/>
    <w:rsid w:val="00412996"/>
    <w:rsid w:val="004129EC"/>
    <w:rsid w:val="00412B0B"/>
    <w:rsid w:val="00412B2C"/>
    <w:rsid w:val="00412E1F"/>
    <w:rsid w:val="00413563"/>
    <w:rsid w:val="004135CE"/>
    <w:rsid w:val="0041374B"/>
    <w:rsid w:val="004137CB"/>
    <w:rsid w:val="004137E5"/>
    <w:rsid w:val="00413C2B"/>
    <w:rsid w:val="0041426F"/>
    <w:rsid w:val="00414275"/>
    <w:rsid w:val="0041478F"/>
    <w:rsid w:val="0041499F"/>
    <w:rsid w:val="00414C13"/>
    <w:rsid w:val="00414D7F"/>
    <w:rsid w:val="004151C3"/>
    <w:rsid w:val="0041538D"/>
    <w:rsid w:val="004154F0"/>
    <w:rsid w:val="004154F7"/>
    <w:rsid w:val="004158E1"/>
    <w:rsid w:val="00415A42"/>
    <w:rsid w:val="00415AA6"/>
    <w:rsid w:val="0041622D"/>
    <w:rsid w:val="004166D4"/>
    <w:rsid w:val="00417817"/>
    <w:rsid w:val="00417B30"/>
    <w:rsid w:val="00417C3F"/>
    <w:rsid w:val="0042004E"/>
    <w:rsid w:val="004203FC"/>
    <w:rsid w:val="00420C17"/>
    <w:rsid w:val="00420E55"/>
    <w:rsid w:val="004214AF"/>
    <w:rsid w:val="004218AD"/>
    <w:rsid w:val="00421949"/>
    <w:rsid w:val="00421972"/>
    <w:rsid w:val="004219F9"/>
    <w:rsid w:val="00421EAC"/>
    <w:rsid w:val="004222A9"/>
    <w:rsid w:val="00422ADB"/>
    <w:rsid w:val="00422D73"/>
    <w:rsid w:val="00422EEA"/>
    <w:rsid w:val="00423015"/>
    <w:rsid w:val="00423069"/>
    <w:rsid w:val="00423216"/>
    <w:rsid w:val="00423387"/>
    <w:rsid w:val="00423885"/>
    <w:rsid w:val="00423E92"/>
    <w:rsid w:val="00424054"/>
    <w:rsid w:val="00424268"/>
    <w:rsid w:val="00424A02"/>
    <w:rsid w:val="00424D71"/>
    <w:rsid w:val="00424D77"/>
    <w:rsid w:val="00425264"/>
    <w:rsid w:val="00425490"/>
    <w:rsid w:val="00425705"/>
    <w:rsid w:val="004257C3"/>
    <w:rsid w:val="00425B36"/>
    <w:rsid w:val="00425BE9"/>
    <w:rsid w:val="00425D65"/>
    <w:rsid w:val="00425EE7"/>
    <w:rsid w:val="00425EFF"/>
    <w:rsid w:val="00426692"/>
    <w:rsid w:val="00426766"/>
    <w:rsid w:val="004267C5"/>
    <w:rsid w:val="00426CA2"/>
    <w:rsid w:val="00426CF2"/>
    <w:rsid w:val="00426F1F"/>
    <w:rsid w:val="004272B3"/>
    <w:rsid w:val="004274E3"/>
    <w:rsid w:val="00427B5D"/>
    <w:rsid w:val="00427BE4"/>
    <w:rsid w:val="00427C5B"/>
    <w:rsid w:val="004300A8"/>
    <w:rsid w:val="0043025D"/>
    <w:rsid w:val="0043098E"/>
    <w:rsid w:val="00431061"/>
    <w:rsid w:val="004311D1"/>
    <w:rsid w:val="0043142E"/>
    <w:rsid w:val="004316FB"/>
    <w:rsid w:val="004318B8"/>
    <w:rsid w:val="00431F4D"/>
    <w:rsid w:val="004323BF"/>
    <w:rsid w:val="004324C1"/>
    <w:rsid w:val="004325A6"/>
    <w:rsid w:val="00432778"/>
    <w:rsid w:val="004327F9"/>
    <w:rsid w:val="00432972"/>
    <w:rsid w:val="00432DAF"/>
    <w:rsid w:val="0043301C"/>
    <w:rsid w:val="0043307F"/>
    <w:rsid w:val="004332A3"/>
    <w:rsid w:val="004334F9"/>
    <w:rsid w:val="0043431A"/>
    <w:rsid w:val="004344C4"/>
    <w:rsid w:val="00434901"/>
    <w:rsid w:val="00434F6F"/>
    <w:rsid w:val="0043539B"/>
    <w:rsid w:val="00435700"/>
    <w:rsid w:val="00435ADC"/>
    <w:rsid w:val="00436125"/>
    <w:rsid w:val="00436217"/>
    <w:rsid w:val="00436233"/>
    <w:rsid w:val="004366AE"/>
    <w:rsid w:val="00436B92"/>
    <w:rsid w:val="0043701A"/>
    <w:rsid w:val="00437112"/>
    <w:rsid w:val="0043731A"/>
    <w:rsid w:val="004375DB"/>
    <w:rsid w:val="00437615"/>
    <w:rsid w:val="00437619"/>
    <w:rsid w:val="0043761D"/>
    <w:rsid w:val="00437785"/>
    <w:rsid w:val="00437903"/>
    <w:rsid w:val="0043794E"/>
    <w:rsid w:val="004379C2"/>
    <w:rsid w:val="00437B37"/>
    <w:rsid w:val="00440223"/>
    <w:rsid w:val="004409A8"/>
    <w:rsid w:val="00440A4C"/>
    <w:rsid w:val="00440B88"/>
    <w:rsid w:val="00440C76"/>
    <w:rsid w:val="00441CDF"/>
    <w:rsid w:val="00441D02"/>
    <w:rsid w:val="00441DB6"/>
    <w:rsid w:val="00441F07"/>
    <w:rsid w:val="00441FEC"/>
    <w:rsid w:val="004421C9"/>
    <w:rsid w:val="004421D5"/>
    <w:rsid w:val="00442231"/>
    <w:rsid w:val="0044226A"/>
    <w:rsid w:val="004422AA"/>
    <w:rsid w:val="00442F67"/>
    <w:rsid w:val="0044371A"/>
    <w:rsid w:val="00443839"/>
    <w:rsid w:val="004438C4"/>
    <w:rsid w:val="00443F8A"/>
    <w:rsid w:val="004440DB"/>
    <w:rsid w:val="0044490F"/>
    <w:rsid w:val="00444CA1"/>
    <w:rsid w:val="00444CBD"/>
    <w:rsid w:val="00444CDC"/>
    <w:rsid w:val="00444FF3"/>
    <w:rsid w:val="004453C4"/>
    <w:rsid w:val="004457BD"/>
    <w:rsid w:val="004459CC"/>
    <w:rsid w:val="00445A26"/>
    <w:rsid w:val="0044631D"/>
    <w:rsid w:val="0044654F"/>
    <w:rsid w:val="00446824"/>
    <w:rsid w:val="00446BFC"/>
    <w:rsid w:val="00446EAE"/>
    <w:rsid w:val="00446F63"/>
    <w:rsid w:val="0044731D"/>
    <w:rsid w:val="00447327"/>
    <w:rsid w:val="004474C1"/>
    <w:rsid w:val="00447802"/>
    <w:rsid w:val="0044796A"/>
    <w:rsid w:val="004479BA"/>
    <w:rsid w:val="00447B57"/>
    <w:rsid w:val="00447FAA"/>
    <w:rsid w:val="00447FCA"/>
    <w:rsid w:val="00450083"/>
    <w:rsid w:val="00450144"/>
    <w:rsid w:val="004501E5"/>
    <w:rsid w:val="00450699"/>
    <w:rsid w:val="004506BE"/>
    <w:rsid w:val="00450943"/>
    <w:rsid w:val="00451214"/>
    <w:rsid w:val="00451391"/>
    <w:rsid w:val="004513A8"/>
    <w:rsid w:val="004516E7"/>
    <w:rsid w:val="00451786"/>
    <w:rsid w:val="004517B6"/>
    <w:rsid w:val="00451A29"/>
    <w:rsid w:val="00451BF1"/>
    <w:rsid w:val="00452073"/>
    <w:rsid w:val="004522ED"/>
    <w:rsid w:val="004523CE"/>
    <w:rsid w:val="004524DF"/>
    <w:rsid w:val="00452618"/>
    <w:rsid w:val="0045271F"/>
    <w:rsid w:val="00452A74"/>
    <w:rsid w:val="00452D08"/>
    <w:rsid w:val="00452D8B"/>
    <w:rsid w:val="00452FCE"/>
    <w:rsid w:val="004532C5"/>
    <w:rsid w:val="00453689"/>
    <w:rsid w:val="004538AF"/>
    <w:rsid w:val="00453A2B"/>
    <w:rsid w:val="00453E92"/>
    <w:rsid w:val="004541C2"/>
    <w:rsid w:val="00454438"/>
    <w:rsid w:val="00454696"/>
    <w:rsid w:val="00454B13"/>
    <w:rsid w:val="00454C85"/>
    <w:rsid w:val="00455222"/>
    <w:rsid w:val="0045533F"/>
    <w:rsid w:val="00455612"/>
    <w:rsid w:val="00455A38"/>
    <w:rsid w:val="004565E4"/>
    <w:rsid w:val="0045663E"/>
    <w:rsid w:val="004566CB"/>
    <w:rsid w:val="00456A42"/>
    <w:rsid w:val="00456ED8"/>
    <w:rsid w:val="00456F05"/>
    <w:rsid w:val="004570AC"/>
    <w:rsid w:val="00457148"/>
    <w:rsid w:val="004571E8"/>
    <w:rsid w:val="00457544"/>
    <w:rsid w:val="00457639"/>
    <w:rsid w:val="00457944"/>
    <w:rsid w:val="004579BF"/>
    <w:rsid w:val="004579C2"/>
    <w:rsid w:val="00457C5B"/>
    <w:rsid w:val="0046076A"/>
    <w:rsid w:val="00460EAB"/>
    <w:rsid w:val="00460EE5"/>
    <w:rsid w:val="00460F2D"/>
    <w:rsid w:val="004611C3"/>
    <w:rsid w:val="004616FF"/>
    <w:rsid w:val="00461A2A"/>
    <w:rsid w:val="00461D54"/>
    <w:rsid w:val="00462315"/>
    <w:rsid w:val="0046253A"/>
    <w:rsid w:val="0046256B"/>
    <w:rsid w:val="004625F8"/>
    <w:rsid w:val="004627C9"/>
    <w:rsid w:val="00462A3C"/>
    <w:rsid w:val="00462BE1"/>
    <w:rsid w:val="004630C7"/>
    <w:rsid w:val="004631AE"/>
    <w:rsid w:val="0046349A"/>
    <w:rsid w:val="00463666"/>
    <w:rsid w:val="0046391A"/>
    <w:rsid w:val="004639CA"/>
    <w:rsid w:val="00463D43"/>
    <w:rsid w:val="004640CA"/>
    <w:rsid w:val="0046440E"/>
    <w:rsid w:val="004646F2"/>
    <w:rsid w:val="00464A10"/>
    <w:rsid w:val="00464B8B"/>
    <w:rsid w:val="00464CE9"/>
    <w:rsid w:val="00464F5A"/>
    <w:rsid w:val="004650F9"/>
    <w:rsid w:val="00465269"/>
    <w:rsid w:val="00465420"/>
    <w:rsid w:val="0046548E"/>
    <w:rsid w:val="0046554E"/>
    <w:rsid w:val="00465579"/>
    <w:rsid w:val="0046580D"/>
    <w:rsid w:val="00465B1C"/>
    <w:rsid w:val="00465D9D"/>
    <w:rsid w:val="00465F1B"/>
    <w:rsid w:val="004661BB"/>
    <w:rsid w:val="004668F0"/>
    <w:rsid w:val="00466925"/>
    <w:rsid w:val="00466B77"/>
    <w:rsid w:val="00467015"/>
    <w:rsid w:val="00467091"/>
    <w:rsid w:val="004675C5"/>
    <w:rsid w:val="004677AD"/>
    <w:rsid w:val="00470260"/>
    <w:rsid w:val="004702CC"/>
    <w:rsid w:val="00470310"/>
    <w:rsid w:val="004706AE"/>
    <w:rsid w:val="00470735"/>
    <w:rsid w:val="004707A0"/>
    <w:rsid w:val="00470A29"/>
    <w:rsid w:val="00470AC5"/>
    <w:rsid w:val="00470EF9"/>
    <w:rsid w:val="004714DC"/>
    <w:rsid w:val="004714EE"/>
    <w:rsid w:val="004717E3"/>
    <w:rsid w:val="00471C95"/>
    <w:rsid w:val="0047223A"/>
    <w:rsid w:val="0047227D"/>
    <w:rsid w:val="00472302"/>
    <w:rsid w:val="00472308"/>
    <w:rsid w:val="004723B0"/>
    <w:rsid w:val="004723FD"/>
    <w:rsid w:val="0047241F"/>
    <w:rsid w:val="00472468"/>
    <w:rsid w:val="0047263B"/>
    <w:rsid w:val="004729D0"/>
    <w:rsid w:val="00472E7D"/>
    <w:rsid w:val="00472F21"/>
    <w:rsid w:val="0047336E"/>
    <w:rsid w:val="00473921"/>
    <w:rsid w:val="00473A8B"/>
    <w:rsid w:val="00473C29"/>
    <w:rsid w:val="00473D51"/>
    <w:rsid w:val="00473E24"/>
    <w:rsid w:val="00474166"/>
    <w:rsid w:val="0047430E"/>
    <w:rsid w:val="004747DA"/>
    <w:rsid w:val="004749CD"/>
    <w:rsid w:val="00474A3B"/>
    <w:rsid w:val="00474AC5"/>
    <w:rsid w:val="00474ACB"/>
    <w:rsid w:val="00474D26"/>
    <w:rsid w:val="00474D3F"/>
    <w:rsid w:val="00474EE4"/>
    <w:rsid w:val="00475030"/>
    <w:rsid w:val="0047581C"/>
    <w:rsid w:val="004759ED"/>
    <w:rsid w:val="00475AC9"/>
    <w:rsid w:val="00475C95"/>
    <w:rsid w:val="00475C9C"/>
    <w:rsid w:val="00475F7A"/>
    <w:rsid w:val="00476150"/>
    <w:rsid w:val="004761F6"/>
    <w:rsid w:val="004763DD"/>
    <w:rsid w:val="004765A5"/>
    <w:rsid w:val="004765B0"/>
    <w:rsid w:val="00476D6C"/>
    <w:rsid w:val="00476E55"/>
    <w:rsid w:val="00476EB3"/>
    <w:rsid w:val="00476F7D"/>
    <w:rsid w:val="00477236"/>
    <w:rsid w:val="00477362"/>
    <w:rsid w:val="0047786E"/>
    <w:rsid w:val="004800E9"/>
    <w:rsid w:val="004804F0"/>
    <w:rsid w:val="0048054D"/>
    <w:rsid w:val="00480CB1"/>
    <w:rsid w:val="00480CF7"/>
    <w:rsid w:val="00480E28"/>
    <w:rsid w:val="0048115D"/>
    <w:rsid w:val="00481212"/>
    <w:rsid w:val="0048121C"/>
    <w:rsid w:val="004814A7"/>
    <w:rsid w:val="00481755"/>
    <w:rsid w:val="00481C45"/>
    <w:rsid w:val="00481E9E"/>
    <w:rsid w:val="00482518"/>
    <w:rsid w:val="0048265C"/>
    <w:rsid w:val="00482BFC"/>
    <w:rsid w:val="004835C8"/>
    <w:rsid w:val="004838D2"/>
    <w:rsid w:val="00483A8B"/>
    <w:rsid w:val="00483D5E"/>
    <w:rsid w:val="00483ED5"/>
    <w:rsid w:val="004842A3"/>
    <w:rsid w:val="004842D8"/>
    <w:rsid w:val="004849D9"/>
    <w:rsid w:val="00484C8E"/>
    <w:rsid w:val="00484D9B"/>
    <w:rsid w:val="00484DB9"/>
    <w:rsid w:val="00484F86"/>
    <w:rsid w:val="004858C3"/>
    <w:rsid w:val="00485C5B"/>
    <w:rsid w:val="0048604E"/>
    <w:rsid w:val="004860DC"/>
    <w:rsid w:val="004862BF"/>
    <w:rsid w:val="004863F5"/>
    <w:rsid w:val="00486472"/>
    <w:rsid w:val="00486673"/>
    <w:rsid w:val="004868C2"/>
    <w:rsid w:val="00486DA3"/>
    <w:rsid w:val="0048723F"/>
    <w:rsid w:val="0048736F"/>
    <w:rsid w:val="004874D8"/>
    <w:rsid w:val="004878E1"/>
    <w:rsid w:val="00487E4E"/>
    <w:rsid w:val="004900FA"/>
    <w:rsid w:val="004903BD"/>
    <w:rsid w:val="0049049E"/>
    <w:rsid w:val="00490568"/>
    <w:rsid w:val="0049057C"/>
    <w:rsid w:val="004908CD"/>
    <w:rsid w:val="00490916"/>
    <w:rsid w:val="00490EF3"/>
    <w:rsid w:val="0049111F"/>
    <w:rsid w:val="0049130C"/>
    <w:rsid w:val="00491328"/>
    <w:rsid w:val="00491329"/>
    <w:rsid w:val="00491616"/>
    <w:rsid w:val="004916A3"/>
    <w:rsid w:val="004917BC"/>
    <w:rsid w:val="00491901"/>
    <w:rsid w:val="00491AC6"/>
    <w:rsid w:val="00491EDE"/>
    <w:rsid w:val="0049221B"/>
    <w:rsid w:val="004922DA"/>
    <w:rsid w:val="00492363"/>
    <w:rsid w:val="0049263A"/>
    <w:rsid w:val="0049269F"/>
    <w:rsid w:val="004928A9"/>
    <w:rsid w:val="00492D36"/>
    <w:rsid w:val="00492E55"/>
    <w:rsid w:val="004931BF"/>
    <w:rsid w:val="0049392A"/>
    <w:rsid w:val="00493CAC"/>
    <w:rsid w:val="00493D2A"/>
    <w:rsid w:val="004941C9"/>
    <w:rsid w:val="00494313"/>
    <w:rsid w:val="004946E1"/>
    <w:rsid w:val="00495004"/>
    <w:rsid w:val="00495552"/>
    <w:rsid w:val="004956AC"/>
    <w:rsid w:val="004957BB"/>
    <w:rsid w:val="004957C1"/>
    <w:rsid w:val="00495887"/>
    <w:rsid w:val="0049594C"/>
    <w:rsid w:val="0049596C"/>
    <w:rsid w:val="00495B49"/>
    <w:rsid w:val="004964D7"/>
    <w:rsid w:val="004966DD"/>
    <w:rsid w:val="0049682A"/>
    <w:rsid w:val="00496E2C"/>
    <w:rsid w:val="004978DF"/>
    <w:rsid w:val="0049791D"/>
    <w:rsid w:val="00497992"/>
    <w:rsid w:val="004979DC"/>
    <w:rsid w:val="004A0717"/>
    <w:rsid w:val="004A08E9"/>
    <w:rsid w:val="004A0A80"/>
    <w:rsid w:val="004A0B12"/>
    <w:rsid w:val="004A0EED"/>
    <w:rsid w:val="004A1125"/>
    <w:rsid w:val="004A1BDE"/>
    <w:rsid w:val="004A1D2C"/>
    <w:rsid w:val="004A1EC4"/>
    <w:rsid w:val="004A2275"/>
    <w:rsid w:val="004A2435"/>
    <w:rsid w:val="004A2952"/>
    <w:rsid w:val="004A2D4B"/>
    <w:rsid w:val="004A2DD1"/>
    <w:rsid w:val="004A2F53"/>
    <w:rsid w:val="004A36C2"/>
    <w:rsid w:val="004A39C9"/>
    <w:rsid w:val="004A3DBC"/>
    <w:rsid w:val="004A3EFE"/>
    <w:rsid w:val="004A4775"/>
    <w:rsid w:val="004A488A"/>
    <w:rsid w:val="004A4B66"/>
    <w:rsid w:val="004A4EFB"/>
    <w:rsid w:val="004A58A4"/>
    <w:rsid w:val="004A59EA"/>
    <w:rsid w:val="004A5E3B"/>
    <w:rsid w:val="004A6093"/>
    <w:rsid w:val="004A62E4"/>
    <w:rsid w:val="004A682C"/>
    <w:rsid w:val="004A6BC9"/>
    <w:rsid w:val="004A71C9"/>
    <w:rsid w:val="004A788B"/>
    <w:rsid w:val="004A7951"/>
    <w:rsid w:val="004A7CA3"/>
    <w:rsid w:val="004A7CA6"/>
    <w:rsid w:val="004B00B1"/>
    <w:rsid w:val="004B0343"/>
    <w:rsid w:val="004B0418"/>
    <w:rsid w:val="004B04A8"/>
    <w:rsid w:val="004B05A5"/>
    <w:rsid w:val="004B0A7C"/>
    <w:rsid w:val="004B0BCE"/>
    <w:rsid w:val="004B0C41"/>
    <w:rsid w:val="004B0F12"/>
    <w:rsid w:val="004B0F2B"/>
    <w:rsid w:val="004B20D7"/>
    <w:rsid w:val="004B23E6"/>
    <w:rsid w:val="004B2488"/>
    <w:rsid w:val="004B2690"/>
    <w:rsid w:val="004B2AE0"/>
    <w:rsid w:val="004B2CB0"/>
    <w:rsid w:val="004B2F10"/>
    <w:rsid w:val="004B3320"/>
    <w:rsid w:val="004B3337"/>
    <w:rsid w:val="004B3968"/>
    <w:rsid w:val="004B3BD2"/>
    <w:rsid w:val="004B3D03"/>
    <w:rsid w:val="004B40EC"/>
    <w:rsid w:val="004B464C"/>
    <w:rsid w:val="004B47F9"/>
    <w:rsid w:val="004B4888"/>
    <w:rsid w:val="004B49BB"/>
    <w:rsid w:val="004B49F6"/>
    <w:rsid w:val="004B4A59"/>
    <w:rsid w:val="004B4C0F"/>
    <w:rsid w:val="004B4CDE"/>
    <w:rsid w:val="004B544C"/>
    <w:rsid w:val="004B5603"/>
    <w:rsid w:val="004B58B9"/>
    <w:rsid w:val="004B5971"/>
    <w:rsid w:val="004B5AE1"/>
    <w:rsid w:val="004B5F9E"/>
    <w:rsid w:val="004B5FD8"/>
    <w:rsid w:val="004B5FEC"/>
    <w:rsid w:val="004B612D"/>
    <w:rsid w:val="004B6722"/>
    <w:rsid w:val="004B67C7"/>
    <w:rsid w:val="004B6A7A"/>
    <w:rsid w:val="004B6F08"/>
    <w:rsid w:val="004B7366"/>
    <w:rsid w:val="004B7621"/>
    <w:rsid w:val="004B786E"/>
    <w:rsid w:val="004B7B8B"/>
    <w:rsid w:val="004B7FC0"/>
    <w:rsid w:val="004C0139"/>
    <w:rsid w:val="004C01E7"/>
    <w:rsid w:val="004C0394"/>
    <w:rsid w:val="004C0B07"/>
    <w:rsid w:val="004C134E"/>
    <w:rsid w:val="004C1467"/>
    <w:rsid w:val="004C20FE"/>
    <w:rsid w:val="004C21CC"/>
    <w:rsid w:val="004C2B72"/>
    <w:rsid w:val="004C2D79"/>
    <w:rsid w:val="004C3313"/>
    <w:rsid w:val="004C36B4"/>
    <w:rsid w:val="004C3886"/>
    <w:rsid w:val="004C3E6C"/>
    <w:rsid w:val="004C41A2"/>
    <w:rsid w:val="004C4269"/>
    <w:rsid w:val="004C43E2"/>
    <w:rsid w:val="004C4713"/>
    <w:rsid w:val="004C4CE2"/>
    <w:rsid w:val="004C5043"/>
    <w:rsid w:val="004C5530"/>
    <w:rsid w:val="004C5E9C"/>
    <w:rsid w:val="004C5E9F"/>
    <w:rsid w:val="004C6222"/>
    <w:rsid w:val="004C639C"/>
    <w:rsid w:val="004C6518"/>
    <w:rsid w:val="004C66C5"/>
    <w:rsid w:val="004C723F"/>
    <w:rsid w:val="004C78AF"/>
    <w:rsid w:val="004D015E"/>
    <w:rsid w:val="004D05F9"/>
    <w:rsid w:val="004D113B"/>
    <w:rsid w:val="004D1285"/>
    <w:rsid w:val="004D12C1"/>
    <w:rsid w:val="004D131F"/>
    <w:rsid w:val="004D13F6"/>
    <w:rsid w:val="004D16E5"/>
    <w:rsid w:val="004D1912"/>
    <w:rsid w:val="004D1D72"/>
    <w:rsid w:val="004D1ECD"/>
    <w:rsid w:val="004D221B"/>
    <w:rsid w:val="004D24EB"/>
    <w:rsid w:val="004D2613"/>
    <w:rsid w:val="004D2818"/>
    <w:rsid w:val="004D2934"/>
    <w:rsid w:val="004D2C7C"/>
    <w:rsid w:val="004D2FD4"/>
    <w:rsid w:val="004D2FE1"/>
    <w:rsid w:val="004D31E0"/>
    <w:rsid w:val="004D3579"/>
    <w:rsid w:val="004D3738"/>
    <w:rsid w:val="004D3936"/>
    <w:rsid w:val="004D3B1F"/>
    <w:rsid w:val="004D3C1B"/>
    <w:rsid w:val="004D3DE9"/>
    <w:rsid w:val="004D3E55"/>
    <w:rsid w:val="004D3EAF"/>
    <w:rsid w:val="004D3F80"/>
    <w:rsid w:val="004D4357"/>
    <w:rsid w:val="004D4508"/>
    <w:rsid w:val="004D452F"/>
    <w:rsid w:val="004D4573"/>
    <w:rsid w:val="004D46EB"/>
    <w:rsid w:val="004D475A"/>
    <w:rsid w:val="004D4AD7"/>
    <w:rsid w:val="004D4B00"/>
    <w:rsid w:val="004D5005"/>
    <w:rsid w:val="004D5842"/>
    <w:rsid w:val="004D58E1"/>
    <w:rsid w:val="004D5DB0"/>
    <w:rsid w:val="004D5E0F"/>
    <w:rsid w:val="004D60AB"/>
    <w:rsid w:val="004D62A6"/>
    <w:rsid w:val="004D6670"/>
    <w:rsid w:val="004D6A86"/>
    <w:rsid w:val="004D6C45"/>
    <w:rsid w:val="004D6FBE"/>
    <w:rsid w:val="004D706B"/>
    <w:rsid w:val="004D7143"/>
    <w:rsid w:val="004D76D0"/>
    <w:rsid w:val="004D7BD9"/>
    <w:rsid w:val="004D7F56"/>
    <w:rsid w:val="004E08FD"/>
    <w:rsid w:val="004E0A9B"/>
    <w:rsid w:val="004E0B76"/>
    <w:rsid w:val="004E0BB7"/>
    <w:rsid w:val="004E0C9D"/>
    <w:rsid w:val="004E0CEB"/>
    <w:rsid w:val="004E0FC3"/>
    <w:rsid w:val="004E1185"/>
    <w:rsid w:val="004E11EB"/>
    <w:rsid w:val="004E125A"/>
    <w:rsid w:val="004E14B9"/>
    <w:rsid w:val="004E16FE"/>
    <w:rsid w:val="004E1CBB"/>
    <w:rsid w:val="004E1F22"/>
    <w:rsid w:val="004E220C"/>
    <w:rsid w:val="004E27C7"/>
    <w:rsid w:val="004E2965"/>
    <w:rsid w:val="004E2E62"/>
    <w:rsid w:val="004E3193"/>
    <w:rsid w:val="004E33BC"/>
    <w:rsid w:val="004E3520"/>
    <w:rsid w:val="004E356E"/>
    <w:rsid w:val="004E35A1"/>
    <w:rsid w:val="004E364C"/>
    <w:rsid w:val="004E36F0"/>
    <w:rsid w:val="004E3B96"/>
    <w:rsid w:val="004E3DC1"/>
    <w:rsid w:val="004E3E7D"/>
    <w:rsid w:val="004E4A49"/>
    <w:rsid w:val="004E5098"/>
    <w:rsid w:val="004E5196"/>
    <w:rsid w:val="004E5580"/>
    <w:rsid w:val="004E5A2A"/>
    <w:rsid w:val="004E5D13"/>
    <w:rsid w:val="004E5F66"/>
    <w:rsid w:val="004E60AF"/>
    <w:rsid w:val="004E60FD"/>
    <w:rsid w:val="004E64D4"/>
    <w:rsid w:val="004E6718"/>
    <w:rsid w:val="004E6CC2"/>
    <w:rsid w:val="004E6F8C"/>
    <w:rsid w:val="004E71F7"/>
    <w:rsid w:val="004E756D"/>
    <w:rsid w:val="004E772B"/>
    <w:rsid w:val="004E78BE"/>
    <w:rsid w:val="004E78EE"/>
    <w:rsid w:val="004E7CD6"/>
    <w:rsid w:val="004F060B"/>
    <w:rsid w:val="004F070A"/>
    <w:rsid w:val="004F0A0B"/>
    <w:rsid w:val="004F0A19"/>
    <w:rsid w:val="004F0B0D"/>
    <w:rsid w:val="004F0FAA"/>
    <w:rsid w:val="004F1123"/>
    <w:rsid w:val="004F12C9"/>
    <w:rsid w:val="004F1323"/>
    <w:rsid w:val="004F1542"/>
    <w:rsid w:val="004F1576"/>
    <w:rsid w:val="004F16D7"/>
    <w:rsid w:val="004F1A02"/>
    <w:rsid w:val="004F1BD9"/>
    <w:rsid w:val="004F1F66"/>
    <w:rsid w:val="004F202C"/>
    <w:rsid w:val="004F2906"/>
    <w:rsid w:val="004F2EA9"/>
    <w:rsid w:val="004F327D"/>
    <w:rsid w:val="004F34F7"/>
    <w:rsid w:val="004F35F5"/>
    <w:rsid w:val="004F3B39"/>
    <w:rsid w:val="004F3C58"/>
    <w:rsid w:val="004F3D65"/>
    <w:rsid w:val="004F436E"/>
    <w:rsid w:val="004F49D4"/>
    <w:rsid w:val="004F4AEA"/>
    <w:rsid w:val="004F526D"/>
    <w:rsid w:val="004F5395"/>
    <w:rsid w:val="004F5775"/>
    <w:rsid w:val="004F5A2A"/>
    <w:rsid w:val="004F5AA2"/>
    <w:rsid w:val="004F608B"/>
    <w:rsid w:val="004F6840"/>
    <w:rsid w:val="004F687E"/>
    <w:rsid w:val="004F68A1"/>
    <w:rsid w:val="004F6A25"/>
    <w:rsid w:val="004F6D68"/>
    <w:rsid w:val="004F6EBD"/>
    <w:rsid w:val="004F728D"/>
    <w:rsid w:val="004F73E8"/>
    <w:rsid w:val="004F7785"/>
    <w:rsid w:val="004F79A3"/>
    <w:rsid w:val="004F7AD0"/>
    <w:rsid w:val="0050016A"/>
    <w:rsid w:val="0050020E"/>
    <w:rsid w:val="005002A4"/>
    <w:rsid w:val="00500777"/>
    <w:rsid w:val="005009C7"/>
    <w:rsid w:val="00500A54"/>
    <w:rsid w:val="00500B9A"/>
    <w:rsid w:val="00500FAB"/>
    <w:rsid w:val="005011FF"/>
    <w:rsid w:val="00501294"/>
    <w:rsid w:val="005013C1"/>
    <w:rsid w:val="00501C4A"/>
    <w:rsid w:val="00502296"/>
    <w:rsid w:val="0050233E"/>
    <w:rsid w:val="00502447"/>
    <w:rsid w:val="0050270D"/>
    <w:rsid w:val="005029F8"/>
    <w:rsid w:val="0050319B"/>
    <w:rsid w:val="005032A9"/>
    <w:rsid w:val="00503351"/>
    <w:rsid w:val="00504162"/>
    <w:rsid w:val="00504173"/>
    <w:rsid w:val="0050445C"/>
    <w:rsid w:val="00505110"/>
    <w:rsid w:val="00505943"/>
    <w:rsid w:val="0050602C"/>
    <w:rsid w:val="005063EB"/>
    <w:rsid w:val="00506406"/>
    <w:rsid w:val="005065FA"/>
    <w:rsid w:val="00506CBB"/>
    <w:rsid w:val="00506ECE"/>
    <w:rsid w:val="00507068"/>
    <w:rsid w:val="005073C2"/>
    <w:rsid w:val="005076A7"/>
    <w:rsid w:val="00507A42"/>
    <w:rsid w:val="00507AEE"/>
    <w:rsid w:val="0051091E"/>
    <w:rsid w:val="00510A77"/>
    <w:rsid w:val="00511277"/>
    <w:rsid w:val="005115BA"/>
    <w:rsid w:val="005116DF"/>
    <w:rsid w:val="00512289"/>
    <w:rsid w:val="005126C0"/>
    <w:rsid w:val="00512B8B"/>
    <w:rsid w:val="00512D07"/>
    <w:rsid w:val="005131CC"/>
    <w:rsid w:val="005131D4"/>
    <w:rsid w:val="005133AF"/>
    <w:rsid w:val="00514117"/>
    <w:rsid w:val="0051445D"/>
    <w:rsid w:val="00514A25"/>
    <w:rsid w:val="00514AC9"/>
    <w:rsid w:val="00514FC8"/>
    <w:rsid w:val="0051502B"/>
    <w:rsid w:val="005150FC"/>
    <w:rsid w:val="00515283"/>
    <w:rsid w:val="00515373"/>
    <w:rsid w:val="005154D7"/>
    <w:rsid w:val="00515557"/>
    <w:rsid w:val="005156BC"/>
    <w:rsid w:val="00515B8D"/>
    <w:rsid w:val="00515D63"/>
    <w:rsid w:val="00515D85"/>
    <w:rsid w:val="00515F6A"/>
    <w:rsid w:val="00516233"/>
    <w:rsid w:val="005169D7"/>
    <w:rsid w:val="00516AAA"/>
    <w:rsid w:val="00516BA5"/>
    <w:rsid w:val="005170EC"/>
    <w:rsid w:val="005176A9"/>
    <w:rsid w:val="0051791F"/>
    <w:rsid w:val="005200B4"/>
    <w:rsid w:val="00520191"/>
    <w:rsid w:val="005201C6"/>
    <w:rsid w:val="00520910"/>
    <w:rsid w:val="00520B18"/>
    <w:rsid w:val="005211F5"/>
    <w:rsid w:val="0052160A"/>
    <w:rsid w:val="005217CD"/>
    <w:rsid w:val="0052186E"/>
    <w:rsid w:val="00521AF6"/>
    <w:rsid w:val="00521BFB"/>
    <w:rsid w:val="00522CB7"/>
    <w:rsid w:val="00522F22"/>
    <w:rsid w:val="005234F4"/>
    <w:rsid w:val="005235B3"/>
    <w:rsid w:val="005235F4"/>
    <w:rsid w:val="00523958"/>
    <w:rsid w:val="00523CE5"/>
    <w:rsid w:val="00523FE9"/>
    <w:rsid w:val="00523FF3"/>
    <w:rsid w:val="00524238"/>
    <w:rsid w:val="0052469A"/>
    <w:rsid w:val="00524CD5"/>
    <w:rsid w:val="00524DD4"/>
    <w:rsid w:val="00525D46"/>
    <w:rsid w:val="00526430"/>
    <w:rsid w:val="00526449"/>
    <w:rsid w:val="00526BE5"/>
    <w:rsid w:val="00526FD4"/>
    <w:rsid w:val="00526FE7"/>
    <w:rsid w:val="00526FF1"/>
    <w:rsid w:val="0052701F"/>
    <w:rsid w:val="0052783D"/>
    <w:rsid w:val="00527B59"/>
    <w:rsid w:val="00530201"/>
    <w:rsid w:val="005303B3"/>
    <w:rsid w:val="0053041D"/>
    <w:rsid w:val="0053088B"/>
    <w:rsid w:val="005309E3"/>
    <w:rsid w:val="00530E8F"/>
    <w:rsid w:val="005310E0"/>
    <w:rsid w:val="005311C1"/>
    <w:rsid w:val="00531311"/>
    <w:rsid w:val="00531344"/>
    <w:rsid w:val="00531359"/>
    <w:rsid w:val="005317FF"/>
    <w:rsid w:val="00531D1D"/>
    <w:rsid w:val="00531E69"/>
    <w:rsid w:val="00531F00"/>
    <w:rsid w:val="00531FF2"/>
    <w:rsid w:val="00532073"/>
    <w:rsid w:val="0053263F"/>
    <w:rsid w:val="00532807"/>
    <w:rsid w:val="00532AC7"/>
    <w:rsid w:val="00532AF3"/>
    <w:rsid w:val="00532F73"/>
    <w:rsid w:val="0053318B"/>
    <w:rsid w:val="005334ED"/>
    <w:rsid w:val="00533FC8"/>
    <w:rsid w:val="0053407A"/>
    <w:rsid w:val="0053417C"/>
    <w:rsid w:val="005342E1"/>
    <w:rsid w:val="005343E4"/>
    <w:rsid w:val="00534575"/>
    <w:rsid w:val="005345A9"/>
    <w:rsid w:val="00534903"/>
    <w:rsid w:val="00535497"/>
    <w:rsid w:val="00535538"/>
    <w:rsid w:val="00535EB2"/>
    <w:rsid w:val="005360B7"/>
    <w:rsid w:val="0053637B"/>
    <w:rsid w:val="00536453"/>
    <w:rsid w:val="00536465"/>
    <w:rsid w:val="00536515"/>
    <w:rsid w:val="0053686E"/>
    <w:rsid w:val="00536BE2"/>
    <w:rsid w:val="00537042"/>
    <w:rsid w:val="0053727F"/>
    <w:rsid w:val="00537783"/>
    <w:rsid w:val="005377A3"/>
    <w:rsid w:val="005377A6"/>
    <w:rsid w:val="0053782D"/>
    <w:rsid w:val="00537B7E"/>
    <w:rsid w:val="00537DA8"/>
    <w:rsid w:val="00537EE4"/>
    <w:rsid w:val="00540091"/>
    <w:rsid w:val="005400C8"/>
    <w:rsid w:val="00540104"/>
    <w:rsid w:val="005401BF"/>
    <w:rsid w:val="005403CF"/>
    <w:rsid w:val="0054079E"/>
    <w:rsid w:val="00540871"/>
    <w:rsid w:val="00540A08"/>
    <w:rsid w:val="00540C7B"/>
    <w:rsid w:val="00540EF9"/>
    <w:rsid w:val="00540FDC"/>
    <w:rsid w:val="005415AA"/>
    <w:rsid w:val="00541970"/>
    <w:rsid w:val="00541AA2"/>
    <w:rsid w:val="00541F56"/>
    <w:rsid w:val="0054222C"/>
    <w:rsid w:val="0054248C"/>
    <w:rsid w:val="00542E6B"/>
    <w:rsid w:val="00543524"/>
    <w:rsid w:val="005438F5"/>
    <w:rsid w:val="00543DDE"/>
    <w:rsid w:val="00543E44"/>
    <w:rsid w:val="00543FDE"/>
    <w:rsid w:val="00544058"/>
    <w:rsid w:val="00544137"/>
    <w:rsid w:val="00544221"/>
    <w:rsid w:val="0054457C"/>
    <w:rsid w:val="00544891"/>
    <w:rsid w:val="00544B3B"/>
    <w:rsid w:val="00544B47"/>
    <w:rsid w:val="00544E2D"/>
    <w:rsid w:val="00544EF7"/>
    <w:rsid w:val="00544F1F"/>
    <w:rsid w:val="0054545C"/>
    <w:rsid w:val="0054574A"/>
    <w:rsid w:val="0054575F"/>
    <w:rsid w:val="005458CE"/>
    <w:rsid w:val="00545AE3"/>
    <w:rsid w:val="00545BAA"/>
    <w:rsid w:val="00545CFE"/>
    <w:rsid w:val="00546122"/>
    <w:rsid w:val="00546B85"/>
    <w:rsid w:val="0054705D"/>
    <w:rsid w:val="00547282"/>
    <w:rsid w:val="0054735A"/>
    <w:rsid w:val="00547492"/>
    <w:rsid w:val="00547857"/>
    <w:rsid w:val="005478D6"/>
    <w:rsid w:val="005479CF"/>
    <w:rsid w:val="00547A84"/>
    <w:rsid w:val="0055000A"/>
    <w:rsid w:val="00550807"/>
    <w:rsid w:val="00551031"/>
    <w:rsid w:val="005512DC"/>
    <w:rsid w:val="00551370"/>
    <w:rsid w:val="0055137B"/>
    <w:rsid w:val="005515D6"/>
    <w:rsid w:val="005517A0"/>
    <w:rsid w:val="005518B0"/>
    <w:rsid w:val="00551F77"/>
    <w:rsid w:val="00552B52"/>
    <w:rsid w:val="00552F99"/>
    <w:rsid w:val="00553047"/>
    <w:rsid w:val="0055305A"/>
    <w:rsid w:val="00553078"/>
    <w:rsid w:val="00553103"/>
    <w:rsid w:val="005532F4"/>
    <w:rsid w:val="00553C53"/>
    <w:rsid w:val="00553F8D"/>
    <w:rsid w:val="005546F7"/>
    <w:rsid w:val="00554810"/>
    <w:rsid w:val="00554A26"/>
    <w:rsid w:val="0055510F"/>
    <w:rsid w:val="005551F4"/>
    <w:rsid w:val="00555224"/>
    <w:rsid w:val="005553AB"/>
    <w:rsid w:val="005554AE"/>
    <w:rsid w:val="00555575"/>
    <w:rsid w:val="00555666"/>
    <w:rsid w:val="00555D14"/>
    <w:rsid w:val="00556356"/>
    <w:rsid w:val="00556C8F"/>
    <w:rsid w:val="005572E7"/>
    <w:rsid w:val="00557343"/>
    <w:rsid w:val="00557B8B"/>
    <w:rsid w:val="00557BC5"/>
    <w:rsid w:val="00557BEF"/>
    <w:rsid w:val="00557C88"/>
    <w:rsid w:val="00557CDB"/>
    <w:rsid w:val="00557E5C"/>
    <w:rsid w:val="00557FE1"/>
    <w:rsid w:val="00560070"/>
    <w:rsid w:val="005602A1"/>
    <w:rsid w:val="00560518"/>
    <w:rsid w:val="005605CB"/>
    <w:rsid w:val="00560BFE"/>
    <w:rsid w:val="00560D9E"/>
    <w:rsid w:val="005612A3"/>
    <w:rsid w:val="00561516"/>
    <w:rsid w:val="005617FB"/>
    <w:rsid w:val="0056199E"/>
    <w:rsid w:val="00561CA7"/>
    <w:rsid w:val="005622DD"/>
    <w:rsid w:val="00562A5B"/>
    <w:rsid w:val="00563327"/>
    <w:rsid w:val="0056340B"/>
    <w:rsid w:val="00563508"/>
    <w:rsid w:val="0056357F"/>
    <w:rsid w:val="0056364F"/>
    <w:rsid w:val="00563691"/>
    <w:rsid w:val="00563EAB"/>
    <w:rsid w:val="00564705"/>
    <w:rsid w:val="00564732"/>
    <w:rsid w:val="0056476A"/>
    <w:rsid w:val="00564BC5"/>
    <w:rsid w:val="00564F30"/>
    <w:rsid w:val="00565170"/>
    <w:rsid w:val="005654E4"/>
    <w:rsid w:val="005656E4"/>
    <w:rsid w:val="0056577C"/>
    <w:rsid w:val="005657C8"/>
    <w:rsid w:val="0056591F"/>
    <w:rsid w:val="00565D03"/>
    <w:rsid w:val="00565D7B"/>
    <w:rsid w:val="00565DF3"/>
    <w:rsid w:val="005660A5"/>
    <w:rsid w:val="0056656C"/>
    <w:rsid w:val="00566AD8"/>
    <w:rsid w:val="00566E98"/>
    <w:rsid w:val="0056727A"/>
    <w:rsid w:val="0056749A"/>
    <w:rsid w:val="00567799"/>
    <w:rsid w:val="005679AA"/>
    <w:rsid w:val="00567A73"/>
    <w:rsid w:val="00567F3F"/>
    <w:rsid w:val="00567F92"/>
    <w:rsid w:val="00570028"/>
    <w:rsid w:val="005700D7"/>
    <w:rsid w:val="00570176"/>
    <w:rsid w:val="00570605"/>
    <w:rsid w:val="005708CE"/>
    <w:rsid w:val="005708D4"/>
    <w:rsid w:val="00570C99"/>
    <w:rsid w:val="00570D29"/>
    <w:rsid w:val="00572428"/>
    <w:rsid w:val="00572479"/>
    <w:rsid w:val="00572646"/>
    <w:rsid w:val="00572733"/>
    <w:rsid w:val="00572744"/>
    <w:rsid w:val="0057288E"/>
    <w:rsid w:val="00572979"/>
    <w:rsid w:val="00572D7C"/>
    <w:rsid w:val="00573226"/>
    <w:rsid w:val="00573302"/>
    <w:rsid w:val="00573307"/>
    <w:rsid w:val="00573328"/>
    <w:rsid w:val="005738C8"/>
    <w:rsid w:val="00573A90"/>
    <w:rsid w:val="00573B30"/>
    <w:rsid w:val="00573DFE"/>
    <w:rsid w:val="0057445F"/>
    <w:rsid w:val="005745AB"/>
    <w:rsid w:val="005745E1"/>
    <w:rsid w:val="0057481A"/>
    <w:rsid w:val="00574EF6"/>
    <w:rsid w:val="00574F28"/>
    <w:rsid w:val="005750CA"/>
    <w:rsid w:val="00575684"/>
    <w:rsid w:val="0057597E"/>
    <w:rsid w:val="005759C4"/>
    <w:rsid w:val="00576044"/>
    <w:rsid w:val="00576156"/>
    <w:rsid w:val="00576431"/>
    <w:rsid w:val="00576477"/>
    <w:rsid w:val="005769E5"/>
    <w:rsid w:val="005771F3"/>
    <w:rsid w:val="00577230"/>
    <w:rsid w:val="00577949"/>
    <w:rsid w:val="00577A58"/>
    <w:rsid w:val="00577D4F"/>
    <w:rsid w:val="00577DFD"/>
    <w:rsid w:val="00580245"/>
    <w:rsid w:val="005805AA"/>
    <w:rsid w:val="005807D2"/>
    <w:rsid w:val="00580AFD"/>
    <w:rsid w:val="0058268E"/>
    <w:rsid w:val="00582B57"/>
    <w:rsid w:val="0058345A"/>
    <w:rsid w:val="005835B5"/>
    <w:rsid w:val="0058361B"/>
    <w:rsid w:val="00583873"/>
    <w:rsid w:val="005838A6"/>
    <w:rsid w:val="005840D6"/>
    <w:rsid w:val="005841EA"/>
    <w:rsid w:val="00584856"/>
    <w:rsid w:val="00584E89"/>
    <w:rsid w:val="00584EBD"/>
    <w:rsid w:val="00584FCF"/>
    <w:rsid w:val="0058538A"/>
    <w:rsid w:val="0058538B"/>
    <w:rsid w:val="00585A25"/>
    <w:rsid w:val="00585AAB"/>
    <w:rsid w:val="00585CA2"/>
    <w:rsid w:val="005861DA"/>
    <w:rsid w:val="0058621A"/>
    <w:rsid w:val="005863CE"/>
    <w:rsid w:val="0058689D"/>
    <w:rsid w:val="005868FC"/>
    <w:rsid w:val="005869BE"/>
    <w:rsid w:val="00586C89"/>
    <w:rsid w:val="0058711C"/>
    <w:rsid w:val="00587223"/>
    <w:rsid w:val="005877B5"/>
    <w:rsid w:val="0058793B"/>
    <w:rsid w:val="00587BD1"/>
    <w:rsid w:val="00587C1F"/>
    <w:rsid w:val="005900DA"/>
    <w:rsid w:val="00590326"/>
    <w:rsid w:val="005904DC"/>
    <w:rsid w:val="00590708"/>
    <w:rsid w:val="00590A52"/>
    <w:rsid w:val="00590A7F"/>
    <w:rsid w:val="00590BB7"/>
    <w:rsid w:val="00590CB7"/>
    <w:rsid w:val="0059136A"/>
    <w:rsid w:val="00591978"/>
    <w:rsid w:val="00591A60"/>
    <w:rsid w:val="00591B89"/>
    <w:rsid w:val="00591DDD"/>
    <w:rsid w:val="00591EFF"/>
    <w:rsid w:val="00591F40"/>
    <w:rsid w:val="00591FF9"/>
    <w:rsid w:val="00592142"/>
    <w:rsid w:val="00592156"/>
    <w:rsid w:val="0059221F"/>
    <w:rsid w:val="0059261E"/>
    <w:rsid w:val="00592893"/>
    <w:rsid w:val="00592A21"/>
    <w:rsid w:val="00592C4A"/>
    <w:rsid w:val="0059303F"/>
    <w:rsid w:val="00593214"/>
    <w:rsid w:val="005937CE"/>
    <w:rsid w:val="005939C2"/>
    <w:rsid w:val="00593E0F"/>
    <w:rsid w:val="005940D6"/>
    <w:rsid w:val="00594236"/>
    <w:rsid w:val="00594E1B"/>
    <w:rsid w:val="00594F14"/>
    <w:rsid w:val="005953FB"/>
    <w:rsid w:val="00595D1E"/>
    <w:rsid w:val="00595F5A"/>
    <w:rsid w:val="00595FC6"/>
    <w:rsid w:val="0059601A"/>
    <w:rsid w:val="005964F6"/>
    <w:rsid w:val="00596752"/>
    <w:rsid w:val="00596958"/>
    <w:rsid w:val="00596CDA"/>
    <w:rsid w:val="00596D6F"/>
    <w:rsid w:val="00597373"/>
    <w:rsid w:val="005973BA"/>
    <w:rsid w:val="0059797E"/>
    <w:rsid w:val="00597EE1"/>
    <w:rsid w:val="00597F58"/>
    <w:rsid w:val="005A0191"/>
    <w:rsid w:val="005A041E"/>
    <w:rsid w:val="005A06DD"/>
    <w:rsid w:val="005A0DE7"/>
    <w:rsid w:val="005A14F9"/>
    <w:rsid w:val="005A180E"/>
    <w:rsid w:val="005A1A84"/>
    <w:rsid w:val="005A1D9C"/>
    <w:rsid w:val="005A1E55"/>
    <w:rsid w:val="005A22E4"/>
    <w:rsid w:val="005A22FE"/>
    <w:rsid w:val="005A3243"/>
    <w:rsid w:val="005A33D8"/>
    <w:rsid w:val="005A3712"/>
    <w:rsid w:val="005A374F"/>
    <w:rsid w:val="005A37FB"/>
    <w:rsid w:val="005A3EF2"/>
    <w:rsid w:val="005A44D9"/>
    <w:rsid w:val="005A4945"/>
    <w:rsid w:val="005A4B35"/>
    <w:rsid w:val="005A4CB1"/>
    <w:rsid w:val="005A4D5C"/>
    <w:rsid w:val="005A4F0F"/>
    <w:rsid w:val="005A5378"/>
    <w:rsid w:val="005A598E"/>
    <w:rsid w:val="005A60DA"/>
    <w:rsid w:val="005A62B2"/>
    <w:rsid w:val="005A6369"/>
    <w:rsid w:val="005A6719"/>
    <w:rsid w:val="005A6B3E"/>
    <w:rsid w:val="005A6C9F"/>
    <w:rsid w:val="005A719E"/>
    <w:rsid w:val="005A71C6"/>
    <w:rsid w:val="005A73FF"/>
    <w:rsid w:val="005A7468"/>
    <w:rsid w:val="005A7A16"/>
    <w:rsid w:val="005A7C17"/>
    <w:rsid w:val="005B097D"/>
    <w:rsid w:val="005B0C71"/>
    <w:rsid w:val="005B0F40"/>
    <w:rsid w:val="005B129F"/>
    <w:rsid w:val="005B132A"/>
    <w:rsid w:val="005B15A0"/>
    <w:rsid w:val="005B160E"/>
    <w:rsid w:val="005B1D59"/>
    <w:rsid w:val="005B2072"/>
    <w:rsid w:val="005B227B"/>
    <w:rsid w:val="005B241C"/>
    <w:rsid w:val="005B24BA"/>
    <w:rsid w:val="005B2645"/>
    <w:rsid w:val="005B264C"/>
    <w:rsid w:val="005B2779"/>
    <w:rsid w:val="005B27D0"/>
    <w:rsid w:val="005B2A06"/>
    <w:rsid w:val="005B2EC6"/>
    <w:rsid w:val="005B2F5C"/>
    <w:rsid w:val="005B3053"/>
    <w:rsid w:val="005B3127"/>
    <w:rsid w:val="005B315B"/>
    <w:rsid w:val="005B3370"/>
    <w:rsid w:val="005B36E0"/>
    <w:rsid w:val="005B3732"/>
    <w:rsid w:val="005B38E2"/>
    <w:rsid w:val="005B3A1A"/>
    <w:rsid w:val="005B3A28"/>
    <w:rsid w:val="005B3ABF"/>
    <w:rsid w:val="005B4424"/>
    <w:rsid w:val="005B4449"/>
    <w:rsid w:val="005B44F3"/>
    <w:rsid w:val="005B45F6"/>
    <w:rsid w:val="005B47DF"/>
    <w:rsid w:val="005B4B74"/>
    <w:rsid w:val="005B4F29"/>
    <w:rsid w:val="005B535E"/>
    <w:rsid w:val="005B564F"/>
    <w:rsid w:val="005B56EA"/>
    <w:rsid w:val="005B5DC8"/>
    <w:rsid w:val="005B658F"/>
    <w:rsid w:val="005B6F83"/>
    <w:rsid w:val="005B71C9"/>
    <w:rsid w:val="005B71E3"/>
    <w:rsid w:val="005B7B4C"/>
    <w:rsid w:val="005B7C0F"/>
    <w:rsid w:val="005B7F02"/>
    <w:rsid w:val="005C0268"/>
    <w:rsid w:val="005C036D"/>
    <w:rsid w:val="005C03D8"/>
    <w:rsid w:val="005C08AC"/>
    <w:rsid w:val="005C0C5A"/>
    <w:rsid w:val="005C0ED8"/>
    <w:rsid w:val="005C1161"/>
    <w:rsid w:val="005C19EB"/>
    <w:rsid w:val="005C1CE8"/>
    <w:rsid w:val="005C1EB5"/>
    <w:rsid w:val="005C217D"/>
    <w:rsid w:val="005C2E5E"/>
    <w:rsid w:val="005C2EE0"/>
    <w:rsid w:val="005C2FDD"/>
    <w:rsid w:val="005C31EC"/>
    <w:rsid w:val="005C33E3"/>
    <w:rsid w:val="005C39DB"/>
    <w:rsid w:val="005C39F6"/>
    <w:rsid w:val="005C3C36"/>
    <w:rsid w:val="005C3E2B"/>
    <w:rsid w:val="005C3E7B"/>
    <w:rsid w:val="005C3FC6"/>
    <w:rsid w:val="005C421B"/>
    <w:rsid w:val="005C435A"/>
    <w:rsid w:val="005C4E47"/>
    <w:rsid w:val="005C505C"/>
    <w:rsid w:val="005C51E2"/>
    <w:rsid w:val="005C5355"/>
    <w:rsid w:val="005C5802"/>
    <w:rsid w:val="005C59F3"/>
    <w:rsid w:val="005C61B7"/>
    <w:rsid w:val="005C64C5"/>
    <w:rsid w:val="005C6587"/>
    <w:rsid w:val="005C6B0C"/>
    <w:rsid w:val="005C6B28"/>
    <w:rsid w:val="005C7361"/>
    <w:rsid w:val="005C75EB"/>
    <w:rsid w:val="005C7655"/>
    <w:rsid w:val="005C7A39"/>
    <w:rsid w:val="005C7A52"/>
    <w:rsid w:val="005C7C79"/>
    <w:rsid w:val="005D00E3"/>
    <w:rsid w:val="005D00F7"/>
    <w:rsid w:val="005D01E9"/>
    <w:rsid w:val="005D0833"/>
    <w:rsid w:val="005D0A7C"/>
    <w:rsid w:val="005D0E4A"/>
    <w:rsid w:val="005D131B"/>
    <w:rsid w:val="005D2521"/>
    <w:rsid w:val="005D25C2"/>
    <w:rsid w:val="005D2821"/>
    <w:rsid w:val="005D2AC1"/>
    <w:rsid w:val="005D2BF8"/>
    <w:rsid w:val="005D2D7A"/>
    <w:rsid w:val="005D2EB6"/>
    <w:rsid w:val="005D318C"/>
    <w:rsid w:val="005D327E"/>
    <w:rsid w:val="005D3326"/>
    <w:rsid w:val="005D3336"/>
    <w:rsid w:val="005D387D"/>
    <w:rsid w:val="005D3983"/>
    <w:rsid w:val="005D3B78"/>
    <w:rsid w:val="005D3CB2"/>
    <w:rsid w:val="005D42A8"/>
    <w:rsid w:val="005D4395"/>
    <w:rsid w:val="005D4C60"/>
    <w:rsid w:val="005D4D40"/>
    <w:rsid w:val="005D5014"/>
    <w:rsid w:val="005D5119"/>
    <w:rsid w:val="005D514D"/>
    <w:rsid w:val="005D57A4"/>
    <w:rsid w:val="005D58DB"/>
    <w:rsid w:val="005D5992"/>
    <w:rsid w:val="005D5BC2"/>
    <w:rsid w:val="005D5DD3"/>
    <w:rsid w:val="005D5F61"/>
    <w:rsid w:val="005D607D"/>
    <w:rsid w:val="005D62AD"/>
    <w:rsid w:val="005D63B3"/>
    <w:rsid w:val="005D7137"/>
    <w:rsid w:val="005D7861"/>
    <w:rsid w:val="005D7DE7"/>
    <w:rsid w:val="005D7F2E"/>
    <w:rsid w:val="005E0384"/>
    <w:rsid w:val="005E03CD"/>
    <w:rsid w:val="005E0415"/>
    <w:rsid w:val="005E0474"/>
    <w:rsid w:val="005E07EC"/>
    <w:rsid w:val="005E09D6"/>
    <w:rsid w:val="005E0DA3"/>
    <w:rsid w:val="005E135C"/>
    <w:rsid w:val="005E17FC"/>
    <w:rsid w:val="005E1948"/>
    <w:rsid w:val="005E1B35"/>
    <w:rsid w:val="005E1C19"/>
    <w:rsid w:val="005E1F9A"/>
    <w:rsid w:val="005E2349"/>
    <w:rsid w:val="005E2472"/>
    <w:rsid w:val="005E24EB"/>
    <w:rsid w:val="005E280A"/>
    <w:rsid w:val="005E286F"/>
    <w:rsid w:val="005E2DD3"/>
    <w:rsid w:val="005E2DED"/>
    <w:rsid w:val="005E3187"/>
    <w:rsid w:val="005E335B"/>
    <w:rsid w:val="005E350C"/>
    <w:rsid w:val="005E3545"/>
    <w:rsid w:val="005E36D4"/>
    <w:rsid w:val="005E3DBA"/>
    <w:rsid w:val="005E3E43"/>
    <w:rsid w:val="005E422C"/>
    <w:rsid w:val="005E423F"/>
    <w:rsid w:val="005E4757"/>
    <w:rsid w:val="005E4B6C"/>
    <w:rsid w:val="005E4CB7"/>
    <w:rsid w:val="005E4E55"/>
    <w:rsid w:val="005E512E"/>
    <w:rsid w:val="005E51DD"/>
    <w:rsid w:val="005E56B0"/>
    <w:rsid w:val="005E5B88"/>
    <w:rsid w:val="005E641A"/>
    <w:rsid w:val="005E66AF"/>
    <w:rsid w:val="005E673F"/>
    <w:rsid w:val="005E6D67"/>
    <w:rsid w:val="005E6E42"/>
    <w:rsid w:val="005E72E7"/>
    <w:rsid w:val="005E7983"/>
    <w:rsid w:val="005E7A79"/>
    <w:rsid w:val="005E7FE7"/>
    <w:rsid w:val="005F02DA"/>
    <w:rsid w:val="005F0333"/>
    <w:rsid w:val="005F0797"/>
    <w:rsid w:val="005F0A1D"/>
    <w:rsid w:val="005F0B84"/>
    <w:rsid w:val="005F0DA9"/>
    <w:rsid w:val="005F0E07"/>
    <w:rsid w:val="005F1A28"/>
    <w:rsid w:val="005F1CC0"/>
    <w:rsid w:val="005F2307"/>
    <w:rsid w:val="005F23E5"/>
    <w:rsid w:val="005F2958"/>
    <w:rsid w:val="005F30EA"/>
    <w:rsid w:val="005F37F3"/>
    <w:rsid w:val="005F3D48"/>
    <w:rsid w:val="005F3F88"/>
    <w:rsid w:val="005F405B"/>
    <w:rsid w:val="005F469F"/>
    <w:rsid w:val="005F4B69"/>
    <w:rsid w:val="005F4BFC"/>
    <w:rsid w:val="005F4F4E"/>
    <w:rsid w:val="005F5016"/>
    <w:rsid w:val="005F55C9"/>
    <w:rsid w:val="005F5666"/>
    <w:rsid w:val="005F5A0D"/>
    <w:rsid w:val="005F5C23"/>
    <w:rsid w:val="005F5C6C"/>
    <w:rsid w:val="005F5F71"/>
    <w:rsid w:val="005F63C9"/>
    <w:rsid w:val="005F6572"/>
    <w:rsid w:val="005F695A"/>
    <w:rsid w:val="005F6B6A"/>
    <w:rsid w:val="005F6C5B"/>
    <w:rsid w:val="005F7004"/>
    <w:rsid w:val="005F72A6"/>
    <w:rsid w:val="005F7452"/>
    <w:rsid w:val="005F7876"/>
    <w:rsid w:val="005F7888"/>
    <w:rsid w:val="005F79CC"/>
    <w:rsid w:val="005F7A34"/>
    <w:rsid w:val="005F7EFF"/>
    <w:rsid w:val="00600414"/>
    <w:rsid w:val="00600736"/>
    <w:rsid w:val="00600929"/>
    <w:rsid w:val="0060095E"/>
    <w:rsid w:val="00600B70"/>
    <w:rsid w:val="00601DF5"/>
    <w:rsid w:val="00601E3E"/>
    <w:rsid w:val="006020CA"/>
    <w:rsid w:val="00602955"/>
    <w:rsid w:val="00602B6D"/>
    <w:rsid w:val="00602C8E"/>
    <w:rsid w:val="00602CD9"/>
    <w:rsid w:val="00602E76"/>
    <w:rsid w:val="00603000"/>
    <w:rsid w:val="006030C5"/>
    <w:rsid w:val="006030CE"/>
    <w:rsid w:val="0060356E"/>
    <w:rsid w:val="00603676"/>
    <w:rsid w:val="006036F9"/>
    <w:rsid w:val="00603A5A"/>
    <w:rsid w:val="00603BEB"/>
    <w:rsid w:val="00603C43"/>
    <w:rsid w:val="00603DDA"/>
    <w:rsid w:val="00603F4A"/>
    <w:rsid w:val="00603FC1"/>
    <w:rsid w:val="006050A2"/>
    <w:rsid w:val="006052C5"/>
    <w:rsid w:val="00605F2D"/>
    <w:rsid w:val="006061C1"/>
    <w:rsid w:val="006067F8"/>
    <w:rsid w:val="00606B7F"/>
    <w:rsid w:val="0060732F"/>
    <w:rsid w:val="006073BA"/>
    <w:rsid w:val="006073C0"/>
    <w:rsid w:val="006074C5"/>
    <w:rsid w:val="00607510"/>
    <w:rsid w:val="00607855"/>
    <w:rsid w:val="00607916"/>
    <w:rsid w:val="00607CA7"/>
    <w:rsid w:val="00607D95"/>
    <w:rsid w:val="00607EF4"/>
    <w:rsid w:val="006105E4"/>
    <w:rsid w:val="00610894"/>
    <w:rsid w:val="00610F70"/>
    <w:rsid w:val="00611224"/>
    <w:rsid w:val="00611638"/>
    <w:rsid w:val="0061168E"/>
    <w:rsid w:val="00611A6D"/>
    <w:rsid w:val="00611A7C"/>
    <w:rsid w:val="00611EAB"/>
    <w:rsid w:val="00612182"/>
    <w:rsid w:val="006129E8"/>
    <w:rsid w:val="00612B78"/>
    <w:rsid w:val="00612F07"/>
    <w:rsid w:val="00612FF6"/>
    <w:rsid w:val="00613782"/>
    <w:rsid w:val="0061381E"/>
    <w:rsid w:val="006141BB"/>
    <w:rsid w:val="006146DC"/>
    <w:rsid w:val="006148C4"/>
    <w:rsid w:val="00614B33"/>
    <w:rsid w:val="00614B4C"/>
    <w:rsid w:val="00614B76"/>
    <w:rsid w:val="006153FA"/>
    <w:rsid w:val="006158B7"/>
    <w:rsid w:val="00615929"/>
    <w:rsid w:val="006159CC"/>
    <w:rsid w:val="00615DC2"/>
    <w:rsid w:val="006164E2"/>
    <w:rsid w:val="00616929"/>
    <w:rsid w:val="00616FC0"/>
    <w:rsid w:val="006172A4"/>
    <w:rsid w:val="006173D0"/>
    <w:rsid w:val="0061794A"/>
    <w:rsid w:val="006179FD"/>
    <w:rsid w:val="00617B09"/>
    <w:rsid w:val="00617D73"/>
    <w:rsid w:val="00617ED9"/>
    <w:rsid w:val="006201D7"/>
    <w:rsid w:val="00620237"/>
    <w:rsid w:val="00620507"/>
    <w:rsid w:val="006207A4"/>
    <w:rsid w:val="00620CDA"/>
    <w:rsid w:val="00621117"/>
    <w:rsid w:val="00621D9D"/>
    <w:rsid w:val="006222EF"/>
    <w:rsid w:val="00622351"/>
    <w:rsid w:val="00622696"/>
    <w:rsid w:val="00622A34"/>
    <w:rsid w:val="00622F03"/>
    <w:rsid w:val="0062376A"/>
    <w:rsid w:val="00624067"/>
    <w:rsid w:val="006246DE"/>
    <w:rsid w:val="0062493B"/>
    <w:rsid w:val="00624998"/>
    <w:rsid w:val="00624E5B"/>
    <w:rsid w:val="0062548D"/>
    <w:rsid w:val="00625505"/>
    <w:rsid w:val="006257EB"/>
    <w:rsid w:val="0062598A"/>
    <w:rsid w:val="00625B94"/>
    <w:rsid w:val="00625C35"/>
    <w:rsid w:val="00625C7A"/>
    <w:rsid w:val="00625ECA"/>
    <w:rsid w:val="006261A0"/>
    <w:rsid w:val="00626394"/>
    <w:rsid w:val="006266A1"/>
    <w:rsid w:val="00626733"/>
    <w:rsid w:val="00626CA4"/>
    <w:rsid w:val="00626F6E"/>
    <w:rsid w:val="006276A1"/>
    <w:rsid w:val="006276E5"/>
    <w:rsid w:val="00627B1D"/>
    <w:rsid w:val="00627E11"/>
    <w:rsid w:val="00630070"/>
    <w:rsid w:val="006300D0"/>
    <w:rsid w:val="0063043E"/>
    <w:rsid w:val="006304CB"/>
    <w:rsid w:val="006304E3"/>
    <w:rsid w:val="00630E1A"/>
    <w:rsid w:val="00630FA5"/>
    <w:rsid w:val="00630FF7"/>
    <w:rsid w:val="006313F5"/>
    <w:rsid w:val="006319C2"/>
    <w:rsid w:val="00631D3A"/>
    <w:rsid w:val="00631DF6"/>
    <w:rsid w:val="00632135"/>
    <w:rsid w:val="006322F4"/>
    <w:rsid w:val="006325F2"/>
    <w:rsid w:val="006328B1"/>
    <w:rsid w:val="0063299E"/>
    <w:rsid w:val="006330E6"/>
    <w:rsid w:val="00633928"/>
    <w:rsid w:val="0063396C"/>
    <w:rsid w:val="00633BFB"/>
    <w:rsid w:val="00633EBB"/>
    <w:rsid w:val="00633F36"/>
    <w:rsid w:val="00634371"/>
    <w:rsid w:val="006343C3"/>
    <w:rsid w:val="0063447C"/>
    <w:rsid w:val="006344CE"/>
    <w:rsid w:val="006344D6"/>
    <w:rsid w:val="0063455F"/>
    <w:rsid w:val="00634D2F"/>
    <w:rsid w:val="00634E2F"/>
    <w:rsid w:val="00635146"/>
    <w:rsid w:val="006353C7"/>
    <w:rsid w:val="006358C0"/>
    <w:rsid w:val="00635A41"/>
    <w:rsid w:val="00635B65"/>
    <w:rsid w:val="00635C79"/>
    <w:rsid w:val="00635EF8"/>
    <w:rsid w:val="00636163"/>
    <w:rsid w:val="006363D6"/>
    <w:rsid w:val="0063650D"/>
    <w:rsid w:val="006367AE"/>
    <w:rsid w:val="00636C43"/>
    <w:rsid w:val="00636E1C"/>
    <w:rsid w:val="00637363"/>
    <w:rsid w:val="00637516"/>
    <w:rsid w:val="00637D9F"/>
    <w:rsid w:val="0064001B"/>
    <w:rsid w:val="006400D1"/>
    <w:rsid w:val="006408D4"/>
    <w:rsid w:val="006409F1"/>
    <w:rsid w:val="00640B55"/>
    <w:rsid w:val="00640C83"/>
    <w:rsid w:val="0064104C"/>
    <w:rsid w:val="00641242"/>
    <w:rsid w:val="006416B3"/>
    <w:rsid w:val="006416C2"/>
    <w:rsid w:val="00641A00"/>
    <w:rsid w:val="00641EF7"/>
    <w:rsid w:val="006421D4"/>
    <w:rsid w:val="006426EC"/>
    <w:rsid w:val="006427AA"/>
    <w:rsid w:val="00642881"/>
    <w:rsid w:val="006429D7"/>
    <w:rsid w:val="00642CE7"/>
    <w:rsid w:val="00643132"/>
    <w:rsid w:val="00643324"/>
    <w:rsid w:val="006440DA"/>
    <w:rsid w:val="00644931"/>
    <w:rsid w:val="00644C18"/>
    <w:rsid w:val="0064550C"/>
    <w:rsid w:val="0064575B"/>
    <w:rsid w:val="0064577F"/>
    <w:rsid w:val="00645CA0"/>
    <w:rsid w:val="00645DDE"/>
    <w:rsid w:val="00645E65"/>
    <w:rsid w:val="00645E89"/>
    <w:rsid w:val="00645F79"/>
    <w:rsid w:val="006464D5"/>
    <w:rsid w:val="006466E0"/>
    <w:rsid w:val="00646C95"/>
    <w:rsid w:val="00647064"/>
    <w:rsid w:val="006472E2"/>
    <w:rsid w:val="0064751D"/>
    <w:rsid w:val="00647AD7"/>
    <w:rsid w:val="00647F8E"/>
    <w:rsid w:val="006501C4"/>
    <w:rsid w:val="006502F0"/>
    <w:rsid w:val="00650940"/>
    <w:rsid w:val="00651418"/>
    <w:rsid w:val="00651B67"/>
    <w:rsid w:val="00651C7A"/>
    <w:rsid w:val="00651F89"/>
    <w:rsid w:val="00652335"/>
    <w:rsid w:val="006527D8"/>
    <w:rsid w:val="00652808"/>
    <w:rsid w:val="00652CE4"/>
    <w:rsid w:val="00652E7C"/>
    <w:rsid w:val="006530D2"/>
    <w:rsid w:val="0065312F"/>
    <w:rsid w:val="00653449"/>
    <w:rsid w:val="00653917"/>
    <w:rsid w:val="00653B23"/>
    <w:rsid w:val="00654065"/>
    <w:rsid w:val="0065424B"/>
    <w:rsid w:val="00654703"/>
    <w:rsid w:val="00654892"/>
    <w:rsid w:val="0065513E"/>
    <w:rsid w:val="00655381"/>
    <w:rsid w:val="00655784"/>
    <w:rsid w:val="00655D3C"/>
    <w:rsid w:val="006562AF"/>
    <w:rsid w:val="0065646E"/>
    <w:rsid w:val="00656B10"/>
    <w:rsid w:val="006570CE"/>
    <w:rsid w:val="00657261"/>
    <w:rsid w:val="006572D5"/>
    <w:rsid w:val="006578C7"/>
    <w:rsid w:val="00657C80"/>
    <w:rsid w:val="00657CF3"/>
    <w:rsid w:val="00657D2D"/>
    <w:rsid w:val="00657E6B"/>
    <w:rsid w:val="00657E71"/>
    <w:rsid w:val="006603C6"/>
    <w:rsid w:val="00660BF6"/>
    <w:rsid w:val="006610C6"/>
    <w:rsid w:val="0066177C"/>
    <w:rsid w:val="00661858"/>
    <w:rsid w:val="00661A9A"/>
    <w:rsid w:val="00661B12"/>
    <w:rsid w:val="00661BC5"/>
    <w:rsid w:val="00661D56"/>
    <w:rsid w:val="00662873"/>
    <w:rsid w:val="00662D26"/>
    <w:rsid w:val="00662E08"/>
    <w:rsid w:val="006631B2"/>
    <w:rsid w:val="0066329E"/>
    <w:rsid w:val="006634C1"/>
    <w:rsid w:val="006636AE"/>
    <w:rsid w:val="00663820"/>
    <w:rsid w:val="00663A68"/>
    <w:rsid w:val="00663AC5"/>
    <w:rsid w:val="00663D58"/>
    <w:rsid w:val="00663EAD"/>
    <w:rsid w:val="006647CF"/>
    <w:rsid w:val="00664872"/>
    <w:rsid w:val="00664D34"/>
    <w:rsid w:val="006653DA"/>
    <w:rsid w:val="00665415"/>
    <w:rsid w:val="006655C9"/>
    <w:rsid w:val="00665929"/>
    <w:rsid w:val="00665DA9"/>
    <w:rsid w:val="006660C1"/>
    <w:rsid w:val="006666EA"/>
    <w:rsid w:val="006667AA"/>
    <w:rsid w:val="006667B9"/>
    <w:rsid w:val="00666B44"/>
    <w:rsid w:val="00666C69"/>
    <w:rsid w:val="00666EA2"/>
    <w:rsid w:val="00666F57"/>
    <w:rsid w:val="006672A4"/>
    <w:rsid w:val="0066756A"/>
    <w:rsid w:val="00667682"/>
    <w:rsid w:val="006678BA"/>
    <w:rsid w:val="00667ABD"/>
    <w:rsid w:val="00667D57"/>
    <w:rsid w:val="00667EF5"/>
    <w:rsid w:val="00670483"/>
    <w:rsid w:val="00670A79"/>
    <w:rsid w:val="00670E2F"/>
    <w:rsid w:val="00670E9B"/>
    <w:rsid w:val="006712DD"/>
    <w:rsid w:val="0067141C"/>
    <w:rsid w:val="0067154D"/>
    <w:rsid w:val="006719C9"/>
    <w:rsid w:val="00671A0C"/>
    <w:rsid w:val="00671D0F"/>
    <w:rsid w:val="00671FC2"/>
    <w:rsid w:val="00672183"/>
    <w:rsid w:val="006721A4"/>
    <w:rsid w:val="0067250D"/>
    <w:rsid w:val="0067251A"/>
    <w:rsid w:val="006726E6"/>
    <w:rsid w:val="00672B1A"/>
    <w:rsid w:val="00672B8A"/>
    <w:rsid w:val="00672FC4"/>
    <w:rsid w:val="00673148"/>
    <w:rsid w:val="006731D0"/>
    <w:rsid w:val="0067332A"/>
    <w:rsid w:val="00673A4F"/>
    <w:rsid w:val="00673D03"/>
    <w:rsid w:val="00673F1E"/>
    <w:rsid w:val="00674122"/>
    <w:rsid w:val="00674776"/>
    <w:rsid w:val="006748E5"/>
    <w:rsid w:val="00674A06"/>
    <w:rsid w:val="00674CB2"/>
    <w:rsid w:val="00674E4A"/>
    <w:rsid w:val="0067526B"/>
    <w:rsid w:val="0067552C"/>
    <w:rsid w:val="00675B34"/>
    <w:rsid w:val="00675CDF"/>
    <w:rsid w:val="00675DE7"/>
    <w:rsid w:val="00676068"/>
    <w:rsid w:val="00676497"/>
    <w:rsid w:val="0067654A"/>
    <w:rsid w:val="006768C1"/>
    <w:rsid w:val="006770BD"/>
    <w:rsid w:val="00677551"/>
    <w:rsid w:val="00677A28"/>
    <w:rsid w:val="00677B5D"/>
    <w:rsid w:val="00677B8F"/>
    <w:rsid w:val="00677E5B"/>
    <w:rsid w:val="0068044F"/>
    <w:rsid w:val="00680502"/>
    <w:rsid w:val="006805FF"/>
    <w:rsid w:val="00680B0B"/>
    <w:rsid w:val="00680F8A"/>
    <w:rsid w:val="00681373"/>
    <w:rsid w:val="00681A19"/>
    <w:rsid w:val="00681C3B"/>
    <w:rsid w:val="00681C65"/>
    <w:rsid w:val="0068231E"/>
    <w:rsid w:val="00682655"/>
    <w:rsid w:val="0068272A"/>
    <w:rsid w:val="00682731"/>
    <w:rsid w:val="0068274A"/>
    <w:rsid w:val="006827D8"/>
    <w:rsid w:val="006828F1"/>
    <w:rsid w:val="00682CCD"/>
    <w:rsid w:val="00682F5B"/>
    <w:rsid w:val="00683043"/>
    <w:rsid w:val="0068307A"/>
    <w:rsid w:val="006839D6"/>
    <w:rsid w:val="00683EB6"/>
    <w:rsid w:val="00684460"/>
    <w:rsid w:val="006844BD"/>
    <w:rsid w:val="006846F3"/>
    <w:rsid w:val="0068478F"/>
    <w:rsid w:val="00684E92"/>
    <w:rsid w:val="006858E5"/>
    <w:rsid w:val="00685BF1"/>
    <w:rsid w:val="00685E90"/>
    <w:rsid w:val="006864CA"/>
    <w:rsid w:val="006867C9"/>
    <w:rsid w:val="006867EF"/>
    <w:rsid w:val="0068682F"/>
    <w:rsid w:val="00686867"/>
    <w:rsid w:val="0068698C"/>
    <w:rsid w:val="00686C9D"/>
    <w:rsid w:val="00686F3E"/>
    <w:rsid w:val="00687065"/>
    <w:rsid w:val="0068721F"/>
    <w:rsid w:val="00687822"/>
    <w:rsid w:val="00687ED3"/>
    <w:rsid w:val="00687F52"/>
    <w:rsid w:val="0069000D"/>
    <w:rsid w:val="00690655"/>
    <w:rsid w:val="00690748"/>
    <w:rsid w:val="006908AE"/>
    <w:rsid w:val="00690D50"/>
    <w:rsid w:val="00690DED"/>
    <w:rsid w:val="00690F9E"/>
    <w:rsid w:val="006910F2"/>
    <w:rsid w:val="0069127E"/>
    <w:rsid w:val="006914D8"/>
    <w:rsid w:val="006915FF"/>
    <w:rsid w:val="00691A8D"/>
    <w:rsid w:val="00691B4B"/>
    <w:rsid w:val="00691E86"/>
    <w:rsid w:val="006922E2"/>
    <w:rsid w:val="006926D9"/>
    <w:rsid w:val="00692BA5"/>
    <w:rsid w:val="00692CBA"/>
    <w:rsid w:val="00692D61"/>
    <w:rsid w:val="00692E95"/>
    <w:rsid w:val="006930C9"/>
    <w:rsid w:val="00693697"/>
    <w:rsid w:val="006939DE"/>
    <w:rsid w:val="00693E0A"/>
    <w:rsid w:val="00693E24"/>
    <w:rsid w:val="00694049"/>
    <w:rsid w:val="0069414F"/>
    <w:rsid w:val="0069452E"/>
    <w:rsid w:val="006945F1"/>
    <w:rsid w:val="00694717"/>
    <w:rsid w:val="00694723"/>
    <w:rsid w:val="00694B52"/>
    <w:rsid w:val="00694D3B"/>
    <w:rsid w:val="006953B6"/>
    <w:rsid w:val="006954E9"/>
    <w:rsid w:val="0069593B"/>
    <w:rsid w:val="006960B9"/>
    <w:rsid w:val="0069646E"/>
    <w:rsid w:val="00697170"/>
    <w:rsid w:val="00697247"/>
    <w:rsid w:val="0069757D"/>
    <w:rsid w:val="00697714"/>
    <w:rsid w:val="00697774"/>
    <w:rsid w:val="006977D2"/>
    <w:rsid w:val="00697C40"/>
    <w:rsid w:val="00697CB0"/>
    <w:rsid w:val="006A0012"/>
    <w:rsid w:val="006A0260"/>
    <w:rsid w:val="006A03FE"/>
    <w:rsid w:val="006A0A35"/>
    <w:rsid w:val="006A0C23"/>
    <w:rsid w:val="006A0FD8"/>
    <w:rsid w:val="006A117D"/>
    <w:rsid w:val="006A131D"/>
    <w:rsid w:val="006A16EE"/>
    <w:rsid w:val="006A18F6"/>
    <w:rsid w:val="006A1AC1"/>
    <w:rsid w:val="006A1AEC"/>
    <w:rsid w:val="006A1B53"/>
    <w:rsid w:val="006A1C91"/>
    <w:rsid w:val="006A1CF9"/>
    <w:rsid w:val="006A2707"/>
    <w:rsid w:val="006A2795"/>
    <w:rsid w:val="006A2ADB"/>
    <w:rsid w:val="006A2D31"/>
    <w:rsid w:val="006A2DBC"/>
    <w:rsid w:val="006A2E12"/>
    <w:rsid w:val="006A2F8C"/>
    <w:rsid w:val="006A3031"/>
    <w:rsid w:val="006A333D"/>
    <w:rsid w:val="006A34EB"/>
    <w:rsid w:val="006A39E7"/>
    <w:rsid w:val="006A3A21"/>
    <w:rsid w:val="006A4601"/>
    <w:rsid w:val="006A4ACB"/>
    <w:rsid w:val="006A4BE2"/>
    <w:rsid w:val="006A4C34"/>
    <w:rsid w:val="006A4DB6"/>
    <w:rsid w:val="006A4E85"/>
    <w:rsid w:val="006A4E8A"/>
    <w:rsid w:val="006A4FAB"/>
    <w:rsid w:val="006A51FC"/>
    <w:rsid w:val="006A528C"/>
    <w:rsid w:val="006A5788"/>
    <w:rsid w:val="006A57D8"/>
    <w:rsid w:val="006A5845"/>
    <w:rsid w:val="006A58A8"/>
    <w:rsid w:val="006A592C"/>
    <w:rsid w:val="006A5B2E"/>
    <w:rsid w:val="006A5BD6"/>
    <w:rsid w:val="006A5C0B"/>
    <w:rsid w:val="006A5C96"/>
    <w:rsid w:val="006A5E38"/>
    <w:rsid w:val="006A6507"/>
    <w:rsid w:val="006A66F1"/>
    <w:rsid w:val="006A6BCB"/>
    <w:rsid w:val="006A6C70"/>
    <w:rsid w:val="006A6CA1"/>
    <w:rsid w:val="006A7205"/>
    <w:rsid w:val="006A7912"/>
    <w:rsid w:val="006A7A7E"/>
    <w:rsid w:val="006B02E9"/>
    <w:rsid w:val="006B034B"/>
    <w:rsid w:val="006B0446"/>
    <w:rsid w:val="006B089B"/>
    <w:rsid w:val="006B1462"/>
    <w:rsid w:val="006B14BE"/>
    <w:rsid w:val="006B1820"/>
    <w:rsid w:val="006B18E0"/>
    <w:rsid w:val="006B18E7"/>
    <w:rsid w:val="006B1F19"/>
    <w:rsid w:val="006B1FC4"/>
    <w:rsid w:val="006B26CE"/>
    <w:rsid w:val="006B276A"/>
    <w:rsid w:val="006B27A2"/>
    <w:rsid w:val="006B2AC6"/>
    <w:rsid w:val="006B2BDA"/>
    <w:rsid w:val="006B2C1C"/>
    <w:rsid w:val="006B2F5E"/>
    <w:rsid w:val="006B32B9"/>
    <w:rsid w:val="006B3301"/>
    <w:rsid w:val="006B37D6"/>
    <w:rsid w:val="006B39D1"/>
    <w:rsid w:val="006B39DF"/>
    <w:rsid w:val="006B3DAC"/>
    <w:rsid w:val="006B3FD9"/>
    <w:rsid w:val="006B459A"/>
    <w:rsid w:val="006B462B"/>
    <w:rsid w:val="006B50C4"/>
    <w:rsid w:val="006B56FC"/>
    <w:rsid w:val="006B5789"/>
    <w:rsid w:val="006B57D9"/>
    <w:rsid w:val="006B5804"/>
    <w:rsid w:val="006B5F2D"/>
    <w:rsid w:val="006B649B"/>
    <w:rsid w:val="006B65B5"/>
    <w:rsid w:val="006B68EF"/>
    <w:rsid w:val="006B6A24"/>
    <w:rsid w:val="006B7381"/>
    <w:rsid w:val="006B777F"/>
    <w:rsid w:val="006B783F"/>
    <w:rsid w:val="006B79E8"/>
    <w:rsid w:val="006C035A"/>
    <w:rsid w:val="006C04D7"/>
    <w:rsid w:val="006C0693"/>
    <w:rsid w:val="006C0869"/>
    <w:rsid w:val="006C0A44"/>
    <w:rsid w:val="006C0A90"/>
    <w:rsid w:val="006C1544"/>
    <w:rsid w:val="006C17FC"/>
    <w:rsid w:val="006C1BB5"/>
    <w:rsid w:val="006C234E"/>
    <w:rsid w:val="006C26DE"/>
    <w:rsid w:val="006C26E1"/>
    <w:rsid w:val="006C2993"/>
    <w:rsid w:val="006C2C55"/>
    <w:rsid w:val="006C2CE8"/>
    <w:rsid w:val="006C310A"/>
    <w:rsid w:val="006C32C4"/>
    <w:rsid w:val="006C37D3"/>
    <w:rsid w:val="006C3C61"/>
    <w:rsid w:val="006C45E1"/>
    <w:rsid w:val="006C494F"/>
    <w:rsid w:val="006C5059"/>
    <w:rsid w:val="006C56A1"/>
    <w:rsid w:val="006C59C8"/>
    <w:rsid w:val="006C5B88"/>
    <w:rsid w:val="006C684C"/>
    <w:rsid w:val="006C6872"/>
    <w:rsid w:val="006C7536"/>
    <w:rsid w:val="006C7AA5"/>
    <w:rsid w:val="006C7B63"/>
    <w:rsid w:val="006C7FC3"/>
    <w:rsid w:val="006D0003"/>
    <w:rsid w:val="006D0D55"/>
    <w:rsid w:val="006D1258"/>
    <w:rsid w:val="006D127E"/>
    <w:rsid w:val="006D12C2"/>
    <w:rsid w:val="006D12C5"/>
    <w:rsid w:val="006D13F3"/>
    <w:rsid w:val="006D1ADA"/>
    <w:rsid w:val="006D1C65"/>
    <w:rsid w:val="006D1F35"/>
    <w:rsid w:val="006D2735"/>
    <w:rsid w:val="006D284E"/>
    <w:rsid w:val="006D2AD7"/>
    <w:rsid w:val="006D2D2E"/>
    <w:rsid w:val="006D2E3E"/>
    <w:rsid w:val="006D3282"/>
    <w:rsid w:val="006D3B26"/>
    <w:rsid w:val="006D3B60"/>
    <w:rsid w:val="006D3C66"/>
    <w:rsid w:val="006D416A"/>
    <w:rsid w:val="006D429C"/>
    <w:rsid w:val="006D4398"/>
    <w:rsid w:val="006D46BA"/>
    <w:rsid w:val="006D483D"/>
    <w:rsid w:val="006D4B8E"/>
    <w:rsid w:val="006D4C07"/>
    <w:rsid w:val="006D506C"/>
    <w:rsid w:val="006D56FE"/>
    <w:rsid w:val="006D5799"/>
    <w:rsid w:val="006D5D44"/>
    <w:rsid w:val="006D6091"/>
    <w:rsid w:val="006D625B"/>
    <w:rsid w:val="006D6817"/>
    <w:rsid w:val="006D6EF5"/>
    <w:rsid w:val="006E043D"/>
    <w:rsid w:val="006E0563"/>
    <w:rsid w:val="006E086B"/>
    <w:rsid w:val="006E0D81"/>
    <w:rsid w:val="006E10D8"/>
    <w:rsid w:val="006E131E"/>
    <w:rsid w:val="006E1467"/>
    <w:rsid w:val="006E1591"/>
    <w:rsid w:val="006E1A66"/>
    <w:rsid w:val="006E1D7B"/>
    <w:rsid w:val="006E1FEA"/>
    <w:rsid w:val="006E2074"/>
    <w:rsid w:val="006E20D8"/>
    <w:rsid w:val="006E2544"/>
    <w:rsid w:val="006E2BE0"/>
    <w:rsid w:val="006E340A"/>
    <w:rsid w:val="006E350F"/>
    <w:rsid w:val="006E39E6"/>
    <w:rsid w:val="006E3A38"/>
    <w:rsid w:val="006E3BE8"/>
    <w:rsid w:val="006E3C38"/>
    <w:rsid w:val="006E3FF7"/>
    <w:rsid w:val="006E42E6"/>
    <w:rsid w:val="006E44BB"/>
    <w:rsid w:val="006E46BC"/>
    <w:rsid w:val="006E4775"/>
    <w:rsid w:val="006E4BFF"/>
    <w:rsid w:val="006E508F"/>
    <w:rsid w:val="006E5455"/>
    <w:rsid w:val="006E5910"/>
    <w:rsid w:val="006E5956"/>
    <w:rsid w:val="006E5F9D"/>
    <w:rsid w:val="006E653D"/>
    <w:rsid w:val="006E67BF"/>
    <w:rsid w:val="006E6A83"/>
    <w:rsid w:val="006E6ADF"/>
    <w:rsid w:val="006E6AF9"/>
    <w:rsid w:val="006E6EDD"/>
    <w:rsid w:val="006E6F5E"/>
    <w:rsid w:val="006E71BC"/>
    <w:rsid w:val="006E7370"/>
    <w:rsid w:val="006E73D3"/>
    <w:rsid w:val="006E7574"/>
    <w:rsid w:val="006E7969"/>
    <w:rsid w:val="006E7A0D"/>
    <w:rsid w:val="006E7AEB"/>
    <w:rsid w:val="006E7B8C"/>
    <w:rsid w:val="006E7EB6"/>
    <w:rsid w:val="006F01C8"/>
    <w:rsid w:val="006F045C"/>
    <w:rsid w:val="006F067C"/>
    <w:rsid w:val="006F07B5"/>
    <w:rsid w:val="006F0A45"/>
    <w:rsid w:val="006F0F85"/>
    <w:rsid w:val="006F1128"/>
    <w:rsid w:val="006F1820"/>
    <w:rsid w:val="006F1F0C"/>
    <w:rsid w:val="006F2BC1"/>
    <w:rsid w:val="006F2D11"/>
    <w:rsid w:val="006F2DBE"/>
    <w:rsid w:val="006F2F46"/>
    <w:rsid w:val="006F3065"/>
    <w:rsid w:val="006F3143"/>
    <w:rsid w:val="006F33F1"/>
    <w:rsid w:val="006F3457"/>
    <w:rsid w:val="006F396A"/>
    <w:rsid w:val="006F3CE4"/>
    <w:rsid w:val="006F3D5E"/>
    <w:rsid w:val="006F3E43"/>
    <w:rsid w:val="006F3EC5"/>
    <w:rsid w:val="006F3ECE"/>
    <w:rsid w:val="006F42E4"/>
    <w:rsid w:val="006F4380"/>
    <w:rsid w:val="006F45D3"/>
    <w:rsid w:val="006F488A"/>
    <w:rsid w:val="006F4A03"/>
    <w:rsid w:val="006F4B2E"/>
    <w:rsid w:val="006F4BB2"/>
    <w:rsid w:val="006F4C1F"/>
    <w:rsid w:val="006F5108"/>
    <w:rsid w:val="006F540A"/>
    <w:rsid w:val="006F598C"/>
    <w:rsid w:val="006F5BBF"/>
    <w:rsid w:val="006F654F"/>
    <w:rsid w:val="006F6603"/>
    <w:rsid w:val="006F686D"/>
    <w:rsid w:val="006F68C3"/>
    <w:rsid w:val="006F6984"/>
    <w:rsid w:val="006F6DE1"/>
    <w:rsid w:val="006F6EF3"/>
    <w:rsid w:val="006F7074"/>
    <w:rsid w:val="006F74EE"/>
    <w:rsid w:val="006F761E"/>
    <w:rsid w:val="006F7A9F"/>
    <w:rsid w:val="006F7B47"/>
    <w:rsid w:val="00700042"/>
    <w:rsid w:val="00700259"/>
    <w:rsid w:val="00700747"/>
    <w:rsid w:val="007009E9"/>
    <w:rsid w:val="00700AD9"/>
    <w:rsid w:val="00700DA0"/>
    <w:rsid w:val="00700ECE"/>
    <w:rsid w:val="00701028"/>
    <w:rsid w:val="0070146B"/>
    <w:rsid w:val="007014EF"/>
    <w:rsid w:val="00701558"/>
    <w:rsid w:val="0070165C"/>
    <w:rsid w:val="0070169F"/>
    <w:rsid w:val="0070171F"/>
    <w:rsid w:val="0070175D"/>
    <w:rsid w:val="00701773"/>
    <w:rsid w:val="00701899"/>
    <w:rsid w:val="00701911"/>
    <w:rsid w:val="00701CCB"/>
    <w:rsid w:val="00701E8B"/>
    <w:rsid w:val="00701FD8"/>
    <w:rsid w:val="007023A5"/>
    <w:rsid w:val="007026CE"/>
    <w:rsid w:val="0070298B"/>
    <w:rsid w:val="00702A19"/>
    <w:rsid w:val="0070324E"/>
    <w:rsid w:val="00703272"/>
    <w:rsid w:val="0070365F"/>
    <w:rsid w:val="007038CF"/>
    <w:rsid w:val="007040EF"/>
    <w:rsid w:val="0070425E"/>
    <w:rsid w:val="00704352"/>
    <w:rsid w:val="007043F5"/>
    <w:rsid w:val="007048A3"/>
    <w:rsid w:val="0070498B"/>
    <w:rsid w:val="00705273"/>
    <w:rsid w:val="007053A9"/>
    <w:rsid w:val="00705418"/>
    <w:rsid w:val="0070567C"/>
    <w:rsid w:val="007056FE"/>
    <w:rsid w:val="0070660E"/>
    <w:rsid w:val="00706F22"/>
    <w:rsid w:val="00706F2E"/>
    <w:rsid w:val="00706F77"/>
    <w:rsid w:val="00707071"/>
    <w:rsid w:val="0070722F"/>
    <w:rsid w:val="007072C7"/>
    <w:rsid w:val="00707521"/>
    <w:rsid w:val="00707848"/>
    <w:rsid w:val="00707CE0"/>
    <w:rsid w:val="00707E22"/>
    <w:rsid w:val="007102D6"/>
    <w:rsid w:val="007107D2"/>
    <w:rsid w:val="00710847"/>
    <w:rsid w:val="00710909"/>
    <w:rsid w:val="007109E1"/>
    <w:rsid w:val="00710C6C"/>
    <w:rsid w:val="00710D25"/>
    <w:rsid w:val="00710FCF"/>
    <w:rsid w:val="00711123"/>
    <w:rsid w:val="0071153F"/>
    <w:rsid w:val="00711698"/>
    <w:rsid w:val="00711828"/>
    <w:rsid w:val="00711C75"/>
    <w:rsid w:val="007122E3"/>
    <w:rsid w:val="007129D6"/>
    <w:rsid w:val="00712FDE"/>
    <w:rsid w:val="007132D5"/>
    <w:rsid w:val="0071399B"/>
    <w:rsid w:val="00713D17"/>
    <w:rsid w:val="00713E8F"/>
    <w:rsid w:val="007144DE"/>
    <w:rsid w:val="007145B3"/>
    <w:rsid w:val="00714D73"/>
    <w:rsid w:val="00714E70"/>
    <w:rsid w:val="00714E79"/>
    <w:rsid w:val="00714F80"/>
    <w:rsid w:val="007152A4"/>
    <w:rsid w:val="007152F6"/>
    <w:rsid w:val="007153F4"/>
    <w:rsid w:val="007155D4"/>
    <w:rsid w:val="00715C8E"/>
    <w:rsid w:val="00715E8B"/>
    <w:rsid w:val="007161F3"/>
    <w:rsid w:val="00716564"/>
    <w:rsid w:val="00716637"/>
    <w:rsid w:val="007169B1"/>
    <w:rsid w:val="00716A5F"/>
    <w:rsid w:val="00717107"/>
    <w:rsid w:val="007171BD"/>
    <w:rsid w:val="007171D8"/>
    <w:rsid w:val="00717A5B"/>
    <w:rsid w:val="00717B79"/>
    <w:rsid w:val="00720035"/>
    <w:rsid w:val="00720183"/>
    <w:rsid w:val="0072020F"/>
    <w:rsid w:val="00720349"/>
    <w:rsid w:val="00720BF7"/>
    <w:rsid w:val="00720FD4"/>
    <w:rsid w:val="007210AB"/>
    <w:rsid w:val="007219AC"/>
    <w:rsid w:val="007223F1"/>
    <w:rsid w:val="00722739"/>
    <w:rsid w:val="00722AC7"/>
    <w:rsid w:val="00722C61"/>
    <w:rsid w:val="00723439"/>
    <w:rsid w:val="007239F8"/>
    <w:rsid w:val="00724079"/>
    <w:rsid w:val="00724A0E"/>
    <w:rsid w:val="00724B4D"/>
    <w:rsid w:val="00724F7C"/>
    <w:rsid w:val="0072515B"/>
    <w:rsid w:val="0072533E"/>
    <w:rsid w:val="00725595"/>
    <w:rsid w:val="0072565E"/>
    <w:rsid w:val="007258EB"/>
    <w:rsid w:val="00725C13"/>
    <w:rsid w:val="00725C4D"/>
    <w:rsid w:val="00726221"/>
    <w:rsid w:val="00726383"/>
    <w:rsid w:val="00726460"/>
    <w:rsid w:val="007267F1"/>
    <w:rsid w:val="00726C85"/>
    <w:rsid w:val="00726CA0"/>
    <w:rsid w:val="00726D2F"/>
    <w:rsid w:val="00727A15"/>
    <w:rsid w:val="00727D04"/>
    <w:rsid w:val="00727DAE"/>
    <w:rsid w:val="0073093E"/>
    <w:rsid w:val="00730AFB"/>
    <w:rsid w:val="00730DA8"/>
    <w:rsid w:val="00730E7A"/>
    <w:rsid w:val="00730E95"/>
    <w:rsid w:val="00730F6C"/>
    <w:rsid w:val="00731462"/>
    <w:rsid w:val="007316B8"/>
    <w:rsid w:val="007316E5"/>
    <w:rsid w:val="007318EE"/>
    <w:rsid w:val="00731940"/>
    <w:rsid w:val="007319A3"/>
    <w:rsid w:val="00731F82"/>
    <w:rsid w:val="007321D2"/>
    <w:rsid w:val="007324CB"/>
    <w:rsid w:val="007329A6"/>
    <w:rsid w:val="00733230"/>
    <w:rsid w:val="007334F8"/>
    <w:rsid w:val="00733B5F"/>
    <w:rsid w:val="00733C86"/>
    <w:rsid w:val="00733E8D"/>
    <w:rsid w:val="00733EA2"/>
    <w:rsid w:val="007341F1"/>
    <w:rsid w:val="00734668"/>
    <w:rsid w:val="00734ACB"/>
    <w:rsid w:val="00734F4A"/>
    <w:rsid w:val="00735F96"/>
    <w:rsid w:val="00736105"/>
    <w:rsid w:val="007362D6"/>
    <w:rsid w:val="007365B6"/>
    <w:rsid w:val="00736667"/>
    <w:rsid w:val="0073673D"/>
    <w:rsid w:val="00737117"/>
    <w:rsid w:val="007371FE"/>
    <w:rsid w:val="007374F9"/>
    <w:rsid w:val="00737690"/>
    <w:rsid w:val="007376D1"/>
    <w:rsid w:val="007377D5"/>
    <w:rsid w:val="00737F35"/>
    <w:rsid w:val="00740060"/>
    <w:rsid w:val="00740AD6"/>
    <w:rsid w:val="00740C8C"/>
    <w:rsid w:val="00740C9C"/>
    <w:rsid w:val="00740CA0"/>
    <w:rsid w:val="00740DD8"/>
    <w:rsid w:val="00741756"/>
    <w:rsid w:val="00741840"/>
    <w:rsid w:val="00741A7C"/>
    <w:rsid w:val="00741E6A"/>
    <w:rsid w:val="00741EAA"/>
    <w:rsid w:val="00741EDF"/>
    <w:rsid w:val="007423D0"/>
    <w:rsid w:val="00742BA5"/>
    <w:rsid w:val="00742D1A"/>
    <w:rsid w:val="00742DC8"/>
    <w:rsid w:val="00743005"/>
    <w:rsid w:val="007434B4"/>
    <w:rsid w:val="00743654"/>
    <w:rsid w:val="00743712"/>
    <w:rsid w:val="0074374F"/>
    <w:rsid w:val="00743B35"/>
    <w:rsid w:val="00743BA6"/>
    <w:rsid w:val="00743C10"/>
    <w:rsid w:val="00743E59"/>
    <w:rsid w:val="00744561"/>
    <w:rsid w:val="00744592"/>
    <w:rsid w:val="00744748"/>
    <w:rsid w:val="00744768"/>
    <w:rsid w:val="0074483B"/>
    <w:rsid w:val="007448FC"/>
    <w:rsid w:val="0074492A"/>
    <w:rsid w:val="007451A1"/>
    <w:rsid w:val="007451CF"/>
    <w:rsid w:val="00745364"/>
    <w:rsid w:val="0074549A"/>
    <w:rsid w:val="00745582"/>
    <w:rsid w:val="00745970"/>
    <w:rsid w:val="00745AF2"/>
    <w:rsid w:val="00745EF0"/>
    <w:rsid w:val="00746182"/>
    <w:rsid w:val="007462E4"/>
    <w:rsid w:val="00746788"/>
    <w:rsid w:val="00746901"/>
    <w:rsid w:val="00746C70"/>
    <w:rsid w:val="00746C88"/>
    <w:rsid w:val="00746D88"/>
    <w:rsid w:val="00747081"/>
    <w:rsid w:val="0074729E"/>
    <w:rsid w:val="007473F1"/>
    <w:rsid w:val="00747479"/>
    <w:rsid w:val="007479B2"/>
    <w:rsid w:val="00747C6D"/>
    <w:rsid w:val="00747CB0"/>
    <w:rsid w:val="00750403"/>
    <w:rsid w:val="007504CB"/>
    <w:rsid w:val="00750821"/>
    <w:rsid w:val="007508E4"/>
    <w:rsid w:val="00750992"/>
    <w:rsid w:val="00750AC2"/>
    <w:rsid w:val="00750AFC"/>
    <w:rsid w:val="00750BE0"/>
    <w:rsid w:val="00750FD1"/>
    <w:rsid w:val="0075100D"/>
    <w:rsid w:val="007510C4"/>
    <w:rsid w:val="007514BB"/>
    <w:rsid w:val="0075170F"/>
    <w:rsid w:val="007518C5"/>
    <w:rsid w:val="00751CD2"/>
    <w:rsid w:val="0075202A"/>
    <w:rsid w:val="007521F4"/>
    <w:rsid w:val="0075234D"/>
    <w:rsid w:val="007528D2"/>
    <w:rsid w:val="00752957"/>
    <w:rsid w:val="00753174"/>
    <w:rsid w:val="0075338B"/>
    <w:rsid w:val="00753741"/>
    <w:rsid w:val="007537BF"/>
    <w:rsid w:val="007538E9"/>
    <w:rsid w:val="00753B4D"/>
    <w:rsid w:val="00753CBC"/>
    <w:rsid w:val="00753DB0"/>
    <w:rsid w:val="00753E52"/>
    <w:rsid w:val="00753F1B"/>
    <w:rsid w:val="00754949"/>
    <w:rsid w:val="00754A25"/>
    <w:rsid w:val="00754CF4"/>
    <w:rsid w:val="00755027"/>
    <w:rsid w:val="007550A7"/>
    <w:rsid w:val="007550B3"/>
    <w:rsid w:val="0075525B"/>
    <w:rsid w:val="00755309"/>
    <w:rsid w:val="007554A9"/>
    <w:rsid w:val="00755578"/>
    <w:rsid w:val="0075575D"/>
    <w:rsid w:val="00755A41"/>
    <w:rsid w:val="00755D9A"/>
    <w:rsid w:val="00755E9A"/>
    <w:rsid w:val="00755F94"/>
    <w:rsid w:val="0075634B"/>
    <w:rsid w:val="007564C1"/>
    <w:rsid w:val="00756B28"/>
    <w:rsid w:val="00756D5A"/>
    <w:rsid w:val="0075740A"/>
    <w:rsid w:val="007574F5"/>
    <w:rsid w:val="00757552"/>
    <w:rsid w:val="00757680"/>
    <w:rsid w:val="00757982"/>
    <w:rsid w:val="00757A68"/>
    <w:rsid w:val="00757FF2"/>
    <w:rsid w:val="00760657"/>
    <w:rsid w:val="00760A3F"/>
    <w:rsid w:val="00760CBD"/>
    <w:rsid w:val="00760CCF"/>
    <w:rsid w:val="007610C2"/>
    <w:rsid w:val="00761AA3"/>
    <w:rsid w:val="00761EF3"/>
    <w:rsid w:val="00761F02"/>
    <w:rsid w:val="0076218F"/>
    <w:rsid w:val="00762193"/>
    <w:rsid w:val="00762DDD"/>
    <w:rsid w:val="0076342D"/>
    <w:rsid w:val="00763484"/>
    <w:rsid w:val="00764144"/>
    <w:rsid w:val="00764150"/>
    <w:rsid w:val="007643FA"/>
    <w:rsid w:val="0076476F"/>
    <w:rsid w:val="00764B50"/>
    <w:rsid w:val="00765191"/>
    <w:rsid w:val="00765A20"/>
    <w:rsid w:val="00765ADA"/>
    <w:rsid w:val="00765AFC"/>
    <w:rsid w:val="00765C1F"/>
    <w:rsid w:val="00765EA1"/>
    <w:rsid w:val="00765FBD"/>
    <w:rsid w:val="007660B9"/>
    <w:rsid w:val="007660F6"/>
    <w:rsid w:val="0076696D"/>
    <w:rsid w:val="00766C11"/>
    <w:rsid w:val="0076700F"/>
    <w:rsid w:val="00767092"/>
    <w:rsid w:val="007672A6"/>
    <w:rsid w:val="007673D7"/>
    <w:rsid w:val="007674DE"/>
    <w:rsid w:val="00767B48"/>
    <w:rsid w:val="00770144"/>
    <w:rsid w:val="0077024F"/>
    <w:rsid w:val="00770617"/>
    <w:rsid w:val="00770630"/>
    <w:rsid w:val="0077070E"/>
    <w:rsid w:val="00770E36"/>
    <w:rsid w:val="0077136E"/>
    <w:rsid w:val="00771839"/>
    <w:rsid w:val="00771B87"/>
    <w:rsid w:val="00771DF4"/>
    <w:rsid w:val="00771F42"/>
    <w:rsid w:val="00772BF3"/>
    <w:rsid w:val="00772EEB"/>
    <w:rsid w:val="007730A1"/>
    <w:rsid w:val="007730DA"/>
    <w:rsid w:val="0077338B"/>
    <w:rsid w:val="0077364A"/>
    <w:rsid w:val="00773AC7"/>
    <w:rsid w:val="00773F2B"/>
    <w:rsid w:val="00773F38"/>
    <w:rsid w:val="00774192"/>
    <w:rsid w:val="007741E9"/>
    <w:rsid w:val="00774B49"/>
    <w:rsid w:val="00774E1A"/>
    <w:rsid w:val="00774F10"/>
    <w:rsid w:val="007751FE"/>
    <w:rsid w:val="0077554D"/>
    <w:rsid w:val="0077557E"/>
    <w:rsid w:val="00775DE1"/>
    <w:rsid w:val="00775E48"/>
    <w:rsid w:val="00776143"/>
    <w:rsid w:val="007762CD"/>
    <w:rsid w:val="0077647B"/>
    <w:rsid w:val="0077662F"/>
    <w:rsid w:val="00777357"/>
    <w:rsid w:val="00777433"/>
    <w:rsid w:val="0077744A"/>
    <w:rsid w:val="00777470"/>
    <w:rsid w:val="007775F0"/>
    <w:rsid w:val="00777853"/>
    <w:rsid w:val="00777B6F"/>
    <w:rsid w:val="00780AC4"/>
    <w:rsid w:val="00780C35"/>
    <w:rsid w:val="00780DA9"/>
    <w:rsid w:val="00780EAC"/>
    <w:rsid w:val="00781095"/>
    <w:rsid w:val="007815A5"/>
    <w:rsid w:val="0078172B"/>
    <w:rsid w:val="00781797"/>
    <w:rsid w:val="00781835"/>
    <w:rsid w:val="0078199D"/>
    <w:rsid w:val="007823F5"/>
    <w:rsid w:val="00782439"/>
    <w:rsid w:val="007824F1"/>
    <w:rsid w:val="00782806"/>
    <w:rsid w:val="007831D7"/>
    <w:rsid w:val="00783895"/>
    <w:rsid w:val="007838E5"/>
    <w:rsid w:val="007841C0"/>
    <w:rsid w:val="00784299"/>
    <w:rsid w:val="00784823"/>
    <w:rsid w:val="00784870"/>
    <w:rsid w:val="00784884"/>
    <w:rsid w:val="007849CD"/>
    <w:rsid w:val="00784F45"/>
    <w:rsid w:val="007850CF"/>
    <w:rsid w:val="00785525"/>
    <w:rsid w:val="007857BB"/>
    <w:rsid w:val="0078595A"/>
    <w:rsid w:val="00785CB3"/>
    <w:rsid w:val="00785F68"/>
    <w:rsid w:val="0078605F"/>
    <w:rsid w:val="007862FA"/>
    <w:rsid w:val="0078697D"/>
    <w:rsid w:val="00786A2B"/>
    <w:rsid w:val="00786D1E"/>
    <w:rsid w:val="00786DFD"/>
    <w:rsid w:val="007871F7"/>
    <w:rsid w:val="0078734A"/>
    <w:rsid w:val="0078765C"/>
    <w:rsid w:val="0078773E"/>
    <w:rsid w:val="00787BCC"/>
    <w:rsid w:val="00787DBF"/>
    <w:rsid w:val="00787DE7"/>
    <w:rsid w:val="00787EBA"/>
    <w:rsid w:val="0079053C"/>
    <w:rsid w:val="007905D3"/>
    <w:rsid w:val="00790638"/>
    <w:rsid w:val="007906F8"/>
    <w:rsid w:val="00790735"/>
    <w:rsid w:val="007907DD"/>
    <w:rsid w:val="00790866"/>
    <w:rsid w:val="00790A80"/>
    <w:rsid w:val="00790D04"/>
    <w:rsid w:val="00790E2A"/>
    <w:rsid w:val="00790EF0"/>
    <w:rsid w:val="00791332"/>
    <w:rsid w:val="0079140F"/>
    <w:rsid w:val="007915DC"/>
    <w:rsid w:val="00791B7A"/>
    <w:rsid w:val="00791B7C"/>
    <w:rsid w:val="00791DE4"/>
    <w:rsid w:val="007920D0"/>
    <w:rsid w:val="00792106"/>
    <w:rsid w:val="00792270"/>
    <w:rsid w:val="00792919"/>
    <w:rsid w:val="00792AC9"/>
    <w:rsid w:val="00792BEE"/>
    <w:rsid w:val="00792C33"/>
    <w:rsid w:val="00792E2D"/>
    <w:rsid w:val="00792FA0"/>
    <w:rsid w:val="007930ED"/>
    <w:rsid w:val="00793985"/>
    <w:rsid w:val="007939AF"/>
    <w:rsid w:val="00793A92"/>
    <w:rsid w:val="00793B0B"/>
    <w:rsid w:val="00793B43"/>
    <w:rsid w:val="00793DA0"/>
    <w:rsid w:val="00794BD7"/>
    <w:rsid w:val="00794DEC"/>
    <w:rsid w:val="0079506B"/>
    <w:rsid w:val="00795275"/>
    <w:rsid w:val="007956C4"/>
    <w:rsid w:val="0079572E"/>
    <w:rsid w:val="00796093"/>
    <w:rsid w:val="00796213"/>
    <w:rsid w:val="007967EF"/>
    <w:rsid w:val="00796A60"/>
    <w:rsid w:val="00796DDE"/>
    <w:rsid w:val="00796EEA"/>
    <w:rsid w:val="0079719B"/>
    <w:rsid w:val="0079750D"/>
    <w:rsid w:val="007975C5"/>
    <w:rsid w:val="00797A16"/>
    <w:rsid w:val="007A0041"/>
    <w:rsid w:val="007A0183"/>
    <w:rsid w:val="007A0301"/>
    <w:rsid w:val="007A04B5"/>
    <w:rsid w:val="007A0704"/>
    <w:rsid w:val="007A0798"/>
    <w:rsid w:val="007A0D46"/>
    <w:rsid w:val="007A1393"/>
    <w:rsid w:val="007A1836"/>
    <w:rsid w:val="007A1923"/>
    <w:rsid w:val="007A25E2"/>
    <w:rsid w:val="007A2648"/>
    <w:rsid w:val="007A27C5"/>
    <w:rsid w:val="007A33DC"/>
    <w:rsid w:val="007A362B"/>
    <w:rsid w:val="007A38DB"/>
    <w:rsid w:val="007A3CB6"/>
    <w:rsid w:val="007A3FBC"/>
    <w:rsid w:val="007A412E"/>
    <w:rsid w:val="007A4952"/>
    <w:rsid w:val="007A4975"/>
    <w:rsid w:val="007A4ADB"/>
    <w:rsid w:val="007A4B4C"/>
    <w:rsid w:val="007A503F"/>
    <w:rsid w:val="007A52E1"/>
    <w:rsid w:val="007A5306"/>
    <w:rsid w:val="007A557B"/>
    <w:rsid w:val="007A55AF"/>
    <w:rsid w:val="007A564C"/>
    <w:rsid w:val="007A5869"/>
    <w:rsid w:val="007A5A30"/>
    <w:rsid w:val="007A5FCA"/>
    <w:rsid w:val="007A64A7"/>
    <w:rsid w:val="007A65EA"/>
    <w:rsid w:val="007A6F7F"/>
    <w:rsid w:val="007A7030"/>
    <w:rsid w:val="007A7319"/>
    <w:rsid w:val="007A74A3"/>
    <w:rsid w:val="007A7A3E"/>
    <w:rsid w:val="007A7A8A"/>
    <w:rsid w:val="007A7B0E"/>
    <w:rsid w:val="007A7B15"/>
    <w:rsid w:val="007A7E34"/>
    <w:rsid w:val="007A7E68"/>
    <w:rsid w:val="007B016A"/>
    <w:rsid w:val="007B02D4"/>
    <w:rsid w:val="007B0564"/>
    <w:rsid w:val="007B070E"/>
    <w:rsid w:val="007B0B94"/>
    <w:rsid w:val="007B0D3D"/>
    <w:rsid w:val="007B0D88"/>
    <w:rsid w:val="007B0F6B"/>
    <w:rsid w:val="007B1619"/>
    <w:rsid w:val="007B1938"/>
    <w:rsid w:val="007B1B0C"/>
    <w:rsid w:val="007B1B81"/>
    <w:rsid w:val="007B2197"/>
    <w:rsid w:val="007B22C0"/>
    <w:rsid w:val="007B24B2"/>
    <w:rsid w:val="007B25EF"/>
    <w:rsid w:val="007B28D9"/>
    <w:rsid w:val="007B2C7E"/>
    <w:rsid w:val="007B2CDF"/>
    <w:rsid w:val="007B3113"/>
    <w:rsid w:val="007B316C"/>
    <w:rsid w:val="007B3311"/>
    <w:rsid w:val="007B3927"/>
    <w:rsid w:val="007B3F5B"/>
    <w:rsid w:val="007B47AB"/>
    <w:rsid w:val="007B48B8"/>
    <w:rsid w:val="007B4CA2"/>
    <w:rsid w:val="007B4CFB"/>
    <w:rsid w:val="007B4F66"/>
    <w:rsid w:val="007B5A33"/>
    <w:rsid w:val="007B5B3E"/>
    <w:rsid w:val="007B5CBB"/>
    <w:rsid w:val="007B5CC1"/>
    <w:rsid w:val="007B6042"/>
    <w:rsid w:val="007B64FE"/>
    <w:rsid w:val="007B66D7"/>
    <w:rsid w:val="007B66D9"/>
    <w:rsid w:val="007B69AE"/>
    <w:rsid w:val="007B69F1"/>
    <w:rsid w:val="007B6AA4"/>
    <w:rsid w:val="007B6CE8"/>
    <w:rsid w:val="007B6FEC"/>
    <w:rsid w:val="007B7641"/>
    <w:rsid w:val="007B7AE0"/>
    <w:rsid w:val="007B7C36"/>
    <w:rsid w:val="007C02BD"/>
    <w:rsid w:val="007C03B3"/>
    <w:rsid w:val="007C051F"/>
    <w:rsid w:val="007C0942"/>
    <w:rsid w:val="007C0AA4"/>
    <w:rsid w:val="007C0AF4"/>
    <w:rsid w:val="007C0BCA"/>
    <w:rsid w:val="007C0D76"/>
    <w:rsid w:val="007C0DAD"/>
    <w:rsid w:val="007C0EE9"/>
    <w:rsid w:val="007C107D"/>
    <w:rsid w:val="007C14E0"/>
    <w:rsid w:val="007C154D"/>
    <w:rsid w:val="007C1644"/>
    <w:rsid w:val="007C191A"/>
    <w:rsid w:val="007C1FBB"/>
    <w:rsid w:val="007C2042"/>
    <w:rsid w:val="007C285E"/>
    <w:rsid w:val="007C286E"/>
    <w:rsid w:val="007C2D40"/>
    <w:rsid w:val="007C3005"/>
    <w:rsid w:val="007C31C8"/>
    <w:rsid w:val="007C347B"/>
    <w:rsid w:val="007C354F"/>
    <w:rsid w:val="007C3D38"/>
    <w:rsid w:val="007C3F60"/>
    <w:rsid w:val="007C40EE"/>
    <w:rsid w:val="007C424E"/>
    <w:rsid w:val="007C461A"/>
    <w:rsid w:val="007C4896"/>
    <w:rsid w:val="007C4C59"/>
    <w:rsid w:val="007C4F51"/>
    <w:rsid w:val="007C50EF"/>
    <w:rsid w:val="007C5477"/>
    <w:rsid w:val="007C5482"/>
    <w:rsid w:val="007C5558"/>
    <w:rsid w:val="007C5BC2"/>
    <w:rsid w:val="007C5BFD"/>
    <w:rsid w:val="007C5FA7"/>
    <w:rsid w:val="007C61DC"/>
    <w:rsid w:val="007C63E3"/>
    <w:rsid w:val="007C65EA"/>
    <w:rsid w:val="007C675D"/>
    <w:rsid w:val="007C68DC"/>
    <w:rsid w:val="007C6BCF"/>
    <w:rsid w:val="007C6D8D"/>
    <w:rsid w:val="007C6D91"/>
    <w:rsid w:val="007C71B0"/>
    <w:rsid w:val="007C7892"/>
    <w:rsid w:val="007C7D35"/>
    <w:rsid w:val="007C7F6F"/>
    <w:rsid w:val="007D012C"/>
    <w:rsid w:val="007D03FC"/>
    <w:rsid w:val="007D04FF"/>
    <w:rsid w:val="007D07A7"/>
    <w:rsid w:val="007D0A71"/>
    <w:rsid w:val="007D0B80"/>
    <w:rsid w:val="007D0C3E"/>
    <w:rsid w:val="007D0C52"/>
    <w:rsid w:val="007D16EE"/>
    <w:rsid w:val="007D195F"/>
    <w:rsid w:val="007D2874"/>
    <w:rsid w:val="007D2CAE"/>
    <w:rsid w:val="007D2CE8"/>
    <w:rsid w:val="007D357E"/>
    <w:rsid w:val="007D3615"/>
    <w:rsid w:val="007D3801"/>
    <w:rsid w:val="007D38DD"/>
    <w:rsid w:val="007D3CCC"/>
    <w:rsid w:val="007D4215"/>
    <w:rsid w:val="007D440D"/>
    <w:rsid w:val="007D4482"/>
    <w:rsid w:val="007D45CD"/>
    <w:rsid w:val="007D4B60"/>
    <w:rsid w:val="007D4B70"/>
    <w:rsid w:val="007D4F8B"/>
    <w:rsid w:val="007D59D7"/>
    <w:rsid w:val="007D5AB0"/>
    <w:rsid w:val="007D5BF6"/>
    <w:rsid w:val="007D61D8"/>
    <w:rsid w:val="007D63D7"/>
    <w:rsid w:val="007D65FE"/>
    <w:rsid w:val="007D66DE"/>
    <w:rsid w:val="007D680C"/>
    <w:rsid w:val="007D68DE"/>
    <w:rsid w:val="007D6902"/>
    <w:rsid w:val="007D69D4"/>
    <w:rsid w:val="007D6DBA"/>
    <w:rsid w:val="007D70A9"/>
    <w:rsid w:val="007D74BE"/>
    <w:rsid w:val="007D75BF"/>
    <w:rsid w:val="007D771D"/>
    <w:rsid w:val="007D77EA"/>
    <w:rsid w:val="007D7B6D"/>
    <w:rsid w:val="007E02D0"/>
    <w:rsid w:val="007E06FB"/>
    <w:rsid w:val="007E0E14"/>
    <w:rsid w:val="007E1060"/>
    <w:rsid w:val="007E1111"/>
    <w:rsid w:val="007E115B"/>
    <w:rsid w:val="007E1527"/>
    <w:rsid w:val="007E17B6"/>
    <w:rsid w:val="007E17BC"/>
    <w:rsid w:val="007E17DA"/>
    <w:rsid w:val="007E1AC6"/>
    <w:rsid w:val="007E1BB3"/>
    <w:rsid w:val="007E1C80"/>
    <w:rsid w:val="007E2456"/>
    <w:rsid w:val="007E268B"/>
    <w:rsid w:val="007E28F8"/>
    <w:rsid w:val="007E2E0A"/>
    <w:rsid w:val="007E2F8A"/>
    <w:rsid w:val="007E3051"/>
    <w:rsid w:val="007E33E8"/>
    <w:rsid w:val="007E3594"/>
    <w:rsid w:val="007E4A2B"/>
    <w:rsid w:val="007E4E2B"/>
    <w:rsid w:val="007E5338"/>
    <w:rsid w:val="007E585E"/>
    <w:rsid w:val="007E59C3"/>
    <w:rsid w:val="007E5AEE"/>
    <w:rsid w:val="007E6169"/>
    <w:rsid w:val="007E698A"/>
    <w:rsid w:val="007E6D89"/>
    <w:rsid w:val="007E716D"/>
    <w:rsid w:val="007E7195"/>
    <w:rsid w:val="007E79E1"/>
    <w:rsid w:val="007F08D2"/>
    <w:rsid w:val="007F0B2A"/>
    <w:rsid w:val="007F0C8A"/>
    <w:rsid w:val="007F106A"/>
    <w:rsid w:val="007F119E"/>
    <w:rsid w:val="007F12B2"/>
    <w:rsid w:val="007F13DA"/>
    <w:rsid w:val="007F16E1"/>
    <w:rsid w:val="007F1734"/>
    <w:rsid w:val="007F1C0B"/>
    <w:rsid w:val="007F1DC1"/>
    <w:rsid w:val="007F2558"/>
    <w:rsid w:val="007F2C74"/>
    <w:rsid w:val="007F2CF7"/>
    <w:rsid w:val="007F2EE0"/>
    <w:rsid w:val="007F3118"/>
    <w:rsid w:val="007F359A"/>
    <w:rsid w:val="007F3600"/>
    <w:rsid w:val="007F36F6"/>
    <w:rsid w:val="007F37EE"/>
    <w:rsid w:val="007F3C41"/>
    <w:rsid w:val="007F4057"/>
    <w:rsid w:val="007F425E"/>
    <w:rsid w:val="007F4438"/>
    <w:rsid w:val="007F4645"/>
    <w:rsid w:val="007F4650"/>
    <w:rsid w:val="007F4662"/>
    <w:rsid w:val="007F49F7"/>
    <w:rsid w:val="007F4C67"/>
    <w:rsid w:val="007F4F93"/>
    <w:rsid w:val="007F5010"/>
    <w:rsid w:val="007F51BC"/>
    <w:rsid w:val="007F59EB"/>
    <w:rsid w:val="007F59ED"/>
    <w:rsid w:val="007F5B95"/>
    <w:rsid w:val="007F5D33"/>
    <w:rsid w:val="007F5F3F"/>
    <w:rsid w:val="007F5F4C"/>
    <w:rsid w:val="007F6293"/>
    <w:rsid w:val="007F6C20"/>
    <w:rsid w:val="007F6D76"/>
    <w:rsid w:val="007F6FBB"/>
    <w:rsid w:val="007F71D6"/>
    <w:rsid w:val="007F75B4"/>
    <w:rsid w:val="007F7987"/>
    <w:rsid w:val="007F7B7E"/>
    <w:rsid w:val="007F7BFA"/>
    <w:rsid w:val="007F7FED"/>
    <w:rsid w:val="00800340"/>
    <w:rsid w:val="00800481"/>
    <w:rsid w:val="008004F4"/>
    <w:rsid w:val="008005B7"/>
    <w:rsid w:val="00800A32"/>
    <w:rsid w:val="00800AE3"/>
    <w:rsid w:val="00801029"/>
    <w:rsid w:val="00801877"/>
    <w:rsid w:val="00801977"/>
    <w:rsid w:val="00801DA1"/>
    <w:rsid w:val="008025E7"/>
    <w:rsid w:val="00802638"/>
    <w:rsid w:val="0080267A"/>
    <w:rsid w:val="008026E5"/>
    <w:rsid w:val="00802B81"/>
    <w:rsid w:val="00803254"/>
    <w:rsid w:val="00803493"/>
    <w:rsid w:val="008045FD"/>
    <w:rsid w:val="0080468E"/>
    <w:rsid w:val="0080485F"/>
    <w:rsid w:val="00804A3D"/>
    <w:rsid w:val="00804E52"/>
    <w:rsid w:val="008051C4"/>
    <w:rsid w:val="008055C7"/>
    <w:rsid w:val="00805607"/>
    <w:rsid w:val="008058C1"/>
    <w:rsid w:val="008059D3"/>
    <w:rsid w:val="00805B42"/>
    <w:rsid w:val="00805F24"/>
    <w:rsid w:val="00806393"/>
    <w:rsid w:val="008063AA"/>
    <w:rsid w:val="00806AAD"/>
    <w:rsid w:val="00806B47"/>
    <w:rsid w:val="00806D69"/>
    <w:rsid w:val="00806FD1"/>
    <w:rsid w:val="008072C5"/>
    <w:rsid w:val="008079D8"/>
    <w:rsid w:val="00807BD5"/>
    <w:rsid w:val="00807DC1"/>
    <w:rsid w:val="00807E51"/>
    <w:rsid w:val="00807FFB"/>
    <w:rsid w:val="008100A0"/>
    <w:rsid w:val="008101FB"/>
    <w:rsid w:val="008105A1"/>
    <w:rsid w:val="0081072C"/>
    <w:rsid w:val="00810809"/>
    <w:rsid w:val="0081082A"/>
    <w:rsid w:val="008108E2"/>
    <w:rsid w:val="008108EF"/>
    <w:rsid w:val="00810C0A"/>
    <w:rsid w:val="00810FBB"/>
    <w:rsid w:val="00811914"/>
    <w:rsid w:val="00811C51"/>
    <w:rsid w:val="00811F5B"/>
    <w:rsid w:val="00812689"/>
    <w:rsid w:val="008131FC"/>
    <w:rsid w:val="00813B67"/>
    <w:rsid w:val="00813E7B"/>
    <w:rsid w:val="0081403D"/>
    <w:rsid w:val="0081428B"/>
    <w:rsid w:val="008142AA"/>
    <w:rsid w:val="00814349"/>
    <w:rsid w:val="00814577"/>
    <w:rsid w:val="00814703"/>
    <w:rsid w:val="0081512D"/>
    <w:rsid w:val="00815391"/>
    <w:rsid w:val="00815525"/>
    <w:rsid w:val="0081558C"/>
    <w:rsid w:val="00815A81"/>
    <w:rsid w:val="0081681C"/>
    <w:rsid w:val="00816AB4"/>
    <w:rsid w:val="00816C9E"/>
    <w:rsid w:val="00816CCE"/>
    <w:rsid w:val="00816D12"/>
    <w:rsid w:val="00817137"/>
    <w:rsid w:val="008174EA"/>
    <w:rsid w:val="00817858"/>
    <w:rsid w:val="00817984"/>
    <w:rsid w:val="008179B2"/>
    <w:rsid w:val="00817B9E"/>
    <w:rsid w:val="00817F6C"/>
    <w:rsid w:val="00817FCE"/>
    <w:rsid w:val="00820098"/>
    <w:rsid w:val="0082010A"/>
    <w:rsid w:val="00820284"/>
    <w:rsid w:val="008208D1"/>
    <w:rsid w:val="00820D2D"/>
    <w:rsid w:val="00820D46"/>
    <w:rsid w:val="00820E0F"/>
    <w:rsid w:val="00820E4C"/>
    <w:rsid w:val="00820F22"/>
    <w:rsid w:val="008212AD"/>
    <w:rsid w:val="00821425"/>
    <w:rsid w:val="008214E6"/>
    <w:rsid w:val="00821675"/>
    <w:rsid w:val="008216AF"/>
    <w:rsid w:val="00821776"/>
    <w:rsid w:val="008217CD"/>
    <w:rsid w:val="0082198C"/>
    <w:rsid w:val="00821B82"/>
    <w:rsid w:val="00821E3C"/>
    <w:rsid w:val="0082298E"/>
    <w:rsid w:val="00822AD4"/>
    <w:rsid w:val="00822E86"/>
    <w:rsid w:val="00823011"/>
    <w:rsid w:val="0082301E"/>
    <w:rsid w:val="008235E4"/>
    <w:rsid w:val="00823F12"/>
    <w:rsid w:val="00824385"/>
    <w:rsid w:val="00824623"/>
    <w:rsid w:val="00825277"/>
    <w:rsid w:val="00825A96"/>
    <w:rsid w:val="00825B11"/>
    <w:rsid w:val="00825B23"/>
    <w:rsid w:val="00825F60"/>
    <w:rsid w:val="008261D0"/>
    <w:rsid w:val="00826B7B"/>
    <w:rsid w:val="0082702C"/>
    <w:rsid w:val="008270A3"/>
    <w:rsid w:val="008275B9"/>
    <w:rsid w:val="0082799B"/>
    <w:rsid w:val="008279D1"/>
    <w:rsid w:val="00827BC5"/>
    <w:rsid w:val="00827BEB"/>
    <w:rsid w:val="00827D6B"/>
    <w:rsid w:val="00830316"/>
    <w:rsid w:val="0083069B"/>
    <w:rsid w:val="00830924"/>
    <w:rsid w:val="008309E8"/>
    <w:rsid w:val="00830E1D"/>
    <w:rsid w:val="0083102C"/>
    <w:rsid w:val="00831568"/>
    <w:rsid w:val="00831DB1"/>
    <w:rsid w:val="00831E12"/>
    <w:rsid w:val="0083261D"/>
    <w:rsid w:val="00832D2D"/>
    <w:rsid w:val="00832D3A"/>
    <w:rsid w:val="00832D7F"/>
    <w:rsid w:val="00832D89"/>
    <w:rsid w:val="0083302B"/>
    <w:rsid w:val="0083321C"/>
    <w:rsid w:val="00833798"/>
    <w:rsid w:val="00833CB6"/>
    <w:rsid w:val="00833CE4"/>
    <w:rsid w:val="00833E73"/>
    <w:rsid w:val="008342C3"/>
    <w:rsid w:val="008344F4"/>
    <w:rsid w:val="00834948"/>
    <w:rsid w:val="00834A31"/>
    <w:rsid w:val="00834D71"/>
    <w:rsid w:val="00834EE7"/>
    <w:rsid w:val="00835183"/>
    <w:rsid w:val="008352E9"/>
    <w:rsid w:val="008353E7"/>
    <w:rsid w:val="008356E6"/>
    <w:rsid w:val="008357F3"/>
    <w:rsid w:val="00835A8C"/>
    <w:rsid w:val="00835D24"/>
    <w:rsid w:val="00835E4E"/>
    <w:rsid w:val="008366E2"/>
    <w:rsid w:val="00836E4B"/>
    <w:rsid w:val="00837062"/>
    <w:rsid w:val="008371A4"/>
    <w:rsid w:val="00837409"/>
    <w:rsid w:val="0083746C"/>
    <w:rsid w:val="00837516"/>
    <w:rsid w:val="0083790E"/>
    <w:rsid w:val="00837BC0"/>
    <w:rsid w:val="00837C8E"/>
    <w:rsid w:val="00837E7E"/>
    <w:rsid w:val="0084031D"/>
    <w:rsid w:val="008407CC"/>
    <w:rsid w:val="00840865"/>
    <w:rsid w:val="0084120F"/>
    <w:rsid w:val="0084160D"/>
    <w:rsid w:val="00841AC4"/>
    <w:rsid w:val="00841D41"/>
    <w:rsid w:val="00842112"/>
    <w:rsid w:val="00842221"/>
    <w:rsid w:val="0084274B"/>
    <w:rsid w:val="00842D0A"/>
    <w:rsid w:val="00842D63"/>
    <w:rsid w:val="00842ECF"/>
    <w:rsid w:val="00843067"/>
    <w:rsid w:val="008431B2"/>
    <w:rsid w:val="008431C7"/>
    <w:rsid w:val="008436AB"/>
    <w:rsid w:val="0084370F"/>
    <w:rsid w:val="00843C22"/>
    <w:rsid w:val="00843D1E"/>
    <w:rsid w:val="00844164"/>
    <w:rsid w:val="0084416B"/>
    <w:rsid w:val="0084432B"/>
    <w:rsid w:val="008443F4"/>
    <w:rsid w:val="00844739"/>
    <w:rsid w:val="00844822"/>
    <w:rsid w:val="0084486B"/>
    <w:rsid w:val="0084544B"/>
    <w:rsid w:val="00845483"/>
    <w:rsid w:val="008454F8"/>
    <w:rsid w:val="008458A7"/>
    <w:rsid w:val="00845932"/>
    <w:rsid w:val="0084595C"/>
    <w:rsid w:val="00845A61"/>
    <w:rsid w:val="00845DC7"/>
    <w:rsid w:val="00845E76"/>
    <w:rsid w:val="00845F57"/>
    <w:rsid w:val="00845F8A"/>
    <w:rsid w:val="0084643F"/>
    <w:rsid w:val="008464F5"/>
    <w:rsid w:val="00847210"/>
    <w:rsid w:val="008473C3"/>
    <w:rsid w:val="00847685"/>
    <w:rsid w:val="00847C66"/>
    <w:rsid w:val="00847DF2"/>
    <w:rsid w:val="00850078"/>
    <w:rsid w:val="00850467"/>
    <w:rsid w:val="0085071A"/>
    <w:rsid w:val="008509B4"/>
    <w:rsid w:val="00851604"/>
    <w:rsid w:val="008516EA"/>
    <w:rsid w:val="008516F8"/>
    <w:rsid w:val="00851987"/>
    <w:rsid w:val="00851AB5"/>
    <w:rsid w:val="00851E44"/>
    <w:rsid w:val="00851F4E"/>
    <w:rsid w:val="008522B5"/>
    <w:rsid w:val="0085230A"/>
    <w:rsid w:val="0085261D"/>
    <w:rsid w:val="00852D32"/>
    <w:rsid w:val="00852EC7"/>
    <w:rsid w:val="00852F75"/>
    <w:rsid w:val="008532F3"/>
    <w:rsid w:val="008537FC"/>
    <w:rsid w:val="008540CC"/>
    <w:rsid w:val="00854193"/>
    <w:rsid w:val="008549E0"/>
    <w:rsid w:val="00854C4D"/>
    <w:rsid w:val="0085502B"/>
    <w:rsid w:val="0085524A"/>
    <w:rsid w:val="00855518"/>
    <w:rsid w:val="0085570F"/>
    <w:rsid w:val="00855B97"/>
    <w:rsid w:val="00855DF4"/>
    <w:rsid w:val="00856002"/>
    <w:rsid w:val="0085639F"/>
    <w:rsid w:val="00856436"/>
    <w:rsid w:val="008565A4"/>
    <w:rsid w:val="008569C6"/>
    <w:rsid w:val="00856ADE"/>
    <w:rsid w:val="00856BBC"/>
    <w:rsid w:val="00856F6B"/>
    <w:rsid w:val="00857129"/>
    <w:rsid w:val="008571B6"/>
    <w:rsid w:val="0085736F"/>
    <w:rsid w:val="008574A6"/>
    <w:rsid w:val="00857528"/>
    <w:rsid w:val="008576E2"/>
    <w:rsid w:val="00857B19"/>
    <w:rsid w:val="008602A7"/>
    <w:rsid w:val="0086038D"/>
    <w:rsid w:val="0086043C"/>
    <w:rsid w:val="0086070B"/>
    <w:rsid w:val="0086082C"/>
    <w:rsid w:val="00860D65"/>
    <w:rsid w:val="008610C4"/>
    <w:rsid w:val="00861120"/>
    <w:rsid w:val="008611A6"/>
    <w:rsid w:val="00861227"/>
    <w:rsid w:val="008613A3"/>
    <w:rsid w:val="0086151D"/>
    <w:rsid w:val="00861558"/>
    <w:rsid w:val="0086194F"/>
    <w:rsid w:val="00861A99"/>
    <w:rsid w:val="00861EF5"/>
    <w:rsid w:val="008620C7"/>
    <w:rsid w:val="0086217C"/>
    <w:rsid w:val="008623A1"/>
    <w:rsid w:val="00862415"/>
    <w:rsid w:val="00862508"/>
    <w:rsid w:val="008625F5"/>
    <w:rsid w:val="008628AD"/>
    <w:rsid w:val="00862DC2"/>
    <w:rsid w:val="00862F54"/>
    <w:rsid w:val="00863339"/>
    <w:rsid w:val="00863521"/>
    <w:rsid w:val="0086361A"/>
    <w:rsid w:val="00863C8C"/>
    <w:rsid w:val="00863C9B"/>
    <w:rsid w:val="00863D59"/>
    <w:rsid w:val="00864087"/>
    <w:rsid w:val="0086425F"/>
    <w:rsid w:val="008643F8"/>
    <w:rsid w:val="008645DB"/>
    <w:rsid w:val="0086484F"/>
    <w:rsid w:val="00864975"/>
    <w:rsid w:val="00864A6A"/>
    <w:rsid w:val="00864E32"/>
    <w:rsid w:val="00864EB6"/>
    <w:rsid w:val="0086509F"/>
    <w:rsid w:val="008653C7"/>
    <w:rsid w:val="008658B2"/>
    <w:rsid w:val="00866A00"/>
    <w:rsid w:val="00866C55"/>
    <w:rsid w:val="00866CB4"/>
    <w:rsid w:val="008670B0"/>
    <w:rsid w:val="00867271"/>
    <w:rsid w:val="0086752E"/>
    <w:rsid w:val="00867576"/>
    <w:rsid w:val="008678C1"/>
    <w:rsid w:val="00870313"/>
    <w:rsid w:val="00870661"/>
    <w:rsid w:val="00870914"/>
    <w:rsid w:val="0087091B"/>
    <w:rsid w:val="00870DEB"/>
    <w:rsid w:val="00870EA6"/>
    <w:rsid w:val="008711EA"/>
    <w:rsid w:val="00871245"/>
    <w:rsid w:val="0087199A"/>
    <w:rsid w:val="00871D9C"/>
    <w:rsid w:val="008720A3"/>
    <w:rsid w:val="008725AF"/>
    <w:rsid w:val="00872DB0"/>
    <w:rsid w:val="00873019"/>
    <w:rsid w:val="00873228"/>
    <w:rsid w:val="00873259"/>
    <w:rsid w:val="00873465"/>
    <w:rsid w:val="008736F4"/>
    <w:rsid w:val="008737FD"/>
    <w:rsid w:val="008738D3"/>
    <w:rsid w:val="00873C5D"/>
    <w:rsid w:val="00873DC8"/>
    <w:rsid w:val="00873DED"/>
    <w:rsid w:val="00873E3A"/>
    <w:rsid w:val="00873EE4"/>
    <w:rsid w:val="00874015"/>
    <w:rsid w:val="0087439A"/>
    <w:rsid w:val="0087464B"/>
    <w:rsid w:val="00874669"/>
    <w:rsid w:val="0087475B"/>
    <w:rsid w:val="00874BDD"/>
    <w:rsid w:val="00874DE0"/>
    <w:rsid w:val="00874DE7"/>
    <w:rsid w:val="00874EA0"/>
    <w:rsid w:val="00875251"/>
    <w:rsid w:val="00875440"/>
    <w:rsid w:val="00876074"/>
    <w:rsid w:val="008763BD"/>
    <w:rsid w:val="0087664A"/>
    <w:rsid w:val="00876735"/>
    <w:rsid w:val="008768F9"/>
    <w:rsid w:val="0087703E"/>
    <w:rsid w:val="00877425"/>
    <w:rsid w:val="0087763B"/>
    <w:rsid w:val="008777F4"/>
    <w:rsid w:val="008779CF"/>
    <w:rsid w:val="00880201"/>
    <w:rsid w:val="00880359"/>
    <w:rsid w:val="008806E6"/>
    <w:rsid w:val="00880786"/>
    <w:rsid w:val="00880905"/>
    <w:rsid w:val="00880B86"/>
    <w:rsid w:val="00880BA3"/>
    <w:rsid w:val="00880BB9"/>
    <w:rsid w:val="00880BBB"/>
    <w:rsid w:val="00880BEC"/>
    <w:rsid w:val="00880C53"/>
    <w:rsid w:val="00880F42"/>
    <w:rsid w:val="00881726"/>
    <w:rsid w:val="008819B0"/>
    <w:rsid w:val="008819DA"/>
    <w:rsid w:val="00881E30"/>
    <w:rsid w:val="00881EB9"/>
    <w:rsid w:val="008820FE"/>
    <w:rsid w:val="00882270"/>
    <w:rsid w:val="00882889"/>
    <w:rsid w:val="00883043"/>
    <w:rsid w:val="00883204"/>
    <w:rsid w:val="00883344"/>
    <w:rsid w:val="0088371D"/>
    <w:rsid w:val="00883920"/>
    <w:rsid w:val="00883C2B"/>
    <w:rsid w:val="00883FBD"/>
    <w:rsid w:val="008840C1"/>
    <w:rsid w:val="0088415D"/>
    <w:rsid w:val="0088435A"/>
    <w:rsid w:val="00884BAE"/>
    <w:rsid w:val="00884E7B"/>
    <w:rsid w:val="0088500A"/>
    <w:rsid w:val="008853DF"/>
    <w:rsid w:val="008854E1"/>
    <w:rsid w:val="00885724"/>
    <w:rsid w:val="008864AB"/>
    <w:rsid w:val="008864AE"/>
    <w:rsid w:val="00886CDC"/>
    <w:rsid w:val="008874A3"/>
    <w:rsid w:val="008878AD"/>
    <w:rsid w:val="008900E1"/>
    <w:rsid w:val="008905EF"/>
    <w:rsid w:val="00890880"/>
    <w:rsid w:val="00890D59"/>
    <w:rsid w:val="00890E0F"/>
    <w:rsid w:val="00890EB7"/>
    <w:rsid w:val="0089145E"/>
    <w:rsid w:val="00891725"/>
    <w:rsid w:val="00891872"/>
    <w:rsid w:val="00891D4F"/>
    <w:rsid w:val="00891D9B"/>
    <w:rsid w:val="0089240F"/>
    <w:rsid w:val="008926A6"/>
    <w:rsid w:val="00893294"/>
    <w:rsid w:val="008936C3"/>
    <w:rsid w:val="00893CE1"/>
    <w:rsid w:val="00893D88"/>
    <w:rsid w:val="00894256"/>
    <w:rsid w:val="00894B80"/>
    <w:rsid w:val="00894CB9"/>
    <w:rsid w:val="00895657"/>
    <w:rsid w:val="00895761"/>
    <w:rsid w:val="008959F8"/>
    <w:rsid w:val="00895A41"/>
    <w:rsid w:val="00895F3C"/>
    <w:rsid w:val="00896091"/>
    <w:rsid w:val="0089620C"/>
    <w:rsid w:val="0089639E"/>
    <w:rsid w:val="0089661E"/>
    <w:rsid w:val="00896659"/>
    <w:rsid w:val="00896910"/>
    <w:rsid w:val="00896932"/>
    <w:rsid w:val="00896A2F"/>
    <w:rsid w:val="00896A3E"/>
    <w:rsid w:val="00896AC9"/>
    <w:rsid w:val="00896F64"/>
    <w:rsid w:val="00896F8F"/>
    <w:rsid w:val="00897024"/>
    <w:rsid w:val="00897050"/>
    <w:rsid w:val="00897095"/>
    <w:rsid w:val="00897A9F"/>
    <w:rsid w:val="008A0067"/>
    <w:rsid w:val="008A0141"/>
    <w:rsid w:val="008A03B8"/>
    <w:rsid w:val="008A0B41"/>
    <w:rsid w:val="008A0C92"/>
    <w:rsid w:val="008A0D81"/>
    <w:rsid w:val="008A1221"/>
    <w:rsid w:val="008A1E50"/>
    <w:rsid w:val="008A21DB"/>
    <w:rsid w:val="008A245E"/>
    <w:rsid w:val="008A2668"/>
    <w:rsid w:val="008A2BA7"/>
    <w:rsid w:val="008A3177"/>
    <w:rsid w:val="008A34A7"/>
    <w:rsid w:val="008A3531"/>
    <w:rsid w:val="008A38BA"/>
    <w:rsid w:val="008A3913"/>
    <w:rsid w:val="008A39BF"/>
    <w:rsid w:val="008A3A28"/>
    <w:rsid w:val="008A3BAF"/>
    <w:rsid w:val="008A3D8E"/>
    <w:rsid w:val="008A3E4F"/>
    <w:rsid w:val="008A42E7"/>
    <w:rsid w:val="008A4A2D"/>
    <w:rsid w:val="008A4A62"/>
    <w:rsid w:val="008A4E40"/>
    <w:rsid w:val="008A5495"/>
    <w:rsid w:val="008A57EA"/>
    <w:rsid w:val="008A5A44"/>
    <w:rsid w:val="008A5ACE"/>
    <w:rsid w:val="008A5B1D"/>
    <w:rsid w:val="008A5BB9"/>
    <w:rsid w:val="008A5EB1"/>
    <w:rsid w:val="008A6129"/>
    <w:rsid w:val="008A64ED"/>
    <w:rsid w:val="008A6F4D"/>
    <w:rsid w:val="008A748E"/>
    <w:rsid w:val="008A75B2"/>
    <w:rsid w:val="008A77A9"/>
    <w:rsid w:val="008A7988"/>
    <w:rsid w:val="008A79BF"/>
    <w:rsid w:val="008B027D"/>
    <w:rsid w:val="008B0453"/>
    <w:rsid w:val="008B05F4"/>
    <w:rsid w:val="008B063E"/>
    <w:rsid w:val="008B06ED"/>
    <w:rsid w:val="008B080D"/>
    <w:rsid w:val="008B083C"/>
    <w:rsid w:val="008B0926"/>
    <w:rsid w:val="008B0938"/>
    <w:rsid w:val="008B0FA4"/>
    <w:rsid w:val="008B1436"/>
    <w:rsid w:val="008B1772"/>
    <w:rsid w:val="008B1CB6"/>
    <w:rsid w:val="008B1EF5"/>
    <w:rsid w:val="008B246C"/>
    <w:rsid w:val="008B25B5"/>
    <w:rsid w:val="008B285C"/>
    <w:rsid w:val="008B294B"/>
    <w:rsid w:val="008B2972"/>
    <w:rsid w:val="008B2A5F"/>
    <w:rsid w:val="008B2D59"/>
    <w:rsid w:val="008B2EA0"/>
    <w:rsid w:val="008B3260"/>
    <w:rsid w:val="008B338A"/>
    <w:rsid w:val="008B3558"/>
    <w:rsid w:val="008B385B"/>
    <w:rsid w:val="008B3B1C"/>
    <w:rsid w:val="008B4030"/>
    <w:rsid w:val="008B41B4"/>
    <w:rsid w:val="008B423F"/>
    <w:rsid w:val="008B4488"/>
    <w:rsid w:val="008B44C4"/>
    <w:rsid w:val="008B450D"/>
    <w:rsid w:val="008B466E"/>
    <w:rsid w:val="008B4733"/>
    <w:rsid w:val="008B493F"/>
    <w:rsid w:val="008B4F3B"/>
    <w:rsid w:val="008B507B"/>
    <w:rsid w:val="008B51BE"/>
    <w:rsid w:val="008B5963"/>
    <w:rsid w:val="008B5C21"/>
    <w:rsid w:val="008B6529"/>
    <w:rsid w:val="008B65D4"/>
    <w:rsid w:val="008B6630"/>
    <w:rsid w:val="008B6953"/>
    <w:rsid w:val="008B6E0F"/>
    <w:rsid w:val="008B7137"/>
    <w:rsid w:val="008B7203"/>
    <w:rsid w:val="008B7568"/>
    <w:rsid w:val="008B7935"/>
    <w:rsid w:val="008B7EA0"/>
    <w:rsid w:val="008B7EBC"/>
    <w:rsid w:val="008B7F45"/>
    <w:rsid w:val="008C004D"/>
    <w:rsid w:val="008C06C5"/>
    <w:rsid w:val="008C0A78"/>
    <w:rsid w:val="008C0BAB"/>
    <w:rsid w:val="008C0D0F"/>
    <w:rsid w:val="008C0F48"/>
    <w:rsid w:val="008C115E"/>
    <w:rsid w:val="008C158D"/>
    <w:rsid w:val="008C15A3"/>
    <w:rsid w:val="008C16EA"/>
    <w:rsid w:val="008C1775"/>
    <w:rsid w:val="008C1B33"/>
    <w:rsid w:val="008C1C8F"/>
    <w:rsid w:val="008C1D6B"/>
    <w:rsid w:val="008C1E3E"/>
    <w:rsid w:val="008C20AA"/>
    <w:rsid w:val="008C20C9"/>
    <w:rsid w:val="008C2495"/>
    <w:rsid w:val="008C2CA0"/>
    <w:rsid w:val="008C2F10"/>
    <w:rsid w:val="008C2FD8"/>
    <w:rsid w:val="008C32BA"/>
    <w:rsid w:val="008C3668"/>
    <w:rsid w:val="008C38EF"/>
    <w:rsid w:val="008C3999"/>
    <w:rsid w:val="008C3D1F"/>
    <w:rsid w:val="008C3DD0"/>
    <w:rsid w:val="008C3FD1"/>
    <w:rsid w:val="008C4243"/>
    <w:rsid w:val="008C46C8"/>
    <w:rsid w:val="008C4F12"/>
    <w:rsid w:val="008C4FFE"/>
    <w:rsid w:val="008C52BA"/>
    <w:rsid w:val="008C5375"/>
    <w:rsid w:val="008C53E9"/>
    <w:rsid w:val="008C57DE"/>
    <w:rsid w:val="008C5977"/>
    <w:rsid w:val="008C5A6F"/>
    <w:rsid w:val="008C5D75"/>
    <w:rsid w:val="008C5DCD"/>
    <w:rsid w:val="008C6417"/>
    <w:rsid w:val="008C6523"/>
    <w:rsid w:val="008C6CE1"/>
    <w:rsid w:val="008C6E78"/>
    <w:rsid w:val="008C6F34"/>
    <w:rsid w:val="008C7163"/>
    <w:rsid w:val="008C74A1"/>
    <w:rsid w:val="008C75A7"/>
    <w:rsid w:val="008C75BE"/>
    <w:rsid w:val="008C77E1"/>
    <w:rsid w:val="008C78FE"/>
    <w:rsid w:val="008C7991"/>
    <w:rsid w:val="008C79B3"/>
    <w:rsid w:val="008C7CAF"/>
    <w:rsid w:val="008C7FE6"/>
    <w:rsid w:val="008D006A"/>
    <w:rsid w:val="008D0504"/>
    <w:rsid w:val="008D0976"/>
    <w:rsid w:val="008D0B42"/>
    <w:rsid w:val="008D0BBB"/>
    <w:rsid w:val="008D0FBE"/>
    <w:rsid w:val="008D1196"/>
    <w:rsid w:val="008D1256"/>
    <w:rsid w:val="008D12C0"/>
    <w:rsid w:val="008D1378"/>
    <w:rsid w:val="008D137B"/>
    <w:rsid w:val="008D196F"/>
    <w:rsid w:val="008D1A2B"/>
    <w:rsid w:val="008D1A72"/>
    <w:rsid w:val="008D1C0E"/>
    <w:rsid w:val="008D22B8"/>
    <w:rsid w:val="008D275A"/>
    <w:rsid w:val="008D28EC"/>
    <w:rsid w:val="008D2BB3"/>
    <w:rsid w:val="008D2F55"/>
    <w:rsid w:val="008D2F60"/>
    <w:rsid w:val="008D33E7"/>
    <w:rsid w:val="008D3605"/>
    <w:rsid w:val="008D362F"/>
    <w:rsid w:val="008D3631"/>
    <w:rsid w:val="008D368E"/>
    <w:rsid w:val="008D3BA6"/>
    <w:rsid w:val="008D3CAD"/>
    <w:rsid w:val="008D3EF2"/>
    <w:rsid w:val="008D3FEE"/>
    <w:rsid w:val="008D435D"/>
    <w:rsid w:val="008D43DC"/>
    <w:rsid w:val="008D45B0"/>
    <w:rsid w:val="008D46F3"/>
    <w:rsid w:val="008D4926"/>
    <w:rsid w:val="008D4B4C"/>
    <w:rsid w:val="008D4B6E"/>
    <w:rsid w:val="008D4CE4"/>
    <w:rsid w:val="008D50ED"/>
    <w:rsid w:val="008D52EC"/>
    <w:rsid w:val="008D544C"/>
    <w:rsid w:val="008D553B"/>
    <w:rsid w:val="008D5859"/>
    <w:rsid w:val="008D593C"/>
    <w:rsid w:val="008D5D5D"/>
    <w:rsid w:val="008D5EC9"/>
    <w:rsid w:val="008D5F4E"/>
    <w:rsid w:val="008D63A8"/>
    <w:rsid w:val="008D69E3"/>
    <w:rsid w:val="008D6A33"/>
    <w:rsid w:val="008D6A7F"/>
    <w:rsid w:val="008D6BB9"/>
    <w:rsid w:val="008D6C0A"/>
    <w:rsid w:val="008D6C37"/>
    <w:rsid w:val="008D75A0"/>
    <w:rsid w:val="008D77CB"/>
    <w:rsid w:val="008D7936"/>
    <w:rsid w:val="008D7AD3"/>
    <w:rsid w:val="008D7B43"/>
    <w:rsid w:val="008D7C9E"/>
    <w:rsid w:val="008D7DDE"/>
    <w:rsid w:val="008D7F1B"/>
    <w:rsid w:val="008E020C"/>
    <w:rsid w:val="008E0786"/>
    <w:rsid w:val="008E0A23"/>
    <w:rsid w:val="008E0C68"/>
    <w:rsid w:val="008E0D69"/>
    <w:rsid w:val="008E12E7"/>
    <w:rsid w:val="008E1326"/>
    <w:rsid w:val="008E1350"/>
    <w:rsid w:val="008E1AD7"/>
    <w:rsid w:val="008E1DF2"/>
    <w:rsid w:val="008E1EA5"/>
    <w:rsid w:val="008E204F"/>
    <w:rsid w:val="008E207F"/>
    <w:rsid w:val="008E21C1"/>
    <w:rsid w:val="008E23DB"/>
    <w:rsid w:val="008E2445"/>
    <w:rsid w:val="008E2628"/>
    <w:rsid w:val="008E278F"/>
    <w:rsid w:val="008E29F4"/>
    <w:rsid w:val="008E2CA6"/>
    <w:rsid w:val="008E3376"/>
    <w:rsid w:val="008E338F"/>
    <w:rsid w:val="008E33F1"/>
    <w:rsid w:val="008E35FD"/>
    <w:rsid w:val="008E3880"/>
    <w:rsid w:val="008E3B07"/>
    <w:rsid w:val="008E4196"/>
    <w:rsid w:val="008E464F"/>
    <w:rsid w:val="008E48DE"/>
    <w:rsid w:val="008E4917"/>
    <w:rsid w:val="008E4A37"/>
    <w:rsid w:val="008E4AEE"/>
    <w:rsid w:val="008E50E2"/>
    <w:rsid w:val="008E53F1"/>
    <w:rsid w:val="008E5683"/>
    <w:rsid w:val="008E5754"/>
    <w:rsid w:val="008E5BAA"/>
    <w:rsid w:val="008E670E"/>
    <w:rsid w:val="008E68DF"/>
    <w:rsid w:val="008E68F6"/>
    <w:rsid w:val="008E6CE4"/>
    <w:rsid w:val="008E73A8"/>
    <w:rsid w:val="008E77AC"/>
    <w:rsid w:val="008E7E44"/>
    <w:rsid w:val="008E7F47"/>
    <w:rsid w:val="008E7F74"/>
    <w:rsid w:val="008F0221"/>
    <w:rsid w:val="008F0361"/>
    <w:rsid w:val="008F07C6"/>
    <w:rsid w:val="008F0934"/>
    <w:rsid w:val="008F0A26"/>
    <w:rsid w:val="008F0C4F"/>
    <w:rsid w:val="008F0F03"/>
    <w:rsid w:val="008F0F49"/>
    <w:rsid w:val="008F0F90"/>
    <w:rsid w:val="008F0FC0"/>
    <w:rsid w:val="008F12AB"/>
    <w:rsid w:val="008F1745"/>
    <w:rsid w:val="008F178A"/>
    <w:rsid w:val="008F199D"/>
    <w:rsid w:val="008F1BDA"/>
    <w:rsid w:val="008F1D12"/>
    <w:rsid w:val="008F1FDC"/>
    <w:rsid w:val="008F2163"/>
    <w:rsid w:val="008F250D"/>
    <w:rsid w:val="008F25AA"/>
    <w:rsid w:val="008F2CB0"/>
    <w:rsid w:val="008F35E3"/>
    <w:rsid w:val="008F390F"/>
    <w:rsid w:val="008F3A7D"/>
    <w:rsid w:val="008F3D15"/>
    <w:rsid w:val="008F433E"/>
    <w:rsid w:val="008F44DD"/>
    <w:rsid w:val="008F4C0E"/>
    <w:rsid w:val="008F4C95"/>
    <w:rsid w:val="008F4DC6"/>
    <w:rsid w:val="008F53FF"/>
    <w:rsid w:val="008F552C"/>
    <w:rsid w:val="008F5682"/>
    <w:rsid w:val="008F584F"/>
    <w:rsid w:val="008F585D"/>
    <w:rsid w:val="008F5CC8"/>
    <w:rsid w:val="008F5D0D"/>
    <w:rsid w:val="008F6056"/>
    <w:rsid w:val="008F636F"/>
    <w:rsid w:val="008F6B05"/>
    <w:rsid w:val="008F7077"/>
    <w:rsid w:val="008F7296"/>
    <w:rsid w:val="008F7392"/>
    <w:rsid w:val="008F7708"/>
    <w:rsid w:val="008F7A2A"/>
    <w:rsid w:val="008F7E77"/>
    <w:rsid w:val="009000E3"/>
    <w:rsid w:val="009002F3"/>
    <w:rsid w:val="009003A7"/>
    <w:rsid w:val="00901035"/>
    <w:rsid w:val="009011B6"/>
    <w:rsid w:val="0090162C"/>
    <w:rsid w:val="009016F7"/>
    <w:rsid w:val="00901712"/>
    <w:rsid w:val="00901721"/>
    <w:rsid w:val="00901725"/>
    <w:rsid w:val="0090178F"/>
    <w:rsid w:val="009019A0"/>
    <w:rsid w:val="00901B37"/>
    <w:rsid w:val="00901B40"/>
    <w:rsid w:val="00901B64"/>
    <w:rsid w:val="00901F1D"/>
    <w:rsid w:val="00902094"/>
    <w:rsid w:val="00902135"/>
    <w:rsid w:val="0090220F"/>
    <w:rsid w:val="009024C9"/>
    <w:rsid w:val="00902779"/>
    <w:rsid w:val="00902C3A"/>
    <w:rsid w:val="00902C87"/>
    <w:rsid w:val="00902CAC"/>
    <w:rsid w:val="009033F9"/>
    <w:rsid w:val="009036CA"/>
    <w:rsid w:val="009038A3"/>
    <w:rsid w:val="00903D42"/>
    <w:rsid w:val="009040F6"/>
    <w:rsid w:val="0090421A"/>
    <w:rsid w:val="009044BF"/>
    <w:rsid w:val="00904520"/>
    <w:rsid w:val="00904FD5"/>
    <w:rsid w:val="009056D0"/>
    <w:rsid w:val="00905A92"/>
    <w:rsid w:val="00905BBF"/>
    <w:rsid w:val="00905E9D"/>
    <w:rsid w:val="00905FDF"/>
    <w:rsid w:val="00906960"/>
    <w:rsid w:val="00907B04"/>
    <w:rsid w:val="00910409"/>
    <w:rsid w:val="00910509"/>
    <w:rsid w:val="00910DF2"/>
    <w:rsid w:val="0091114B"/>
    <w:rsid w:val="00911770"/>
    <w:rsid w:val="009117BC"/>
    <w:rsid w:val="00911861"/>
    <w:rsid w:val="00911ABF"/>
    <w:rsid w:val="00911B46"/>
    <w:rsid w:val="0091219A"/>
    <w:rsid w:val="009122EE"/>
    <w:rsid w:val="00912351"/>
    <w:rsid w:val="009124CE"/>
    <w:rsid w:val="00912510"/>
    <w:rsid w:val="00912524"/>
    <w:rsid w:val="0091255D"/>
    <w:rsid w:val="009128E7"/>
    <w:rsid w:val="009128E9"/>
    <w:rsid w:val="00912941"/>
    <w:rsid w:val="00912A5B"/>
    <w:rsid w:val="00912B57"/>
    <w:rsid w:val="00912D13"/>
    <w:rsid w:val="0091391A"/>
    <w:rsid w:val="00913921"/>
    <w:rsid w:val="00913A18"/>
    <w:rsid w:val="00913DE3"/>
    <w:rsid w:val="009140BD"/>
    <w:rsid w:val="00914210"/>
    <w:rsid w:val="009142ED"/>
    <w:rsid w:val="0091436A"/>
    <w:rsid w:val="009144D0"/>
    <w:rsid w:val="0091454C"/>
    <w:rsid w:val="00914BEB"/>
    <w:rsid w:val="00914FB5"/>
    <w:rsid w:val="00915016"/>
    <w:rsid w:val="009156E7"/>
    <w:rsid w:val="009156EA"/>
    <w:rsid w:val="0091572F"/>
    <w:rsid w:val="00915B5D"/>
    <w:rsid w:val="00916053"/>
    <w:rsid w:val="00916420"/>
    <w:rsid w:val="009169CA"/>
    <w:rsid w:val="009169FA"/>
    <w:rsid w:val="00916A01"/>
    <w:rsid w:val="00916C02"/>
    <w:rsid w:val="00916E3E"/>
    <w:rsid w:val="00916EEA"/>
    <w:rsid w:val="009170FD"/>
    <w:rsid w:val="00917A88"/>
    <w:rsid w:val="00917C0A"/>
    <w:rsid w:val="00917F95"/>
    <w:rsid w:val="00920678"/>
    <w:rsid w:val="00920898"/>
    <w:rsid w:val="009208C6"/>
    <w:rsid w:val="00921148"/>
    <w:rsid w:val="00921B73"/>
    <w:rsid w:val="00921DD3"/>
    <w:rsid w:val="00921E45"/>
    <w:rsid w:val="00921FC2"/>
    <w:rsid w:val="009220E7"/>
    <w:rsid w:val="009221E1"/>
    <w:rsid w:val="00922818"/>
    <w:rsid w:val="00922D90"/>
    <w:rsid w:val="00922F66"/>
    <w:rsid w:val="00923409"/>
    <w:rsid w:val="009239C0"/>
    <w:rsid w:val="00923D2E"/>
    <w:rsid w:val="00923EDF"/>
    <w:rsid w:val="009241D8"/>
    <w:rsid w:val="009245D3"/>
    <w:rsid w:val="0092477F"/>
    <w:rsid w:val="009248E2"/>
    <w:rsid w:val="00924C93"/>
    <w:rsid w:val="00924CE8"/>
    <w:rsid w:val="00924D9F"/>
    <w:rsid w:val="00925291"/>
    <w:rsid w:val="00925324"/>
    <w:rsid w:val="009256A4"/>
    <w:rsid w:val="00925754"/>
    <w:rsid w:val="00925A7F"/>
    <w:rsid w:val="00925AE6"/>
    <w:rsid w:val="00925BEF"/>
    <w:rsid w:val="00925E05"/>
    <w:rsid w:val="00926488"/>
    <w:rsid w:val="00926603"/>
    <w:rsid w:val="009267DA"/>
    <w:rsid w:val="009269EC"/>
    <w:rsid w:val="00926BCF"/>
    <w:rsid w:val="00926C5A"/>
    <w:rsid w:val="0092756B"/>
    <w:rsid w:val="00927AD1"/>
    <w:rsid w:val="0093021A"/>
    <w:rsid w:val="009304B2"/>
    <w:rsid w:val="00930528"/>
    <w:rsid w:val="009306B8"/>
    <w:rsid w:val="00930EE0"/>
    <w:rsid w:val="00931658"/>
    <w:rsid w:val="009318A1"/>
    <w:rsid w:val="00931BAE"/>
    <w:rsid w:val="00932198"/>
    <w:rsid w:val="00932335"/>
    <w:rsid w:val="009325C0"/>
    <w:rsid w:val="00932685"/>
    <w:rsid w:val="00932DD9"/>
    <w:rsid w:val="00933409"/>
    <w:rsid w:val="00933A96"/>
    <w:rsid w:val="00933E7E"/>
    <w:rsid w:val="00934502"/>
    <w:rsid w:val="009345FD"/>
    <w:rsid w:val="009351E8"/>
    <w:rsid w:val="00935648"/>
    <w:rsid w:val="0093640E"/>
    <w:rsid w:val="009367C5"/>
    <w:rsid w:val="0093698F"/>
    <w:rsid w:val="00936B86"/>
    <w:rsid w:val="00936BB8"/>
    <w:rsid w:val="00936E62"/>
    <w:rsid w:val="0093728F"/>
    <w:rsid w:val="009372AC"/>
    <w:rsid w:val="00937518"/>
    <w:rsid w:val="00937A03"/>
    <w:rsid w:val="00937D28"/>
    <w:rsid w:val="0094000E"/>
    <w:rsid w:val="00940128"/>
    <w:rsid w:val="009401E7"/>
    <w:rsid w:val="009407C3"/>
    <w:rsid w:val="00940C50"/>
    <w:rsid w:val="00940E5E"/>
    <w:rsid w:val="00941120"/>
    <w:rsid w:val="00941349"/>
    <w:rsid w:val="009413CE"/>
    <w:rsid w:val="00941677"/>
    <w:rsid w:val="00941833"/>
    <w:rsid w:val="00941D27"/>
    <w:rsid w:val="00941EDA"/>
    <w:rsid w:val="00941FA6"/>
    <w:rsid w:val="00942169"/>
    <w:rsid w:val="0094236F"/>
    <w:rsid w:val="00942BA5"/>
    <w:rsid w:val="00942C36"/>
    <w:rsid w:val="00942C9A"/>
    <w:rsid w:val="00942FCB"/>
    <w:rsid w:val="009430D2"/>
    <w:rsid w:val="00943205"/>
    <w:rsid w:val="00943343"/>
    <w:rsid w:val="00943EE5"/>
    <w:rsid w:val="009441F7"/>
    <w:rsid w:val="009442D2"/>
    <w:rsid w:val="009444AA"/>
    <w:rsid w:val="0094461B"/>
    <w:rsid w:val="00944656"/>
    <w:rsid w:val="009448D7"/>
    <w:rsid w:val="00944B5F"/>
    <w:rsid w:val="00944FA2"/>
    <w:rsid w:val="00944FAA"/>
    <w:rsid w:val="009453D9"/>
    <w:rsid w:val="00945627"/>
    <w:rsid w:val="0094576F"/>
    <w:rsid w:val="00945C89"/>
    <w:rsid w:val="00945D14"/>
    <w:rsid w:val="00945FB6"/>
    <w:rsid w:val="00946014"/>
    <w:rsid w:val="00946466"/>
    <w:rsid w:val="0094688C"/>
    <w:rsid w:val="00946957"/>
    <w:rsid w:val="00947659"/>
    <w:rsid w:val="009476D9"/>
    <w:rsid w:val="00947EAD"/>
    <w:rsid w:val="009502B1"/>
    <w:rsid w:val="0095030D"/>
    <w:rsid w:val="0095031C"/>
    <w:rsid w:val="0095032A"/>
    <w:rsid w:val="0095035B"/>
    <w:rsid w:val="00950363"/>
    <w:rsid w:val="009504DE"/>
    <w:rsid w:val="009505C9"/>
    <w:rsid w:val="0095079F"/>
    <w:rsid w:val="0095088D"/>
    <w:rsid w:val="00950927"/>
    <w:rsid w:val="00950C81"/>
    <w:rsid w:val="009510E4"/>
    <w:rsid w:val="0095119C"/>
    <w:rsid w:val="009511F6"/>
    <w:rsid w:val="009513C5"/>
    <w:rsid w:val="00951EB3"/>
    <w:rsid w:val="00951FAB"/>
    <w:rsid w:val="00952500"/>
    <w:rsid w:val="00952708"/>
    <w:rsid w:val="009528A8"/>
    <w:rsid w:val="0095292D"/>
    <w:rsid w:val="00952E93"/>
    <w:rsid w:val="0095303A"/>
    <w:rsid w:val="009532E3"/>
    <w:rsid w:val="00953D9E"/>
    <w:rsid w:val="0095403A"/>
    <w:rsid w:val="00954461"/>
    <w:rsid w:val="009545A5"/>
    <w:rsid w:val="00954611"/>
    <w:rsid w:val="009547A3"/>
    <w:rsid w:val="00954883"/>
    <w:rsid w:val="00954D6A"/>
    <w:rsid w:val="00954EB9"/>
    <w:rsid w:val="00955029"/>
    <w:rsid w:val="00955130"/>
    <w:rsid w:val="00955A2F"/>
    <w:rsid w:val="00955D5D"/>
    <w:rsid w:val="00955DA4"/>
    <w:rsid w:val="00956055"/>
    <w:rsid w:val="00956217"/>
    <w:rsid w:val="00956252"/>
    <w:rsid w:val="0095631E"/>
    <w:rsid w:val="009565C3"/>
    <w:rsid w:val="0095664C"/>
    <w:rsid w:val="009566CF"/>
    <w:rsid w:val="009566FD"/>
    <w:rsid w:val="0095701C"/>
    <w:rsid w:val="00957212"/>
    <w:rsid w:val="00957222"/>
    <w:rsid w:val="0095739F"/>
    <w:rsid w:val="00957A29"/>
    <w:rsid w:val="00957AA8"/>
    <w:rsid w:val="00957C99"/>
    <w:rsid w:val="00957DDE"/>
    <w:rsid w:val="00957DF9"/>
    <w:rsid w:val="0096048D"/>
    <w:rsid w:val="00960548"/>
    <w:rsid w:val="009605EF"/>
    <w:rsid w:val="00960910"/>
    <w:rsid w:val="00960A59"/>
    <w:rsid w:val="00960AA4"/>
    <w:rsid w:val="00960F07"/>
    <w:rsid w:val="009612CF"/>
    <w:rsid w:val="00961648"/>
    <w:rsid w:val="0096170E"/>
    <w:rsid w:val="00961A9E"/>
    <w:rsid w:val="00961D3A"/>
    <w:rsid w:val="00962008"/>
    <w:rsid w:val="009624E0"/>
    <w:rsid w:val="009627F5"/>
    <w:rsid w:val="00962F2A"/>
    <w:rsid w:val="0096300E"/>
    <w:rsid w:val="00963249"/>
    <w:rsid w:val="0096374F"/>
    <w:rsid w:val="009639B9"/>
    <w:rsid w:val="00963AC3"/>
    <w:rsid w:val="00963B90"/>
    <w:rsid w:val="00963BF8"/>
    <w:rsid w:val="00963FB3"/>
    <w:rsid w:val="009642E4"/>
    <w:rsid w:val="00965C10"/>
    <w:rsid w:val="00965F17"/>
    <w:rsid w:val="00966329"/>
    <w:rsid w:val="00966381"/>
    <w:rsid w:val="00966559"/>
    <w:rsid w:val="00966CB7"/>
    <w:rsid w:val="0096705D"/>
    <w:rsid w:val="009674E9"/>
    <w:rsid w:val="00967A21"/>
    <w:rsid w:val="00967A8B"/>
    <w:rsid w:val="00967EEC"/>
    <w:rsid w:val="0097023F"/>
    <w:rsid w:val="009703C8"/>
    <w:rsid w:val="00970C58"/>
    <w:rsid w:val="00970E1C"/>
    <w:rsid w:val="009717C2"/>
    <w:rsid w:val="0097190F"/>
    <w:rsid w:val="00971CE5"/>
    <w:rsid w:val="00971D62"/>
    <w:rsid w:val="00971E9C"/>
    <w:rsid w:val="00972363"/>
    <w:rsid w:val="0097250F"/>
    <w:rsid w:val="0097260A"/>
    <w:rsid w:val="00972641"/>
    <w:rsid w:val="00972BAB"/>
    <w:rsid w:val="00972F89"/>
    <w:rsid w:val="0097379D"/>
    <w:rsid w:val="00973CDC"/>
    <w:rsid w:val="00974660"/>
    <w:rsid w:val="00974678"/>
    <w:rsid w:val="009746F3"/>
    <w:rsid w:val="00974766"/>
    <w:rsid w:val="00974914"/>
    <w:rsid w:val="00974A9D"/>
    <w:rsid w:val="00974AF7"/>
    <w:rsid w:val="00974BC2"/>
    <w:rsid w:val="00974F43"/>
    <w:rsid w:val="0097560B"/>
    <w:rsid w:val="009758AD"/>
    <w:rsid w:val="00975B0D"/>
    <w:rsid w:val="00975BC8"/>
    <w:rsid w:val="00975F5F"/>
    <w:rsid w:val="009762F7"/>
    <w:rsid w:val="00976401"/>
    <w:rsid w:val="009765C8"/>
    <w:rsid w:val="009768E3"/>
    <w:rsid w:val="00976D9C"/>
    <w:rsid w:val="00976F58"/>
    <w:rsid w:val="009770AE"/>
    <w:rsid w:val="0097742D"/>
    <w:rsid w:val="009777CC"/>
    <w:rsid w:val="00977C4F"/>
    <w:rsid w:val="0098025D"/>
    <w:rsid w:val="00980335"/>
    <w:rsid w:val="00980557"/>
    <w:rsid w:val="0098066B"/>
    <w:rsid w:val="009807BF"/>
    <w:rsid w:val="00980990"/>
    <w:rsid w:val="009809C8"/>
    <w:rsid w:val="009814BA"/>
    <w:rsid w:val="009814DD"/>
    <w:rsid w:val="00981598"/>
    <w:rsid w:val="00981686"/>
    <w:rsid w:val="009818CA"/>
    <w:rsid w:val="00981DB9"/>
    <w:rsid w:val="00981EB2"/>
    <w:rsid w:val="00981EFF"/>
    <w:rsid w:val="009822EB"/>
    <w:rsid w:val="0098259B"/>
    <w:rsid w:val="0098270E"/>
    <w:rsid w:val="00982AE2"/>
    <w:rsid w:val="00982C2F"/>
    <w:rsid w:val="00982E4D"/>
    <w:rsid w:val="0098313A"/>
    <w:rsid w:val="00983161"/>
    <w:rsid w:val="0098394C"/>
    <w:rsid w:val="00983A27"/>
    <w:rsid w:val="009852A4"/>
    <w:rsid w:val="00985530"/>
    <w:rsid w:val="009857C3"/>
    <w:rsid w:val="00985AD3"/>
    <w:rsid w:val="00986B28"/>
    <w:rsid w:val="00986B9D"/>
    <w:rsid w:val="00986DFC"/>
    <w:rsid w:val="0098735F"/>
    <w:rsid w:val="0098790F"/>
    <w:rsid w:val="00987AB9"/>
    <w:rsid w:val="00987BFB"/>
    <w:rsid w:val="00987CF1"/>
    <w:rsid w:val="0099002B"/>
    <w:rsid w:val="009903EB"/>
    <w:rsid w:val="00990577"/>
    <w:rsid w:val="00990BB1"/>
    <w:rsid w:val="00990C3E"/>
    <w:rsid w:val="00990DA7"/>
    <w:rsid w:val="00990E8A"/>
    <w:rsid w:val="0099119F"/>
    <w:rsid w:val="009912C0"/>
    <w:rsid w:val="009917D9"/>
    <w:rsid w:val="00991AAD"/>
    <w:rsid w:val="00991B1E"/>
    <w:rsid w:val="0099225C"/>
    <w:rsid w:val="009923E2"/>
    <w:rsid w:val="0099241E"/>
    <w:rsid w:val="009925E8"/>
    <w:rsid w:val="009926B2"/>
    <w:rsid w:val="009927FA"/>
    <w:rsid w:val="00992CA9"/>
    <w:rsid w:val="009937A0"/>
    <w:rsid w:val="0099385C"/>
    <w:rsid w:val="00993B67"/>
    <w:rsid w:val="00993C41"/>
    <w:rsid w:val="00993F1A"/>
    <w:rsid w:val="0099445E"/>
    <w:rsid w:val="00994594"/>
    <w:rsid w:val="00994986"/>
    <w:rsid w:val="00995001"/>
    <w:rsid w:val="00995280"/>
    <w:rsid w:val="009953FE"/>
    <w:rsid w:val="00995719"/>
    <w:rsid w:val="009959E0"/>
    <w:rsid w:val="00995A62"/>
    <w:rsid w:val="00995A77"/>
    <w:rsid w:val="00995F82"/>
    <w:rsid w:val="009961CF"/>
    <w:rsid w:val="00996356"/>
    <w:rsid w:val="009965A3"/>
    <w:rsid w:val="00996760"/>
    <w:rsid w:val="00996919"/>
    <w:rsid w:val="00996BEA"/>
    <w:rsid w:val="00996F07"/>
    <w:rsid w:val="00996FB0"/>
    <w:rsid w:val="0099714E"/>
    <w:rsid w:val="00997360"/>
    <w:rsid w:val="009973DD"/>
    <w:rsid w:val="00997668"/>
    <w:rsid w:val="00997C99"/>
    <w:rsid w:val="00997EED"/>
    <w:rsid w:val="009A1589"/>
    <w:rsid w:val="009A16DB"/>
    <w:rsid w:val="009A189D"/>
    <w:rsid w:val="009A1A81"/>
    <w:rsid w:val="009A1BC5"/>
    <w:rsid w:val="009A2074"/>
    <w:rsid w:val="009A22E6"/>
    <w:rsid w:val="009A22F3"/>
    <w:rsid w:val="009A2340"/>
    <w:rsid w:val="009A23B4"/>
    <w:rsid w:val="009A27DB"/>
    <w:rsid w:val="009A2E4F"/>
    <w:rsid w:val="009A330A"/>
    <w:rsid w:val="009A332F"/>
    <w:rsid w:val="009A33FB"/>
    <w:rsid w:val="009A367E"/>
    <w:rsid w:val="009A3BC0"/>
    <w:rsid w:val="009A3BC2"/>
    <w:rsid w:val="009A3F3D"/>
    <w:rsid w:val="009A3F63"/>
    <w:rsid w:val="009A4193"/>
    <w:rsid w:val="009A48E3"/>
    <w:rsid w:val="009A4928"/>
    <w:rsid w:val="009A4A25"/>
    <w:rsid w:val="009A511A"/>
    <w:rsid w:val="009A53DB"/>
    <w:rsid w:val="009A56B2"/>
    <w:rsid w:val="009A56BE"/>
    <w:rsid w:val="009A58FC"/>
    <w:rsid w:val="009A5EDA"/>
    <w:rsid w:val="009A66D0"/>
    <w:rsid w:val="009A6E9E"/>
    <w:rsid w:val="009A7434"/>
    <w:rsid w:val="009A76F4"/>
    <w:rsid w:val="009A79E2"/>
    <w:rsid w:val="009A7A77"/>
    <w:rsid w:val="009A7D92"/>
    <w:rsid w:val="009B0066"/>
    <w:rsid w:val="009B0525"/>
    <w:rsid w:val="009B0554"/>
    <w:rsid w:val="009B08DA"/>
    <w:rsid w:val="009B0B44"/>
    <w:rsid w:val="009B14ED"/>
    <w:rsid w:val="009B1821"/>
    <w:rsid w:val="009B1A44"/>
    <w:rsid w:val="009B1D93"/>
    <w:rsid w:val="009B1E78"/>
    <w:rsid w:val="009B205A"/>
    <w:rsid w:val="009B207D"/>
    <w:rsid w:val="009B20BF"/>
    <w:rsid w:val="009B2301"/>
    <w:rsid w:val="009B2BD3"/>
    <w:rsid w:val="009B330B"/>
    <w:rsid w:val="009B3911"/>
    <w:rsid w:val="009B39CD"/>
    <w:rsid w:val="009B3D72"/>
    <w:rsid w:val="009B41A8"/>
    <w:rsid w:val="009B4379"/>
    <w:rsid w:val="009B498B"/>
    <w:rsid w:val="009B5442"/>
    <w:rsid w:val="009B54F3"/>
    <w:rsid w:val="009B5AE8"/>
    <w:rsid w:val="009B5C4F"/>
    <w:rsid w:val="009B66E4"/>
    <w:rsid w:val="009B67BE"/>
    <w:rsid w:val="009B68AB"/>
    <w:rsid w:val="009B6E09"/>
    <w:rsid w:val="009B71B3"/>
    <w:rsid w:val="009B7AFE"/>
    <w:rsid w:val="009B7C38"/>
    <w:rsid w:val="009B7DD4"/>
    <w:rsid w:val="009B7DE5"/>
    <w:rsid w:val="009C008B"/>
    <w:rsid w:val="009C04A9"/>
    <w:rsid w:val="009C0A3D"/>
    <w:rsid w:val="009C0B36"/>
    <w:rsid w:val="009C0E6F"/>
    <w:rsid w:val="009C1602"/>
    <w:rsid w:val="009C1913"/>
    <w:rsid w:val="009C1954"/>
    <w:rsid w:val="009C1B0C"/>
    <w:rsid w:val="009C1B3B"/>
    <w:rsid w:val="009C1CA0"/>
    <w:rsid w:val="009C1DDF"/>
    <w:rsid w:val="009C1E55"/>
    <w:rsid w:val="009C2462"/>
    <w:rsid w:val="009C299E"/>
    <w:rsid w:val="009C2D5E"/>
    <w:rsid w:val="009C2ED1"/>
    <w:rsid w:val="009C2F16"/>
    <w:rsid w:val="009C3050"/>
    <w:rsid w:val="009C3286"/>
    <w:rsid w:val="009C3299"/>
    <w:rsid w:val="009C36C6"/>
    <w:rsid w:val="009C38E3"/>
    <w:rsid w:val="009C41DB"/>
    <w:rsid w:val="009C4391"/>
    <w:rsid w:val="009C44AD"/>
    <w:rsid w:val="009C4598"/>
    <w:rsid w:val="009C4A72"/>
    <w:rsid w:val="009C4BD0"/>
    <w:rsid w:val="009C4BF5"/>
    <w:rsid w:val="009C4E7B"/>
    <w:rsid w:val="009C4E8D"/>
    <w:rsid w:val="009C523D"/>
    <w:rsid w:val="009C6101"/>
    <w:rsid w:val="009C614B"/>
    <w:rsid w:val="009C6382"/>
    <w:rsid w:val="009C68CA"/>
    <w:rsid w:val="009C6A13"/>
    <w:rsid w:val="009C6BA3"/>
    <w:rsid w:val="009C6FB0"/>
    <w:rsid w:val="009C7743"/>
    <w:rsid w:val="009C7894"/>
    <w:rsid w:val="009C7D2B"/>
    <w:rsid w:val="009D0494"/>
    <w:rsid w:val="009D0594"/>
    <w:rsid w:val="009D0EEB"/>
    <w:rsid w:val="009D0F46"/>
    <w:rsid w:val="009D169C"/>
    <w:rsid w:val="009D1708"/>
    <w:rsid w:val="009D1B74"/>
    <w:rsid w:val="009D1DE4"/>
    <w:rsid w:val="009D1FD7"/>
    <w:rsid w:val="009D22B0"/>
    <w:rsid w:val="009D2620"/>
    <w:rsid w:val="009D27A1"/>
    <w:rsid w:val="009D2811"/>
    <w:rsid w:val="009D2AD9"/>
    <w:rsid w:val="009D2BCA"/>
    <w:rsid w:val="009D362A"/>
    <w:rsid w:val="009D364B"/>
    <w:rsid w:val="009D3673"/>
    <w:rsid w:val="009D370B"/>
    <w:rsid w:val="009D38B1"/>
    <w:rsid w:val="009D3C04"/>
    <w:rsid w:val="009D3E22"/>
    <w:rsid w:val="009D4435"/>
    <w:rsid w:val="009D45C4"/>
    <w:rsid w:val="009D496C"/>
    <w:rsid w:val="009D5377"/>
    <w:rsid w:val="009D553C"/>
    <w:rsid w:val="009D57B9"/>
    <w:rsid w:val="009D58D5"/>
    <w:rsid w:val="009D5D30"/>
    <w:rsid w:val="009D60F4"/>
    <w:rsid w:val="009D6418"/>
    <w:rsid w:val="009D654E"/>
    <w:rsid w:val="009D66C9"/>
    <w:rsid w:val="009D69BE"/>
    <w:rsid w:val="009D6DD7"/>
    <w:rsid w:val="009D6E30"/>
    <w:rsid w:val="009D70D1"/>
    <w:rsid w:val="009D79E6"/>
    <w:rsid w:val="009D7A1E"/>
    <w:rsid w:val="009D7FC6"/>
    <w:rsid w:val="009E0259"/>
    <w:rsid w:val="009E0668"/>
    <w:rsid w:val="009E069E"/>
    <w:rsid w:val="009E0BDD"/>
    <w:rsid w:val="009E0E33"/>
    <w:rsid w:val="009E0FCA"/>
    <w:rsid w:val="009E1000"/>
    <w:rsid w:val="009E1169"/>
    <w:rsid w:val="009E15DE"/>
    <w:rsid w:val="009E1600"/>
    <w:rsid w:val="009E1826"/>
    <w:rsid w:val="009E1951"/>
    <w:rsid w:val="009E1C07"/>
    <w:rsid w:val="009E1D1D"/>
    <w:rsid w:val="009E1FE5"/>
    <w:rsid w:val="009E2423"/>
    <w:rsid w:val="009E248D"/>
    <w:rsid w:val="009E318C"/>
    <w:rsid w:val="009E378A"/>
    <w:rsid w:val="009E40A1"/>
    <w:rsid w:val="009E424E"/>
    <w:rsid w:val="009E4700"/>
    <w:rsid w:val="009E4923"/>
    <w:rsid w:val="009E4C53"/>
    <w:rsid w:val="009E4C6A"/>
    <w:rsid w:val="009E4D8F"/>
    <w:rsid w:val="009E4F95"/>
    <w:rsid w:val="009E5180"/>
    <w:rsid w:val="009E528D"/>
    <w:rsid w:val="009E58C5"/>
    <w:rsid w:val="009E5A13"/>
    <w:rsid w:val="009E5A36"/>
    <w:rsid w:val="009E5A43"/>
    <w:rsid w:val="009E653C"/>
    <w:rsid w:val="009E6795"/>
    <w:rsid w:val="009E67E7"/>
    <w:rsid w:val="009E6A76"/>
    <w:rsid w:val="009E6BF8"/>
    <w:rsid w:val="009E6DD2"/>
    <w:rsid w:val="009E6E23"/>
    <w:rsid w:val="009E6E75"/>
    <w:rsid w:val="009E6F22"/>
    <w:rsid w:val="009E70D0"/>
    <w:rsid w:val="009E7602"/>
    <w:rsid w:val="009E788F"/>
    <w:rsid w:val="009E7CAB"/>
    <w:rsid w:val="009E7D45"/>
    <w:rsid w:val="009F0410"/>
    <w:rsid w:val="009F089F"/>
    <w:rsid w:val="009F10F2"/>
    <w:rsid w:val="009F132C"/>
    <w:rsid w:val="009F140F"/>
    <w:rsid w:val="009F1458"/>
    <w:rsid w:val="009F16C0"/>
    <w:rsid w:val="009F17C6"/>
    <w:rsid w:val="009F18A0"/>
    <w:rsid w:val="009F1E2A"/>
    <w:rsid w:val="009F24F4"/>
    <w:rsid w:val="009F2830"/>
    <w:rsid w:val="009F286F"/>
    <w:rsid w:val="009F2944"/>
    <w:rsid w:val="009F2B79"/>
    <w:rsid w:val="009F2C51"/>
    <w:rsid w:val="009F2E28"/>
    <w:rsid w:val="009F2F47"/>
    <w:rsid w:val="009F30F4"/>
    <w:rsid w:val="009F3A69"/>
    <w:rsid w:val="009F4306"/>
    <w:rsid w:val="009F43AC"/>
    <w:rsid w:val="009F4623"/>
    <w:rsid w:val="009F4693"/>
    <w:rsid w:val="009F4737"/>
    <w:rsid w:val="009F4B8C"/>
    <w:rsid w:val="009F4FC3"/>
    <w:rsid w:val="009F5656"/>
    <w:rsid w:val="009F5A9C"/>
    <w:rsid w:val="009F5BC5"/>
    <w:rsid w:val="009F5EB4"/>
    <w:rsid w:val="009F6032"/>
    <w:rsid w:val="009F65BD"/>
    <w:rsid w:val="009F6970"/>
    <w:rsid w:val="009F6A2F"/>
    <w:rsid w:val="009F6A3F"/>
    <w:rsid w:val="009F6AF5"/>
    <w:rsid w:val="009F6CB1"/>
    <w:rsid w:val="009F6CB4"/>
    <w:rsid w:val="009F6CD2"/>
    <w:rsid w:val="009F731F"/>
    <w:rsid w:val="009F73DF"/>
    <w:rsid w:val="009F751D"/>
    <w:rsid w:val="009F760D"/>
    <w:rsid w:val="009F7ACB"/>
    <w:rsid w:val="009F7C6D"/>
    <w:rsid w:val="009F7F1E"/>
    <w:rsid w:val="00A000B8"/>
    <w:rsid w:val="00A0016E"/>
    <w:rsid w:val="00A00531"/>
    <w:rsid w:val="00A00B61"/>
    <w:rsid w:val="00A00BA5"/>
    <w:rsid w:val="00A00D72"/>
    <w:rsid w:val="00A00DF1"/>
    <w:rsid w:val="00A00EF2"/>
    <w:rsid w:val="00A017EB"/>
    <w:rsid w:val="00A0222A"/>
    <w:rsid w:val="00A03007"/>
    <w:rsid w:val="00A0306A"/>
    <w:rsid w:val="00A031C7"/>
    <w:rsid w:val="00A0352D"/>
    <w:rsid w:val="00A037B0"/>
    <w:rsid w:val="00A03F22"/>
    <w:rsid w:val="00A04609"/>
    <w:rsid w:val="00A04B86"/>
    <w:rsid w:val="00A04BE7"/>
    <w:rsid w:val="00A04F43"/>
    <w:rsid w:val="00A05021"/>
    <w:rsid w:val="00A051C1"/>
    <w:rsid w:val="00A052F4"/>
    <w:rsid w:val="00A054F9"/>
    <w:rsid w:val="00A056E2"/>
    <w:rsid w:val="00A05C8F"/>
    <w:rsid w:val="00A05D08"/>
    <w:rsid w:val="00A0622A"/>
    <w:rsid w:val="00A06290"/>
    <w:rsid w:val="00A067FE"/>
    <w:rsid w:val="00A069F9"/>
    <w:rsid w:val="00A06B54"/>
    <w:rsid w:val="00A071C8"/>
    <w:rsid w:val="00A0798F"/>
    <w:rsid w:val="00A07AD4"/>
    <w:rsid w:val="00A07EB5"/>
    <w:rsid w:val="00A10036"/>
    <w:rsid w:val="00A1060D"/>
    <w:rsid w:val="00A10EFE"/>
    <w:rsid w:val="00A1179E"/>
    <w:rsid w:val="00A11D5B"/>
    <w:rsid w:val="00A11F66"/>
    <w:rsid w:val="00A1228A"/>
    <w:rsid w:val="00A122FB"/>
    <w:rsid w:val="00A1236B"/>
    <w:rsid w:val="00A12721"/>
    <w:rsid w:val="00A12AB5"/>
    <w:rsid w:val="00A12CE5"/>
    <w:rsid w:val="00A12E45"/>
    <w:rsid w:val="00A1390A"/>
    <w:rsid w:val="00A140AA"/>
    <w:rsid w:val="00A14296"/>
    <w:rsid w:val="00A143BC"/>
    <w:rsid w:val="00A145B9"/>
    <w:rsid w:val="00A14672"/>
    <w:rsid w:val="00A148F3"/>
    <w:rsid w:val="00A148FD"/>
    <w:rsid w:val="00A14A89"/>
    <w:rsid w:val="00A14BBF"/>
    <w:rsid w:val="00A1506E"/>
    <w:rsid w:val="00A1521C"/>
    <w:rsid w:val="00A154BF"/>
    <w:rsid w:val="00A15680"/>
    <w:rsid w:val="00A156E9"/>
    <w:rsid w:val="00A15A89"/>
    <w:rsid w:val="00A15E8B"/>
    <w:rsid w:val="00A15FB9"/>
    <w:rsid w:val="00A16066"/>
    <w:rsid w:val="00A16106"/>
    <w:rsid w:val="00A162B4"/>
    <w:rsid w:val="00A164A4"/>
    <w:rsid w:val="00A1666F"/>
    <w:rsid w:val="00A16870"/>
    <w:rsid w:val="00A16DE6"/>
    <w:rsid w:val="00A17087"/>
    <w:rsid w:val="00A171DE"/>
    <w:rsid w:val="00A173EC"/>
    <w:rsid w:val="00A17A85"/>
    <w:rsid w:val="00A17BEA"/>
    <w:rsid w:val="00A17F9A"/>
    <w:rsid w:val="00A2001B"/>
    <w:rsid w:val="00A205C7"/>
    <w:rsid w:val="00A205EF"/>
    <w:rsid w:val="00A209C3"/>
    <w:rsid w:val="00A20DEE"/>
    <w:rsid w:val="00A20E61"/>
    <w:rsid w:val="00A20EE4"/>
    <w:rsid w:val="00A21046"/>
    <w:rsid w:val="00A214F5"/>
    <w:rsid w:val="00A2159D"/>
    <w:rsid w:val="00A21618"/>
    <w:rsid w:val="00A21800"/>
    <w:rsid w:val="00A21D85"/>
    <w:rsid w:val="00A21DAE"/>
    <w:rsid w:val="00A21FBE"/>
    <w:rsid w:val="00A220DA"/>
    <w:rsid w:val="00A22312"/>
    <w:rsid w:val="00A225F0"/>
    <w:rsid w:val="00A22898"/>
    <w:rsid w:val="00A22D4C"/>
    <w:rsid w:val="00A23154"/>
    <w:rsid w:val="00A23AC5"/>
    <w:rsid w:val="00A23B4B"/>
    <w:rsid w:val="00A23C40"/>
    <w:rsid w:val="00A23DD8"/>
    <w:rsid w:val="00A23E3D"/>
    <w:rsid w:val="00A2407C"/>
    <w:rsid w:val="00A245A7"/>
    <w:rsid w:val="00A24834"/>
    <w:rsid w:val="00A248BF"/>
    <w:rsid w:val="00A24E05"/>
    <w:rsid w:val="00A24E32"/>
    <w:rsid w:val="00A24F3E"/>
    <w:rsid w:val="00A24FF5"/>
    <w:rsid w:val="00A25039"/>
    <w:rsid w:val="00A250F5"/>
    <w:rsid w:val="00A252BF"/>
    <w:rsid w:val="00A254F0"/>
    <w:rsid w:val="00A256A1"/>
    <w:rsid w:val="00A25715"/>
    <w:rsid w:val="00A25AC0"/>
    <w:rsid w:val="00A26125"/>
    <w:rsid w:val="00A2655F"/>
    <w:rsid w:val="00A2656A"/>
    <w:rsid w:val="00A2677C"/>
    <w:rsid w:val="00A268AB"/>
    <w:rsid w:val="00A26A60"/>
    <w:rsid w:val="00A26DF6"/>
    <w:rsid w:val="00A26FF0"/>
    <w:rsid w:val="00A27082"/>
    <w:rsid w:val="00A27583"/>
    <w:rsid w:val="00A27BAF"/>
    <w:rsid w:val="00A27CBC"/>
    <w:rsid w:val="00A302FC"/>
    <w:rsid w:val="00A30311"/>
    <w:rsid w:val="00A30486"/>
    <w:rsid w:val="00A30A6A"/>
    <w:rsid w:val="00A30A89"/>
    <w:rsid w:val="00A30AF8"/>
    <w:rsid w:val="00A30FAC"/>
    <w:rsid w:val="00A31607"/>
    <w:rsid w:val="00A31D48"/>
    <w:rsid w:val="00A31E22"/>
    <w:rsid w:val="00A31EEA"/>
    <w:rsid w:val="00A321F7"/>
    <w:rsid w:val="00A32219"/>
    <w:rsid w:val="00A324B5"/>
    <w:rsid w:val="00A3262D"/>
    <w:rsid w:val="00A32949"/>
    <w:rsid w:val="00A32A89"/>
    <w:rsid w:val="00A32B70"/>
    <w:rsid w:val="00A32D61"/>
    <w:rsid w:val="00A32E06"/>
    <w:rsid w:val="00A33138"/>
    <w:rsid w:val="00A333C5"/>
    <w:rsid w:val="00A3386A"/>
    <w:rsid w:val="00A33A5C"/>
    <w:rsid w:val="00A33A9B"/>
    <w:rsid w:val="00A33B69"/>
    <w:rsid w:val="00A33F56"/>
    <w:rsid w:val="00A3421B"/>
    <w:rsid w:val="00A34368"/>
    <w:rsid w:val="00A3444D"/>
    <w:rsid w:val="00A353D9"/>
    <w:rsid w:val="00A3564C"/>
    <w:rsid w:val="00A35693"/>
    <w:rsid w:val="00A3587E"/>
    <w:rsid w:val="00A35B1F"/>
    <w:rsid w:val="00A35BE0"/>
    <w:rsid w:val="00A35C88"/>
    <w:rsid w:val="00A36090"/>
    <w:rsid w:val="00A364DD"/>
    <w:rsid w:val="00A36642"/>
    <w:rsid w:val="00A367B8"/>
    <w:rsid w:val="00A36B63"/>
    <w:rsid w:val="00A37071"/>
    <w:rsid w:val="00A37116"/>
    <w:rsid w:val="00A374E2"/>
    <w:rsid w:val="00A37721"/>
    <w:rsid w:val="00A37DAB"/>
    <w:rsid w:val="00A37F29"/>
    <w:rsid w:val="00A40382"/>
    <w:rsid w:val="00A40599"/>
    <w:rsid w:val="00A40A39"/>
    <w:rsid w:val="00A41536"/>
    <w:rsid w:val="00A41B45"/>
    <w:rsid w:val="00A41B50"/>
    <w:rsid w:val="00A41B5C"/>
    <w:rsid w:val="00A4257B"/>
    <w:rsid w:val="00A42C35"/>
    <w:rsid w:val="00A42DFB"/>
    <w:rsid w:val="00A4328D"/>
    <w:rsid w:val="00A4376A"/>
    <w:rsid w:val="00A43798"/>
    <w:rsid w:val="00A437E4"/>
    <w:rsid w:val="00A43A07"/>
    <w:rsid w:val="00A43CE9"/>
    <w:rsid w:val="00A43FFC"/>
    <w:rsid w:val="00A441EF"/>
    <w:rsid w:val="00A44227"/>
    <w:rsid w:val="00A44256"/>
    <w:rsid w:val="00A44CAD"/>
    <w:rsid w:val="00A450C5"/>
    <w:rsid w:val="00A452B5"/>
    <w:rsid w:val="00A453B0"/>
    <w:rsid w:val="00A45ED4"/>
    <w:rsid w:val="00A461C5"/>
    <w:rsid w:val="00A4661B"/>
    <w:rsid w:val="00A467E4"/>
    <w:rsid w:val="00A46969"/>
    <w:rsid w:val="00A46EFE"/>
    <w:rsid w:val="00A46F94"/>
    <w:rsid w:val="00A471C4"/>
    <w:rsid w:val="00A47450"/>
    <w:rsid w:val="00A47547"/>
    <w:rsid w:val="00A47581"/>
    <w:rsid w:val="00A4760E"/>
    <w:rsid w:val="00A47C07"/>
    <w:rsid w:val="00A47E82"/>
    <w:rsid w:val="00A503CC"/>
    <w:rsid w:val="00A50494"/>
    <w:rsid w:val="00A508F2"/>
    <w:rsid w:val="00A50956"/>
    <w:rsid w:val="00A50C24"/>
    <w:rsid w:val="00A510C1"/>
    <w:rsid w:val="00A515B5"/>
    <w:rsid w:val="00A52104"/>
    <w:rsid w:val="00A52417"/>
    <w:rsid w:val="00A52472"/>
    <w:rsid w:val="00A527E4"/>
    <w:rsid w:val="00A52961"/>
    <w:rsid w:val="00A53313"/>
    <w:rsid w:val="00A5340E"/>
    <w:rsid w:val="00A534D7"/>
    <w:rsid w:val="00A53DA7"/>
    <w:rsid w:val="00A53E63"/>
    <w:rsid w:val="00A54013"/>
    <w:rsid w:val="00A54072"/>
    <w:rsid w:val="00A54426"/>
    <w:rsid w:val="00A5562A"/>
    <w:rsid w:val="00A556C4"/>
    <w:rsid w:val="00A558ED"/>
    <w:rsid w:val="00A56405"/>
    <w:rsid w:val="00A564F3"/>
    <w:rsid w:val="00A56A2B"/>
    <w:rsid w:val="00A5703C"/>
    <w:rsid w:val="00A577DC"/>
    <w:rsid w:val="00A57A06"/>
    <w:rsid w:val="00A600D2"/>
    <w:rsid w:val="00A606F3"/>
    <w:rsid w:val="00A6081D"/>
    <w:rsid w:val="00A60B37"/>
    <w:rsid w:val="00A60EB4"/>
    <w:rsid w:val="00A6134C"/>
    <w:rsid w:val="00A6156F"/>
    <w:rsid w:val="00A61711"/>
    <w:rsid w:val="00A618C1"/>
    <w:rsid w:val="00A61C41"/>
    <w:rsid w:val="00A629B8"/>
    <w:rsid w:val="00A629C5"/>
    <w:rsid w:val="00A62A0B"/>
    <w:rsid w:val="00A62A9F"/>
    <w:rsid w:val="00A62D0E"/>
    <w:rsid w:val="00A62F19"/>
    <w:rsid w:val="00A63102"/>
    <w:rsid w:val="00A63633"/>
    <w:rsid w:val="00A6369B"/>
    <w:rsid w:val="00A639F3"/>
    <w:rsid w:val="00A63B54"/>
    <w:rsid w:val="00A63CD9"/>
    <w:rsid w:val="00A63E78"/>
    <w:rsid w:val="00A63F33"/>
    <w:rsid w:val="00A6417A"/>
    <w:rsid w:val="00A64514"/>
    <w:rsid w:val="00A64C46"/>
    <w:rsid w:val="00A651A3"/>
    <w:rsid w:val="00A65246"/>
    <w:rsid w:val="00A6526A"/>
    <w:rsid w:val="00A6557E"/>
    <w:rsid w:val="00A65BFE"/>
    <w:rsid w:val="00A65CC8"/>
    <w:rsid w:val="00A65FF9"/>
    <w:rsid w:val="00A661CD"/>
    <w:rsid w:val="00A662CF"/>
    <w:rsid w:val="00A663FA"/>
    <w:rsid w:val="00A66881"/>
    <w:rsid w:val="00A66ADE"/>
    <w:rsid w:val="00A66E6F"/>
    <w:rsid w:val="00A66EAD"/>
    <w:rsid w:val="00A6735F"/>
    <w:rsid w:val="00A67391"/>
    <w:rsid w:val="00A674BD"/>
    <w:rsid w:val="00A67519"/>
    <w:rsid w:val="00A67EED"/>
    <w:rsid w:val="00A7059A"/>
    <w:rsid w:val="00A705C9"/>
    <w:rsid w:val="00A70B75"/>
    <w:rsid w:val="00A70D59"/>
    <w:rsid w:val="00A70E69"/>
    <w:rsid w:val="00A7102E"/>
    <w:rsid w:val="00A710D1"/>
    <w:rsid w:val="00A712F3"/>
    <w:rsid w:val="00A71353"/>
    <w:rsid w:val="00A71370"/>
    <w:rsid w:val="00A713A3"/>
    <w:rsid w:val="00A7199C"/>
    <w:rsid w:val="00A7239F"/>
    <w:rsid w:val="00A72FD0"/>
    <w:rsid w:val="00A7367C"/>
    <w:rsid w:val="00A73FC8"/>
    <w:rsid w:val="00A74A9C"/>
    <w:rsid w:val="00A74B2C"/>
    <w:rsid w:val="00A74E29"/>
    <w:rsid w:val="00A74EA5"/>
    <w:rsid w:val="00A74FF7"/>
    <w:rsid w:val="00A75467"/>
    <w:rsid w:val="00A7570D"/>
    <w:rsid w:val="00A75817"/>
    <w:rsid w:val="00A75843"/>
    <w:rsid w:val="00A760A9"/>
    <w:rsid w:val="00A763AA"/>
    <w:rsid w:val="00A76769"/>
    <w:rsid w:val="00A76AD1"/>
    <w:rsid w:val="00A76ED0"/>
    <w:rsid w:val="00A77147"/>
    <w:rsid w:val="00A77214"/>
    <w:rsid w:val="00A7745E"/>
    <w:rsid w:val="00A7774B"/>
    <w:rsid w:val="00A7785C"/>
    <w:rsid w:val="00A800C6"/>
    <w:rsid w:val="00A80311"/>
    <w:rsid w:val="00A804A8"/>
    <w:rsid w:val="00A805AA"/>
    <w:rsid w:val="00A80756"/>
    <w:rsid w:val="00A80863"/>
    <w:rsid w:val="00A808CD"/>
    <w:rsid w:val="00A8093C"/>
    <w:rsid w:val="00A809A8"/>
    <w:rsid w:val="00A80F4F"/>
    <w:rsid w:val="00A81159"/>
    <w:rsid w:val="00A815C4"/>
    <w:rsid w:val="00A81616"/>
    <w:rsid w:val="00A8173C"/>
    <w:rsid w:val="00A81793"/>
    <w:rsid w:val="00A81B47"/>
    <w:rsid w:val="00A81F5E"/>
    <w:rsid w:val="00A820C6"/>
    <w:rsid w:val="00A821E5"/>
    <w:rsid w:val="00A821FA"/>
    <w:rsid w:val="00A8245F"/>
    <w:rsid w:val="00A82604"/>
    <w:rsid w:val="00A82B21"/>
    <w:rsid w:val="00A82EE8"/>
    <w:rsid w:val="00A82F16"/>
    <w:rsid w:val="00A832A8"/>
    <w:rsid w:val="00A8365E"/>
    <w:rsid w:val="00A83EDF"/>
    <w:rsid w:val="00A846A3"/>
    <w:rsid w:val="00A84B2C"/>
    <w:rsid w:val="00A8512F"/>
    <w:rsid w:val="00A85852"/>
    <w:rsid w:val="00A85B55"/>
    <w:rsid w:val="00A85CA4"/>
    <w:rsid w:val="00A85CFF"/>
    <w:rsid w:val="00A86104"/>
    <w:rsid w:val="00A86450"/>
    <w:rsid w:val="00A86718"/>
    <w:rsid w:val="00A8677E"/>
    <w:rsid w:val="00A8692D"/>
    <w:rsid w:val="00A86B31"/>
    <w:rsid w:val="00A86D83"/>
    <w:rsid w:val="00A87092"/>
    <w:rsid w:val="00A870D2"/>
    <w:rsid w:val="00A87209"/>
    <w:rsid w:val="00A87B1B"/>
    <w:rsid w:val="00A9006E"/>
    <w:rsid w:val="00A900D6"/>
    <w:rsid w:val="00A903E8"/>
    <w:rsid w:val="00A9058E"/>
    <w:rsid w:val="00A9071A"/>
    <w:rsid w:val="00A90788"/>
    <w:rsid w:val="00A90C51"/>
    <w:rsid w:val="00A9116C"/>
    <w:rsid w:val="00A91296"/>
    <w:rsid w:val="00A915B8"/>
    <w:rsid w:val="00A917FA"/>
    <w:rsid w:val="00A91EA0"/>
    <w:rsid w:val="00A920C4"/>
    <w:rsid w:val="00A927FB"/>
    <w:rsid w:val="00A928EC"/>
    <w:rsid w:val="00A92ABB"/>
    <w:rsid w:val="00A92B16"/>
    <w:rsid w:val="00A92BF2"/>
    <w:rsid w:val="00A93497"/>
    <w:rsid w:val="00A93618"/>
    <w:rsid w:val="00A937DF"/>
    <w:rsid w:val="00A93BF2"/>
    <w:rsid w:val="00A93DD3"/>
    <w:rsid w:val="00A93E36"/>
    <w:rsid w:val="00A940C7"/>
    <w:rsid w:val="00A94561"/>
    <w:rsid w:val="00A9488D"/>
    <w:rsid w:val="00A94B98"/>
    <w:rsid w:val="00A94F13"/>
    <w:rsid w:val="00A953D5"/>
    <w:rsid w:val="00A954D9"/>
    <w:rsid w:val="00A955D5"/>
    <w:rsid w:val="00A95A6E"/>
    <w:rsid w:val="00A9662A"/>
    <w:rsid w:val="00A9691A"/>
    <w:rsid w:val="00A96986"/>
    <w:rsid w:val="00A9725F"/>
    <w:rsid w:val="00A973C5"/>
    <w:rsid w:val="00A973EF"/>
    <w:rsid w:val="00A9767D"/>
    <w:rsid w:val="00A97B89"/>
    <w:rsid w:val="00A97C5E"/>
    <w:rsid w:val="00AA06C5"/>
    <w:rsid w:val="00AA09D6"/>
    <w:rsid w:val="00AA0A89"/>
    <w:rsid w:val="00AA11CE"/>
    <w:rsid w:val="00AA1318"/>
    <w:rsid w:val="00AA1912"/>
    <w:rsid w:val="00AA1D04"/>
    <w:rsid w:val="00AA1D91"/>
    <w:rsid w:val="00AA1F95"/>
    <w:rsid w:val="00AA2336"/>
    <w:rsid w:val="00AA2486"/>
    <w:rsid w:val="00AA2608"/>
    <w:rsid w:val="00AA28D5"/>
    <w:rsid w:val="00AA2A9C"/>
    <w:rsid w:val="00AA2EB6"/>
    <w:rsid w:val="00AA2FB7"/>
    <w:rsid w:val="00AA32C5"/>
    <w:rsid w:val="00AA3686"/>
    <w:rsid w:val="00AA3C5A"/>
    <w:rsid w:val="00AA3FA4"/>
    <w:rsid w:val="00AA43C5"/>
    <w:rsid w:val="00AA4793"/>
    <w:rsid w:val="00AA498B"/>
    <w:rsid w:val="00AA4B75"/>
    <w:rsid w:val="00AA4C16"/>
    <w:rsid w:val="00AA4F33"/>
    <w:rsid w:val="00AA4F4F"/>
    <w:rsid w:val="00AA4F83"/>
    <w:rsid w:val="00AA5718"/>
    <w:rsid w:val="00AA581B"/>
    <w:rsid w:val="00AA59C1"/>
    <w:rsid w:val="00AA5A86"/>
    <w:rsid w:val="00AA5B0E"/>
    <w:rsid w:val="00AA5E63"/>
    <w:rsid w:val="00AA5F6A"/>
    <w:rsid w:val="00AA5FCD"/>
    <w:rsid w:val="00AA6517"/>
    <w:rsid w:val="00AA6D93"/>
    <w:rsid w:val="00AA73E0"/>
    <w:rsid w:val="00AA7B76"/>
    <w:rsid w:val="00AB022A"/>
    <w:rsid w:val="00AB0402"/>
    <w:rsid w:val="00AB046D"/>
    <w:rsid w:val="00AB06FC"/>
    <w:rsid w:val="00AB0731"/>
    <w:rsid w:val="00AB0CC9"/>
    <w:rsid w:val="00AB1258"/>
    <w:rsid w:val="00AB1696"/>
    <w:rsid w:val="00AB1736"/>
    <w:rsid w:val="00AB1A05"/>
    <w:rsid w:val="00AB1D1D"/>
    <w:rsid w:val="00AB2257"/>
    <w:rsid w:val="00AB2889"/>
    <w:rsid w:val="00AB2BEE"/>
    <w:rsid w:val="00AB3425"/>
    <w:rsid w:val="00AB350C"/>
    <w:rsid w:val="00AB3C78"/>
    <w:rsid w:val="00AB3D76"/>
    <w:rsid w:val="00AB3EDE"/>
    <w:rsid w:val="00AB44C9"/>
    <w:rsid w:val="00AB472F"/>
    <w:rsid w:val="00AB477A"/>
    <w:rsid w:val="00AB4AB0"/>
    <w:rsid w:val="00AB4CB9"/>
    <w:rsid w:val="00AB4DDB"/>
    <w:rsid w:val="00AB4EE5"/>
    <w:rsid w:val="00AB4F33"/>
    <w:rsid w:val="00AB539C"/>
    <w:rsid w:val="00AB5604"/>
    <w:rsid w:val="00AB5A79"/>
    <w:rsid w:val="00AB5D33"/>
    <w:rsid w:val="00AB6F0D"/>
    <w:rsid w:val="00AB6F40"/>
    <w:rsid w:val="00AB7128"/>
    <w:rsid w:val="00AB71AE"/>
    <w:rsid w:val="00AB7580"/>
    <w:rsid w:val="00AB759C"/>
    <w:rsid w:val="00AB7748"/>
    <w:rsid w:val="00AB7D0A"/>
    <w:rsid w:val="00AB7E2A"/>
    <w:rsid w:val="00AB7F83"/>
    <w:rsid w:val="00AC069F"/>
    <w:rsid w:val="00AC0A26"/>
    <w:rsid w:val="00AC0DC3"/>
    <w:rsid w:val="00AC0DE6"/>
    <w:rsid w:val="00AC0F75"/>
    <w:rsid w:val="00AC1359"/>
    <w:rsid w:val="00AC13B4"/>
    <w:rsid w:val="00AC16AF"/>
    <w:rsid w:val="00AC16FD"/>
    <w:rsid w:val="00AC1AA3"/>
    <w:rsid w:val="00AC1D2F"/>
    <w:rsid w:val="00AC1E57"/>
    <w:rsid w:val="00AC1FB4"/>
    <w:rsid w:val="00AC234A"/>
    <w:rsid w:val="00AC2780"/>
    <w:rsid w:val="00AC3154"/>
    <w:rsid w:val="00AC352E"/>
    <w:rsid w:val="00AC3DBE"/>
    <w:rsid w:val="00AC3E83"/>
    <w:rsid w:val="00AC3F43"/>
    <w:rsid w:val="00AC415F"/>
    <w:rsid w:val="00AC42D9"/>
    <w:rsid w:val="00AC4307"/>
    <w:rsid w:val="00AC47D2"/>
    <w:rsid w:val="00AC4AAB"/>
    <w:rsid w:val="00AC54AA"/>
    <w:rsid w:val="00AC5C33"/>
    <w:rsid w:val="00AC5C6B"/>
    <w:rsid w:val="00AC5F70"/>
    <w:rsid w:val="00AC697B"/>
    <w:rsid w:val="00AC6EDD"/>
    <w:rsid w:val="00AC756D"/>
    <w:rsid w:val="00AC772F"/>
    <w:rsid w:val="00AC7C66"/>
    <w:rsid w:val="00AC7E18"/>
    <w:rsid w:val="00AC7E71"/>
    <w:rsid w:val="00AD0FC4"/>
    <w:rsid w:val="00AD1031"/>
    <w:rsid w:val="00AD106A"/>
    <w:rsid w:val="00AD1777"/>
    <w:rsid w:val="00AD1867"/>
    <w:rsid w:val="00AD1AA9"/>
    <w:rsid w:val="00AD1C4C"/>
    <w:rsid w:val="00AD1E6E"/>
    <w:rsid w:val="00AD1F54"/>
    <w:rsid w:val="00AD2664"/>
    <w:rsid w:val="00AD3087"/>
    <w:rsid w:val="00AD3130"/>
    <w:rsid w:val="00AD3409"/>
    <w:rsid w:val="00AD34C1"/>
    <w:rsid w:val="00AD37DF"/>
    <w:rsid w:val="00AD3930"/>
    <w:rsid w:val="00AD39E4"/>
    <w:rsid w:val="00AD3A31"/>
    <w:rsid w:val="00AD3DC3"/>
    <w:rsid w:val="00AD4774"/>
    <w:rsid w:val="00AD48E5"/>
    <w:rsid w:val="00AD52CA"/>
    <w:rsid w:val="00AD54F7"/>
    <w:rsid w:val="00AD59A6"/>
    <w:rsid w:val="00AD5D0A"/>
    <w:rsid w:val="00AD5F39"/>
    <w:rsid w:val="00AD62B3"/>
    <w:rsid w:val="00AD67F3"/>
    <w:rsid w:val="00AD6B9C"/>
    <w:rsid w:val="00AD6C01"/>
    <w:rsid w:val="00AD7051"/>
    <w:rsid w:val="00AD7264"/>
    <w:rsid w:val="00AD7390"/>
    <w:rsid w:val="00AD7403"/>
    <w:rsid w:val="00AD792E"/>
    <w:rsid w:val="00AD79DA"/>
    <w:rsid w:val="00AD7B53"/>
    <w:rsid w:val="00AD7B85"/>
    <w:rsid w:val="00AD7D25"/>
    <w:rsid w:val="00AE01D7"/>
    <w:rsid w:val="00AE0224"/>
    <w:rsid w:val="00AE02EF"/>
    <w:rsid w:val="00AE0351"/>
    <w:rsid w:val="00AE0475"/>
    <w:rsid w:val="00AE0535"/>
    <w:rsid w:val="00AE07CF"/>
    <w:rsid w:val="00AE0CEF"/>
    <w:rsid w:val="00AE0E38"/>
    <w:rsid w:val="00AE10E8"/>
    <w:rsid w:val="00AE136C"/>
    <w:rsid w:val="00AE145D"/>
    <w:rsid w:val="00AE1668"/>
    <w:rsid w:val="00AE173A"/>
    <w:rsid w:val="00AE1911"/>
    <w:rsid w:val="00AE1A22"/>
    <w:rsid w:val="00AE1C5A"/>
    <w:rsid w:val="00AE1D7C"/>
    <w:rsid w:val="00AE1F1D"/>
    <w:rsid w:val="00AE1FDA"/>
    <w:rsid w:val="00AE21D1"/>
    <w:rsid w:val="00AE2361"/>
    <w:rsid w:val="00AE297B"/>
    <w:rsid w:val="00AE2FAD"/>
    <w:rsid w:val="00AE3710"/>
    <w:rsid w:val="00AE3728"/>
    <w:rsid w:val="00AE3A02"/>
    <w:rsid w:val="00AE3ABB"/>
    <w:rsid w:val="00AE3AE6"/>
    <w:rsid w:val="00AE4144"/>
    <w:rsid w:val="00AE46AF"/>
    <w:rsid w:val="00AE4C34"/>
    <w:rsid w:val="00AE4EB7"/>
    <w:rsid w:val="00AE4EF0"/>
    <w:rsid w:val="00AE513E"/>
    <w:rsid w:val="00AE5344"/>
    <w:rsid w:val="00AE538A"/>
    <w:rsid w:val="00AE5520"/>
    <w:rsid w:val="00AE5775"/>
    <w:rsid w:val="00AE5874"/>
    <w:rsid w:val="00AE58D5"/>
    <w:rsid w:val="00AE5939"/>
    <w:rsid w:val="00AE5DB5"/>
    <w:rsid w:val="00AE5DCC"/>
    <w:rsid w:val="00AE64AE"/>
    <w:rsid w:val="00AE6686"/>
    <w:rsid w:val="00AE68C9"/>
    <w:rsid w:val="00AE690A"/>
    <w:rsid w:val="00AE6A10"/>
    <w:rsid w:val="00AE6D9F"/>
    <w:rsid w:val="00AE6FA0"/>
    <w:rsid w:val="00AE709C"/>
    <w:rsid w:val="00AE748C"/>
    <w:rsid w:val="00AE7645"/>
    <w:rsid w:val="00AE7B35"/>
    <w:rsid w:val="00AF0393"/>
    <w:rsid w:val="00AF04EB"/>
    <w:rsid w:val="00AF062C"/>
    <w:rsid w:val="00AF07C0"/>
    <w:rsid w:val="00AF0B77"/>
    <w:rsid w:val="00AF1112"/>
    <w:rsid w:val="00AF19F7"/>
    <w:rsid w:val="00AF1C3E"/>
    <w:rsid w:val="00AF1DC6"/>
    <w:rsid w:val="00AF1E02"/>
    <w:rsid w:val="00AF228E"/>
    <w:rsid w:val="00AF2297"/>
    <w:rsid w:val="00AF254C"/>
    <w:rsid w:val="00AF2735"/>
    <w:rsid w:val="00AF2A51"/>
    <w:rsid w:val="00AF2AB4"/>
    <w:rsid w:val="00AF2F5C"/>
    <w:rsid w:val="00AF2FBF"/>
    <w:rsid w:val="00AF332D"/>
    <w:rsid w:val="00AF3712"/>
    <w:rsid w:val="00AF375D"/>
    <w:rsid w:val="00AF3852"/>
    <w:rsid w:val="00AF3964"/>
    <w:rsid w:val="00AF3C36"/>
    <w:rsid w:val="00AF3CBB"/>
    <w:rsid w:val="00AF3ECF"/>
    <w:rsid w:val="00AF4257"/>
    <w:rsid w:val="00AF4616"/>
    <w:rsid w:val="00AF49D3"/>
    <w:rsid w:val="00AF49E5"/>
    <w:rsid w:val="00AF4CAB"/>
    <w:rsid w:val="00AF502F"/>
    <w:rsid w:val="00AF518A"/>
    <w:rsid w:val="00AF5426"/>
    <w:rsid w:val="00AF56F8"/>
    <w:rsid w:val="00AF5BB0"/>
    <w:rsid w:val="00AF5D7D"/>
    <w:rsid w:val="00AF5D7E"/>
    <w:rsid w:val="00AF5F6F"/>
    <w:rsid w:val="00AF6022"/>
    <w:rsid w:val="00AF66DC"/>
    <w:rsid w:val="00AF67D1"/>
    <w:rsid w:val="00AF68F2"/>
    <w:rsid w:val="00AF6ABB"/>
    <w:rsid w:val="00AF73CA"/>
    <w:rsid w:val="00AF73F7"/>
    <w:rsid w:val="00AF754C"/>
    <w:rsid w:val="00AF7B25"/>
    <w:rsid w:val="00AF7BDB"/>
    <w:rsid w:val="00AF7F73"/>
    <w:rsid w:val="00B00657"/>
    <w:rsid w:val="00B009E1"/>
    <w:rsid w:val="00B00EBF"/>
    <w:rsid w:val="00B00F37"/>
    <w:rsid w:val="00B0117B"/>
    <w:rsid w:val="00B01394"/>
    <w:rsid w:val="00B0140C"/>
    <w:rsid w:val="00B0165D"/>
    <w:rsid w:val="00B0183E"/>
    <w:rsid w:val="00B01F21"/>
    <w:rsid w:val="00B0268A"/>
    <w:rsid w:val="00B02B82"/>
    <w:rsid w:val="00B02C48"/>
    <w:rsid w:val="00B02D25"/>
    <w:rsid w:val="00B031A1"/>
    <w:rsid w:val="00B032A7"/>
    <w:rsid w:val="00B03321"/>
    <w:rsid w:val="00B038BB"/>
    <w:rsid w:val="00B03E44"/>
    <w:rsid w:val="00B04180"/>
    <w:rsid w:val="00B04347"/>
    <w:rsid w:val="00B04455"/>
    <w:rsid w:val="00B049B6"/>
    <w:rsid w:val="00B04A04"/>
    <w:rsid w:val="00B04B66"/>
    <w:rsid w:val="00B04E39"/>
    <w:rsid w:val="00B05213"/>
    <w:rsid w:val="00B0564F"/>
    <w:rsid w:val="00B05A7E"/>
    <w:rsid w:val="00B05B24"/>
    <w:rsid w:val="00B06159"/>
    <w:rsid w:val="00B06546"/>
    <w:rsid w:val="00B065FA"/>
    <w:rsid w:val="00B069B5"/>
    <w:rsid w:val="00B06A9D"/>
    <w:rsid w:val="00B06AB1"/>
    <w:rsid w:val="00B06B7C"/>
    <w:rsid w:val="00B06F35"/>
    <w:rsid w:val="00B07197"/>
    <w:rsid w:val="00B07C6A"/>
    <w:rsid w:val="00B07D7F"/>
    <w:rsid w:val="00B07F27"/>
    <w:rsid w:val="00B07F82"/>
    <w:rsid w:val="00B101E5"/>
    <w:rsid w:val="00B1029C"/>
    <w:rsid w:val="00B10412"/>
    <w:rsid w:val="00B10732"/>
    <w:rsid w:val="00B10989"/>
    <w:rsid w:val="00B109F1"/>
    <w:rsid w:val="00B109FC"/>
    <w:rsid w:val="00B10A9C"/>
    <w:rsid w:val="00B10EBD"/>
    <w:rsid w:val="00B10FC2"/>
    <w:rsid w:val="00B1113D"/>
    <w:rsid w:val="00B11568"/>
    <w:rsid w:val="00B116EF"/>
    <w:rsid w:val="00B11E5D"/>
    <w:rsid w:val="00B1222C"/>
    <w:rsid w:val="00B123BE"/>
    <w:rsid w:val="00B124FC"/>
    <w:rsid w:val="00B12FC8"/>
    <w:rsid w:val="00B12FDF"/>
    <w:rsid w:val="00B136A2"/>
    <w:rsid w:val="00B1398F"/>
    <w:rsid w:val="00B1455B"/>
    <w:rsid w:val="00B14A02"/>
    <w:rsid w:val="00B14BD7"/>
    <w:rsid w:val="00B14F3E"/>
    <w:rsid w:val="00B15069"/>
    <w:rsid w:val="00B151E5"/>
    <w:rsid w:val="00B151F5"/>
    <w:rsid w:val="00B15232"/>
    <w:rsid w:val="00B15295"/>
    <w:rsid w:val="00B155DA"/>
    <w:rsid w:val="00B1569C"/>
    <w:rsid w:val="00B16461"/>
    <w:rsid w:val="00B164E7"/>
    <w:rsid w:val="00B16A17"/>
    <w:rsid w:val="00B16D3E"/>
    <w:rsid w:val="00B17772"/>
    <w:rsid w:val="00B202A1"/>
    <w:rsid w:val="00B203BD"/>
    <w:rsid w:val="00B20688"/>
    <w:rsid w:val="00B206C4"/>
    <w:rsid w:val="00B20A49"/>
    <w:rsid w:val="00B20ACC"/>
    <w:rsid w:val="00B20C74"/>
    <w:rsid w:val="00B2126C"/>
    <w:rsid w:val="00B21738"/>
    <w:rsid w:val="00B21DB0"/>
    <w:rsid w:val="00B22959"/>
    <w:rsid w:val="00B22B8F"/>
    <w:rsid w:val="00B23163"/>
    <w:rsid w:val="00B23347"/>
    <w:rsid w:val="00B2383B"/>
    <w:rsid w:val="00B23B17"/>
    <w:rsid w:val="00B23C02"/>
    <w:rsid w:val="00B2408A"/>
    <w:rsid w:val="00B2442E"/>
    <w:rsid w:val="00B246D8"/>
    <w:rsid w:val="00B24886"/>
    <w:rsid w:val="00B24AA2"/>
    <w:rsid w:val="00B24C92"/>
    <w:rsid w:val="00B24D0A"/>
    <w:rsid w:val="00B2500A"/>
    <w:rsid w:val="00B252E0"/>
    <w:rsid w:val="00B254AA"/>
    <w:rsid w:val="00B25700"/>
    <w:rsid w:val="00B2572F"/>
    <w:rsid w:val="00B257E8"/>
    <w:rsid w:val="00B25A9F"/>
    <w:rsid w:val="00B25D57"/>
    <w:rsid w:val="00B260A7"/>
    <w:rsid w:val="00B26190"/>
    <w:rsid w:val="00B264DD"/>
    <w:rsid w:val="00B26607"/>
    <w:rsid w:val="00B2683F"/>
    <w:rsid w:val="00B268D0"/>
    <w:rsid w:val="00B26B00"/>
    <w:rsid w:val="00B26B3A"/>
    <w:rsid w:val="00B26CB0"/>
    <w:rsid w:val="00B26FD6"/>
    <w:rsid w:val="00B273B9"/>
    <w:rsid w:val="00B27696"/>
    <w:rsid w:val="00B277CB"/>
    <w:rsid w:val="00B27921"/>
    <w:rsid w:val="00B27AA9"/>
    <w:rsid w:val="00B30021"/>
    <w:rsid w:val="00B303FD"/>
    <w:rsid w:val="00B30B25"/>
    <w:rsid w:val="00B30B6C"/>
    <w:rsid w:val="00B30CA3"/>
    <w:rsid w:val="00B30D08"/>
    <w:rsid w:val="00B30EB7"/>
    <w:rsid w:val="00B31279"/>
    <w:rsid w:val="00B314FE"/>
    <w:rsid w:val="00B31552"/>
    <w:rsid w:val="00B31C0A"/>
    <w:rsid w:val="00B32351"/>
    <w:rsid w:val="00B3235E"/>
    <w:rsid w:val="00B32655"/>
    <w:rsid w:val="00B32686"/>
    <w:rsid w:val="00B32928"/>
    <w:rsid w:val="00B32ADF"/>
    <w:rsid w:val="00B32CBF"/>
    <w:rsid w:val="00B32D7C"/>
    <w:rsid w:val="00B32E80"/>
    <w:rsid w:val="00B3317D"/>
    <w:rsid w:val="00B33551"/>
    <w:rsid w:val="00B33790"/>
    <w:rsid w:val="00B337D0"/>
    <w:rsid w:val="00B33866"/>
    <w:rsid w:val="00B339C6"/>
    <w:rsid w:val="00B33CE5"/>
    <w:rsid w:val="00B33F14"/>
    <w:rsid w:val="00B34022"/>
    <w:rsid w:val="00B342D2"/>
    <w:rsid w:val="00B34948"/>
    <w:rsid w:val="00B34B32"/>
    <w:rsid w:val="00B34B7E"/>
    <w:rsid w:val="00B34D7B"/>
    <w:rsid w:val="00B3505A"/>
    <w:rsid w:val="00B35287"/>
    <w:rsid w:val="00B35A0E"/>
    <w:rsid w:val="00B35DFF"/>
    <w:rsid w:val="00B35F9E"/>
    <w:rsid w:val="00B36024"/>
    <w:rsid w:val="00B360F1"/>
    <w:rsid w:val="00B36583"/>
    <w:rsid w:val="00B3680F"/>
    <w:rsid w:val="00B3684F"/>
    <w:rsid w:val="00B36988"/>
    <w:rsid w:val="00B369CC"/>
    <w:rsid w:val="00B36E6F"/>
    <w:rsid w:val="00B36E80"/>
    <w:rsid w:val="00B37F86"/>
    <w:rsid w:val="00B4017A"/>
    <w:rsid w:val="00B40413"/>
    <w:rsid w:val="00B40A60"/>
    <w:rsid w:val="00B40B2D"/>
    <w:rsid w:val="00B40D97"/>
    <w:rsid w:val="00B41309"/>
    <w:rsid w:val="00B41521"/>
    <w:rsid w:val="00B41640"/>
    <w:rsid w:val="00B41694"/>
    <w:rsid w:val="00B41C20"/>
    <w:rsid w:val="00B41CC9"/>
    <w:rsid w:val="00B41FB6"/>
    <w:rsid w:val="00B42044"/>
    <w:rsid w:val="00B4239B"/>
    <w:rsid w:val="00B42800"/>
    <w:rsid w:val="00B42820"/>
    <w:rsid w:val="00B4286E"/>
    <w:rsid w:val="00B42A81"/>
    <w:rsid w:val="00B42BDE"/>
    <w:rsid w:val="00B43364"/>
    <w:rsid w:val="00B43439"/>
    <w:rsid w:val="00B43750"/>
    <w:rsid w:val="00B4378B"/>
    <w:rsid w:val="00B43914"/>
    <w:rsid w:val="00B43DA1"/>
    <w:rsid w:val="00B43F09"/>
    <w:rsid w:val="00B44147"/>
    <w:rsid w:val="00B441E8"/>
    <w:rsid w:val="00B44541"/>
    <w:rsid w:val="00B44AC1"/>
    <w:rsid w:val="00B44B63"/>
    <w:rsid w:val="00B44BDD"/>
    <w:rsid w:val="00B44CB7"/>
    <w:rsid w:val="00B4512B"/>
    <w:rsid w:val="00B4542C"/>
    <w:rsid w:val="00B455C1"/>
    <w:rsid w:val="00B457F3"/>
    <w:rsid w:val="00B45BBD"/>
    <w:rsid w:val="00B45CCD"/>
    <w:rsid w:val="00B461A0"/>
    <w:rsid w:val="00B4634A"/>
    <w:rsid w:val="00B46357"/>
    <w:rsid w:val="00B464E1"/>
    <w:rsid w:val="00B464E5"/>
    <w:rsid w:val="00B465CA"/>
    <w:rsid w:val="00B46B47"/>
    <w:rsid w:val="00B46D75"/>
    <w:rsid w:val="00B46F3A"/>
    <w:rsid w:val="00B46FB2"/>
    <w:rsid w:val="00B47043"/>
    <w:rsid w:val="00B4742A"/>
    <w:rsid w:val="00B47AF7"/>
    <w:rsid w:val="00B47F74"/>
    <w:rsid w:val="00B500D3"/>
    <w:rsid w:val="00B500EC"/>
    <w:rsid w:val="00B51388"/>
    <w:rsid w:val="00B5162E"/>
    <w:rsid w:val="00B51B48"/>
    <w:rsid w:val="00B51C5C"/>
    <w:rsid w:val="00B51D7B"/>
    <w:rsid w:val="00B52359"/>
    <w:rsid w:val="00B52504"/>
    <w:rsid w:val="00B525CB"/>
    <w:rsid w:val="00B52817"/>
    <w:rsid w:val="00B52987"/>
    <w:rsid w:val="00B52D70"/>
    <w:rsid w:val="00B5303B"/>
    <w:rsid w:val="00B53058"/>
    <w:rsid w:val="00B5311B"/>
    <w:rsid w:val="00B531DF"/>
    <w:rsid w:val="00B535FC"/>
    <w:rsid w:val="00B537A5"/>
    <w:rsid w:val="00B53C0B"/>
    <w:rsid w:val="00B53D8A"/>
    <w:rsid w:val="00B54088"/>
    <w:rsid w:val="00B542D4"/>
    <w:rsid w:val="00B543DB"/>
    <w:rsid w:val="00B545A7"/>
    <w:rsid w:val="00B5462C"/>
    <w:rsid w:val="00B54682"/>
    <w:rsid w:val="00B548E5"/>
    <w:rsid w:val="00B54A4D"/>
    <w:rsid w:val="00B54AA9"/>
    <w:rsid w:val="00B54CF6"/>
    <w:rsid w:val="00B54D1A"/>
    <w:rsid w:val="00B54EFC"/>
    <w:rsid w:val="00B5509D"/>
    <w:rsid w:val="00B5576C"/>
    <w:rsid w:val="00B557C3"/>
    <w:rsid w:val="00B557E7"/>
    <w:rsid w:val="00B5584E"/>
    <w:rsid w:val="00B565E4"/>
    <w:rsid w:val="00B5680E"/>
    <w:rsid w:val="00B56AC3"/>
    <w:rsid w:val="00B56DCF"/>
    <w:rsid w:val="00B56F29"/>
    <w:rsid w:val="00B57213"/>
    <w:rsid w:val="00B575A1"/>
    <w:rsid w:val="00B577D1"/>
    <w:rsid w:val="00B578D3"/>
    <w:rsid w:val="00B57A54"/>
    <w:rsid w:val="00B57C97"/>
    <w:rsid w:val="00B601F9"/>
    <w:rsid w:val="00B60245"/>
    <w:rsid w:val="00B602D5"/>
    <w:rsid w:val="00B603FE"/>
    <w:rsid w:val="00B60578"/>
    <w:rsid w:val="00B605E7"/>
    <w:rsid w:val="00B60C1A"/>
    <w:rsid w:val="00B60C61"/>
    <w:rsid w:val="00B60C6B"/>
    <w:rsid w:val="00B60ED5"/>
    <w:rsid w:val="00B60EE7"/>
    <w:rsid w:val="00B60FEF"/>
    <w:rsid w:val="00B6103B"/>
    <w:rsid w:val="00B6120E"/>
    <w:rsid w:val="00B612BA"/>
    <w:rsid w:val="00B61575"/>
    <w:rsid w:val="00B618B2"/>
    <w:rsid w:val="00B61BF7"/>
    <w:rsid w:val="00B61E90"/>
    <w:rsid w:val="00B61F70"/>
    <w:rsid w:val="00B620FA"/>
    <w:rsid w:val="00B62132"/>
    <w:rsid w:val="00B623D5"/>
    <w:rsid w:val="00B626B8"/>
    <w:rsid w:val="00B6271A"/>
    <w:rsid w:val="00B62A0F"/>
    <w:rsid w:val="00B62A80"/>
    <w:rsid w:val="00B63713"/>
    <w:rsid w:val="00B639A8"/>
    <w:rsid w:val="00B639FC"/>
    <w:rsid w:val="00B63B33"/>
    <w:rsid w:val="00B63CE2"/>
    <w:rsid w:val="00B63D6D"/>
    <w:rsid w:val="00B63F39"/>
    <w:rsid w:val="00B64525"/>
    <w:rsid w:val="00B64BB4"/>
    <w:rsid w:val="00B64F2D"/>
    <w:rsid w:val="00B651CE"/>
    <w:rsid w:val="00B653C1"/>
    <w:rsid w:val="00B657B6"/>
    <w:rsid w:val="00B65CA6"/>
    <w:rsid w:val="00B65FD0"/>
    <w:rsid w:val="00B66BFA"/>
    <w:rsid w:val="00B67226"/>
    <w:rsid w:val="00B677B6"/>
    <w:rsid w:val="00B67978"/>
    <w:rsid w:val="00B679D5"/>
    <w:rsid w:val="00B67CE8"/>
    <w:rsid w:val="00B67DEC"/>
    <w:rsid w:val="00B67E3E"/>
    <w:rsid w:val="00B67F91"/>
    <w:rsid w:val="00B700CD"/>
    <w:rsid w:val="00B70106"/>
    <w:rsid w:val="00B70173"/>
    <w:rsid w:val="00B701ED"/>
    <w:rsid w:val="00B70261"/>
    <w:rsid w:val="00B703AD"/>
    <w:rsid w:val="00B707DA"/>
    <w:rsid w:val="00B708C3"/>
    <w:rsid w:val="00B70B65"/>
    <w:rsid w:val="00B70B8E"/>
    <w:rsid w:val="00B70ED8"/>
    <w:rsid w:val="00B7115F"/>
    <w:rsid w:val="00B7117A"/>
    <w:rsid w:val="00B713AC"/>
    <w:rsid w:val="00B71514"/>
    <w:rsid w:val="00B717B1"/>
    <w:rsid w:val="00B72097"/>
    <w:rsid w:val="00B7209A"/>
    <w:rsid w:val="00B720A3"/>
    <w:rsid w:val="00B725BC"/>
    <w:rsid w:val="00B72616"/>
    <w:rsid w:val="00B72A61"/>
    <w:rsid w:val="00B72C06"/>
    <w:rsid w:val="00B72DFF"/>
    <w:rsid w:val="00B733BB"/>
    <w:rsid w:val="00B73AE9"/>
    <w:rsid w:val="00B73B2C"/>
    <w:rsid w:val="00B73F79"/>
    <w:rsid w:val="00B74651"/>
    <w:rsid w:val="00B74745"/>
    <w:rsid w:val="00B74868"/>
    <w:rsid w:val="00B74878"/>
    <w:rsid w:val="00B748C7"/>
    <w:rsid w:val="00B74B77"/>
    <w:rsid w:val="00B74DDB"/>
    <w:rsid w:val="00B7561E"/>
    <w:rsid w:val="00B75A68"/>
    <w:rsid w:val="00B75AF0"/>
    <w:rsid w:val="00B75D5F"/>
    <w:rsid w:val="00B75D97"/>
    <w:rsid w:val="00B76058"/>
    <w:rsid w:val="00B76102"/>
    <w:rsid w:val="00B76F51"/>
    <w:rsid w:val="00B77050"/>
    <w:rsid w:val="00B773A4"/>
    <w:rsid w:val="00B77A5F"/>
    <w:rsid w:val="00B77A9F"/>
    <w:rsid w:val="00B77D00"/>
    <w:rsid w:val="00B77ED8"/>
    <w:rsid w:val="00B80095"/>
    <w:rsid w:val="00B80508"/>
    <w:rsid w:val="00B80592"/>
    <w:rsid w:val="00B80790"/>
    <w:rsid w:val="00B8093A"/>
    <w:rsid w:val="00B80EB3"/>
    <w:rsid w:val="00B811A9"/>
    <w:rsid w:val="00B811D3"/>
    <w:rsid w:val="00B8122D"/>
    <w:rsid w:val="00B81376"/>
    <w:rsid w:val="00B81939"/>
    <w:rsid w:val="00B81D16"/>
    <w:rsid w:val="00B81E65"/>
    <w:rsid w:val="00B81E9A"/>
    <w:rsid w:val="00B82C41"/>
    <w:rsid w:val="00B82E77"/>
    <w:rsid w:val="00B83932"/>
    <w:rsid w:val="00B83E47"/>
    <w:rsid w:val="00B84468"/>
    <w:rsid w:val="00B847A1"/>
    <w:rsid w:val="00B848A8"/>
    <w:rsid w:val="00B84ADB"/>
    <w:rsid w:val="00B84B0D"/>
    <w:rsid w:val="00B84CA0"/>
    <w:rsid w:val="00B8505C"/>
    <w:rsid w:val="00B85857"/>
    <w:rsid w:val="00B859E0"/>
    <w:rsid w:val="00B85BD0"/>
    <w:rsid w:val="00B85E2C"/>
    <w:rsid w:val="00B86344"/>
    <w:rsid w:val="00B863D9"/>
    <w:rsid w:val="00B86408"/>
    <w:rsid w:val="00B86464"/>
    <w:rsid w:val="00B86812"/>
    <w:rsid w:val="00B86D33"/>
    <w:rsid w:val="00B8701C"/>
    <w:rsid w:val="00B871E5"/>
    <w:rsid w:val="00B87445"/>
    <w:rsid w:val="00B877E4"/>
    <w:rsid w:val="00B87A2D"/>
    <w:rsid w:val="00B87E45"/>
    <w:rsid w:val="00B902FC"/>
    <w:rsid w:val="00B90680"/>
    <w:rsid w:val="00B90695"/>
    <w:rsid w:val="00B90F7E"/>
    <w:rsid w:val="00B91100"/>
    <w:rsid w:val="00B9133D"/>
    <w:rsid w:val="00B91911"/>
    <w:rsid w:val="00B91AD2"/>
    <w:rsid w:val="00B91B21"/>
    <w:rsid w:val="00B91B78"/>
    <w:rsid w:val="00B91D42"/>
    <w:rsid w:val="00B91EE7"/>
    <w:rsid w:val="00B9206D"/>
    <w:rsid w:val="00B92150"/>
    <w:rsid w:val="00B929A2"/>
    <w:rsid w:val="00B92A02"/>
    <w:rsid w:val="00B92AAF"/>
    <w:rsid w:val="00B92BA2"/>
    <w:rsid w:val="00B94354"/>
    <w:rsid w:val="00B94355"/>
    <w:rsid w:val="00B948DF"/>
    <w:rsid w:val="00B949B0"/>
    <w:rsid w:val="00B94DBA"/>
    <w:rsid w:val="00B95037"/>
    <w:rsid w:val="00B9543C"/>
    <w:rsid w:val="00B95533"/>
    <w:rsid w:val="00B95748"/>
    <w:rsid w:val="00B958A9"/>
    <w:rsid w:val="00B95A37"/>
    <w:rsid w:val="00B95AEE"/>
    <w:rsid w:val="00B95DE4"/>
    <w:rsid w:val="00B95E93"/>
    <w:rsid w:val="00B95E98"/>
    <w:rsid w:val="00B96392"/>
    <w:rsid w:val="00B965C9"/>
    <w:rsid w:val="00B96B6F"/>
    <w:rsid w:val="00B96EC3"/>
    <w:rsid w:val="00B96EF0"/>
    <w:rsid w:val="00B9715F"/>
    <w:rsid w:val="00B974C4"/>
    <w:rsid w:val="00BA015C"/>
    <w:rsid w:val="00BA0876"/>
    <w:rsid w:val="00BA0C5B"/>
    <w:rsid w:val="00BA0D9E"/>
    <w:rsid w:val="00BA1269"/>
    <w:rsid w:val="00BA17A7"/>
    <w:rsid w:val="00BA2A82"/>
    <w:rsid w:val="00BA2B64"/>
    <w:rsid w:val="00BA2D18"/>
    <w:rsid w:val="00BA2D24"/>
    <w:rsid w:val="00BA2FBF"/>
    <w:rsid w:val="00BA342C"/>
    <w:rsid w:val="00BA3F87"/>
    <w:rsid w:val="00BA4010"/>
    <w:rsid w:val="00BA426D"/>
    <w:rsid w:val="00BA428C"/>
    <w:rsid w:val="00BA4366"/>
    <w:rsid w:val="00BA442E"/>
    <w:rsid w:val="00BA47BB"/>
    <w:rsid w:val="00BA54BC"/>
    <w:rsid w:val="00BA584D"/>
    <w:rsid w:val="00BA5EF1"/>
    <w:rsid w:val="00BA5F77"/>
    <w:rsid w:val="00BA60E7"/>
    <w:rsid w:val="00BA63DC"/>
    <w:rsid w:val="00BA6F66"/>
    <w:rsid w:val="00BA6F81"/>
    <w:rsid w:val="00BA7205"/>
    <w:rsid w:val="00BA736C"/>
    <w:rsid w:val="00BA73DA"/>
    <w:rsid w:val="00BA741B"/>
    <w:rsid w:val="00BA7538"/>
    <w:rsid w:val="00BA7716"/>
    <w:rsid w:val="00BA776C"/>
    <w:rsid w:val="00BA77D4"/>
    <w:rsid w:val="00BA7814"/>
    <w:rsid w:val="00BA79E4"/>
    <w:rsid w:val="00BA7A39"/>
    <w:rsid w:val="00BA7E55"/>
    <w:rsid w:val="00BA7FD1"/>
    <w:rsid w:val="00BB086A"/>
    <w:rsid w:val="00BB0F67"/>
    <w:rsid w:val="00BB108B"/>
    <w:rsid w:val="00BB10FF"/>
    <w:rsid w:val="00BB1129"/>
    <w:rsid w:val="00BB14EF"/>
    <w:rsid w:val="00BB1530"/>
    <w:rsid w:val="00BB1DE4"/>
    <w:rsid w:val="00BB1EFA"/>
    <w:rsid w:val="00BB1FFF"/>
    <w:rsid w:val="00BB21B0"/>
    <w:rsid w:val="00BB236E"/>
    <w:rsid w:val="00BB24FB"/>
    <w:rsid w:val="00BB29D8"/>
    <w:rsid w:val="00BB2EFF"/>
    <w:rsid w:val="00BB32B5"/>
    <w:rsid w:val="00BB3499"/>
    <w:rsid w:val="00BB3541"/>
    <w:rsid w:val="00BB3A6B"/>
    <w:rsid w:val="00BB3C18"/>
    <w:rsid w:val="00BB3DC0"/>
    <w:rsid w:val="00BB4040"/>
    <w:rsid w:val="00BB408F"/>
    <w:rsid w:val="00BB41C5"/>
    <w:rsid w:val="00BB424D"/>
    <w:rsid w:val="00BB4325"/>
    <w:rsid w:val="00BB45A8"/>
    <w:rsid w:val="00BB4BAB"/>
    <w:rsid w:val="00BB4D39"/>
    <w:rsid w:val="00BB4E0A"/>
    <w:rsid w:val="00BB4F69"/>
    <w:rsid w:val="00BB51C9"/>
    <w:rsid w:val="00BB5382"/>
    <w:rsid w:val="00BB5870"/>
    <w:rsid w:val="00BB5A7A"/>
    <w:rsid w:val="00BB656B"/>
    <w:rsid w:val="00BB6AD4"/>
    <w:rsid w:val="00BB6CFD"/>
    <w:rsid w:val="00BB7431"/>
    <w:rsid w:val="00BB7451"/>
    <w:rsid w:val="00BB7658"/>
    <w:rsid w:val="00BC018A"/>
    <w:rsid w:val="00BC050F"/>
    <w:rsid w:val="00BC07D5"/>
    <w:rsid w:val="00BC09E8"/>
    <w:rsid w:val="00BC0BBB"/>
    <w:rsid w:val="00BC1776"/>
    <w:rsid w:val="00BC1781"/>
    <w:rsid w:val="00BC1972"/>
    <w:rsid w:val="00BC1A9C"/>
    <w:rsid w:val="00BC1E22"/>
    <w:rsid w:val="00BC1E87"/>
    <w:rsid w:val="00BC1ED2"/>
    <w:rsid w:val="00BC1F01"/>
    <w:rsid w:val="00BC2286"/>
    <w:rsid w:val="00BC22E5"/>
    <w:rsid w:val="00BC2450"/>
    <w:rsid w:val="00BC24CA"/>
    <w:rsid w:val="00BC252C"/>
    <w:rsid w:val="00BC2637"/>
    <w:rsid w:val="00BC279D"/>
    <w:rsid w:val="00BC27D8"/>
    <w:rsid w:val="00BC2883"/>
    <w:rsid w:val="00BC2ADA"/>
    <w:rsid w:val="00BC2BB1"/>
    <w:rsid w:val="00BC2C25"/>
    <w:rsid w:val="00BC2D61"/>
    <w:rsid w:val="00BC3095"/>
    <w:rsid w:val="00BC3194"/>
    <w:rsid w:val="00BC33D4"/>
    <w:rsid w:val="00BC3570"/>
    <w:rsid w:val="00BC3788"/>
    <w:rsid w:val="00BC391C"/>
    <w:rsid w:val="00BC3943"/>
    <w:rsid w:val="00BC3F8C"/>
    <w:rsid w:val="00BC4699"/>
    <w:rsid w:val="00BC48AC"/>
    <w:rsid w:val="00BC4B65"/>
    <w:rsid w:val="00BC4C5A"/>
    <w:rsid w:val="00BC5220"/>
    <w:rsid w:val="00BC53A8"/>
    <w:rsid w:val="00BC5FF6"/>
    <w:rsid w:val="00BC68E0"/>
    <w:rsid w:val="00BC6A7E"/>
    <w:rsid w:val="00BC6AFA"/>
    <w:rsid w:val="00BC6F65"/>
    <w:rsid w:val="00BC6F7D"/>
    <w:rsid w:val="00BC79AB"/>
    <w:rsid w:val="00BC79BE"/>
    <w:rsid w:val="00BC7C89"/>
    <w:rsid w:val="00BC7D0D"/>
    <w:rsid w:val="00BD00DB"/>
    <w:rsid w:val="00BD0257"/>
    <w:rsid w:val="00BD034D"/>
    <w:rsid w:val="00BD03E2"/>
    <w:rsid w:val="00BD0504"/>
    <w:rsid w:val="00BD0904"/>
    <w:rsid w:val="00BD113A"/>
    <w:rsid w:val="00BD12F7"/>
    <w:rsid w:val="00BD1361"/>
    <w:rsid w:val="00BD1957"/>
    <w:rsid w:val="00BD1C9F"/>
    <w:rsid w:val="00BD2062"/>
    <w:rsid w:val="00BD20E0"/>
    <w:rsid w:val="00BD2808"/>
    <w:rsid w:val="00BD2D41"/>
    <w:rsid w:val="00BD3227"/>
    <w:rsid w:val="00BD3A02"/>
    <w:rsid w:val="00BD3DA8"/>
    <w:rsid w:val="00BD3FB3"/>
    <w:rsid w:val="00BD40A2"/>
    <w:rsid w:val="00BD43C1"/>
    <w:rsid w:val="00BD45D5"/>
    <w:rsid w:val="00BD4903"/>
    <w:rsid w:val="00BD49D7"/>
    <w:rsid w:val="00BD4A0D"/>
    <w:rsid w:val="00BD5609"/>
    <w:rsid w:val="00BD568D"/>
    <w:rsid w:val="00BD575F"/>
    <w:rsid w:val="00BD5A58"/>
    <w:rsid w:val="00BD5F5C"/>
    <w:rsid w:val="00BD62D6"/>
    <w:rsid w:val="00BD6669"/>
    <w:rsid w:val="00BD6974"/>
    <w:rsid w:val="00BD6C60"/>
    <w:rsid w:val="00BD6DB1"/>
    <w:rsid w:val="00BD6E3E"/>
    <w:rsid w:val="00BD6F11"/>
    <w:rsid w:val="00BD7125"/>
    <w:rsid w:val="00BD719F"/>
    <w:rsid w:val="00BD7297"/>
    <w:rsid w:val="00BD73D0"/>
    <w:rsid w:val="00BD7406"/>
    <w:rsid w:val="00BD788F"/>
    <w:rsid w:val="00BD7C66"/>
    <w:rsid w:val="00BD7C7C"/>
    <w:rsid w:val="00BD7CA9"/>
    <w:rsid w:val="00BD7DCE"/>
    <w:rsid w:val="00BE01ED"/>
    <w:rsid w:val="00BE03AE"/>
    <w:rsid w:val="00BE04ED"/>
    <w:rsid w:val="00BE06FA"/>
    <w:rsid w:val="00BE0723"/>
    <w:rsid w:val="00BE0904"/>
    <w:rsid w:val="00BE0CC4"/>
    <w:rsid w:val="00BE1190"/>
    <w:rsid w:val="00BE1498"/>
    <w:rsid w:val="00BE17BF"/>
    <w:rsid w:val="00BE18CF"/>
    <w:rsid w:val="00BE19CA"/>
    <w:rsid w:val="00BE1D70"/>
    <w:rsid w:val="00BE207D"/>
    <w:rsid w:val="00BE2239"/>
    <w:rsid w:val="00BE22C3"/>
    <w:rsid w:val="00BE26C9"/>
    <w:rsid w:val="00BE277A"/>
    <w:rsid w:val="00BE2907"/>
    <w:rsid w:val="00BE2C00"/>
    <w:rsid w:val="00BE2F92"/>
    <w:rsid w:val="00BE3176"/>
    <w:rsid w:val="00BE34D5"/>
    <w:rsid w:val="00BE3D42"/>
    <w:rsid w:val="00BE3FCA"/>
    <w:rsid w:val="00BE4177"/>
    <w:rsid w:val="00BE43CE"/>
    <w:rsid w:val="00BE4458"/>
    <w:rsid w:val="00BE4748"/>
    <w:rsid w:val="00BE4772"/>
    <w:rsid w:val="00BE4F7D"/>
    <w:rsid w:val="00BE5063"/>
    <w:rsid w:val="00BE56FF"/>
    <w:rsid w:val="00BE5A04"/>
    <w:rsid w:val="00BE5E84"/>
    <w:rsid w:val="00BE6150"/>
    <w:rsid w:val="00BE6247"/>
    <w:rsid w:val="00BE65DE"/>
    <w:rsid w:val="00BE670D"/>
    <w:rsid w:val="00BE6C79"/>
    <w:rsid w:val="00BE6D63"/>
    <w:rsid w:val="00BE6EA7"/>
    <w:rsid w:val="00BE7CAC"/>
    <w:rsid w:val="00BE7CE4"/>
    <w:rsid w:val="00BF066A"/>
    <w:rsid w:val="00BF06DC"/>
    <w:rsid w:val="00BF12DB"/>
    <w:rsid w:val="00BF16A3"/>
    <w:rsid w:val="00BF182E"/>
    <w:rsid w:val="00BF187C"/>
    <w:rsid w:val="00BF1C97"/>
    <w:rsid w:val="00BF2167"/>
    <w:rsid w:val="00BF26CA"/>
    <w:rsid w:val="00BF270B"/>
    <w:rsid w:val="00BF27C0"/>
    <w:rsid w:val="00BF2B3C"/>
    <w:rsid w:val="00BF2F69"/>
    <w:rsid w:val="00BF32A8"/>
    <w:rsid w:val="00BF3459"/>
    <w:rsid w:val="00BF3A0F"/>
    <w:rsid w:val="00BF3B08"/>
    <w:rsid w:val="00BF3BE8"/>
    <w:rsid w:val="00BF3F6A"/>
    <w:rsid w:val="00BF4769"/>
    <w:rsid w:val="00BF4812"/>
    <w:rsid w:val="00BF4F75"/>
    <w:rsid w:val="00BF5181"/>
    <w:rsid w:val="00BF5424"/>
    <w:rsid w:val="00BF5452"/>
    <w:rsid w:val="00BF577B"/>
    <w:rsid w:val="00BF622C"/>
    <w:rsid w:val="00BF629C"/>
    <w:rsid w:val="00BF6370"/>
    <w:rsid w:val="00BF6550"/>
    <w:rsid w:val="00BF664A"/>
    <w:rsid w:val="00BF669E"/>
    <w:rsid w:val="00BF689B"/>
    <w:rsid w:val="00BF6AE9"/>
    <w:rsid w:val="00BF6B16"/>
    <w:rsid w:val="00BF7366"/>
    <w:rsid w:val="00BF75DD"/>
    <w:rsid w:val="00BF77CC"/>
    <w:rsid w:val="00BF7A69"/>
    <w:rsid w:val="00BF7C48"/>
    <w:rsid w:val="00C00083"/>
    <w:rsid w:val="00C00697"/>
    <w:rsid w:val="00C006E7"/>
    <w:rsid w:val="00C00734"/>
    <w:rsid w:val="00C0092E"/>
    <w:rsid w:val="00C0095A"/>
    <w:rsid w:val="00C01062"/>
    <w:rsid w:val="00C0148B"/>
    <w:rsid w:val="00C01579"/>
    <w:rsid w:val="00C015AC"/>
    <w:rsid w:val="00C017C4"/>
    <w:rsid w:val="00C017D7"/>
    <w:rsid w:val="00C01A66"/>
    <w:rsid w:val="00C01D4F"/>
    <w:rsid w:val="00C01EE9"/>
    <w:rsid w:val="00C0233B"/>
    <w:rsid w:val="00C024F1"/>
    <w:rsid w:val="00C028B6"/>
    <w:rsid w:val="00C02A06"/>
    <w:rsid w:val="00C02F63"/>
    <w:rsid w:val="00C033CF"/>
    <w:rsid w:val="00C038BC"/>
    <w:rsid w:val="00C03C82"/>
    <w:rsid w:val="00C040BA"/>
    <w:rsid w:val="00C044B5"/>
    <w:rsid w:val="00C04531"/>
    <w:rsid w:val="00C04577"/>
    <w:rsid w:val="00C04AF2"/>
    <w:rsid w:val="00C04DC9"/>
    <w:rsid w:val="00C05130"/>
    <w:rsid w:val="00C051F7"/>
    <w:rsid w:val="00C05302"/>
    <w:rsid w:val="00C056A1"/>
    <w:rsid w:val="00C062D6"/>
    <w:rsid w:val="00C066FA"/>
    <w:rsid w:val="00C069B1"/>
    <w:rsid w:val="00C06B56"/>
    <w:rsid w:val="00C0707C"/>
    <w:rsid w:val="00C071A8"/>
    <w:rsid w:val="00C0758C"/>
    <w:rsid w:val="00C1077E"/>
    <w:rsid w:val="00C108FE"/>
    <w:rsid w:val="00C10B9D"/>
    <w:rsid w:val="00C10DE2"/>
    <w:rsid w:val="00C10E6E"/>
    <w:rsid w:val="00C10ED6"/>
    <w:rsid w:val="00C10F5B"/>
    <w:rsid w:val="00C11004"/>
    <w:rsid w:val="00C110D6"/>
    <w:rsid w:val="00C11299"/>
    <w:rsid w:val="00C118D0"/>
    <w:rsid w:val="00C119A9"/>
    <w:rsid w:val="00C11B64"/>
    <w:rsid w:val="00C11C9B"/>
    <w:rsid w:val="00C121AB"/>
    <w:rsid w:val="00C12354"/>
    <w:rsid w:val="00C1250F"/>
    <w:rsid w:val="00C12525"/>
    <w:rsid w:val="00C12CF4"/>
    <w:rsid w:val="00C130D4"/>
    <w:rsid w:val="00C139CE"/>
    <w:rsid w:val="00C13A10"/>
    <w:rsid w:val="00C13DD8"/>
    <w:rsid w:val="00C1492A"/>
    <w:rsid w:val="00C14A13"/>
    <w:rsid w:val="00C14BD5"/>
    <w:rsid w:val="00C14D28"/>
    <w:rsid w:val="00C14FA1"/>
    <w:rsid w:val="00C15047"/>
    <w:rsid w:val="00C151FA"/>
    <w:rsid w:val="00C15BFB"/>
    <w:rsid w:val="00C16583"/>
    <w:rsid w:val="00C16A00"/>
    <w:rsid w:val="00C16EB8"/>
    <w:rsid w:val="00C170C7"/>
    <w:rsid w:val="00C175CD"/>
    <w:rsid w:val="00C17EDD"/>
    <w:rsid w:val="00C17EED"/>
    <w:rsid w:val="00C20064"/>
    <w:rsid w:val="00C201C6"/>
    <w:rsid w:val="00C201FC"/>
    <w:rsid w:val="00C204AC"/>
    <w:rsid w:val="00C2050E"/>
    <w:rsid w:val="00C205EC"/>
    <w:rsid w:val="00C209FB"/>
    <w:rsid w:val="00C20DAF"/>
    <w:rsid w:val="00C2117F"/>
    <w:rsid w:val="00C219FB"/>
    <w:rsid w:val="00C21BDC"/>
    <w:rsid w:val="00C22698"/>
    <w:rsid w:val="00C22882"/>
    <w:rsid w:val="00C22B59"/>
    <w:rsid w:val="00C231C9"/>
    <w:rsid w:val="00C231CE"/>
    <w:rsid w:val="00C23315"/>
    <w:rsid w:val="00C2339B"/>
    <w:rsid w:val="00C233C6"/>
    <w:rsid w:val="00C235BA"/>
    <w:rsid w:val="00C23B62"/>
    <w:rsid w:val="00C249EC"/>
    <w:rsid w:val="00C25298"/>
    <w:rsid w:val="00C257B0"/>
    <w:rsid w:val="00C25A14"/>
    <w:rsid w:val="00C25E38"/>
    <w:rsid w:val="00C25E64"/>
    <w:rsid w:val="00C25EAA"/>
    <w:rsid w:val="00C263F8"/>
    <w:rsid w:val="00C26648"/>
    <w:rsid w:val="00C26E23"/>
    <w:rsid w:val="00C26E2D"/>
    <w:rsid w:val="00C273A1"/>
    <w:rsid w:val="00C2740D"/>
    <w:rsid w:val="00C279D2"/>
    <w:rsid w:val="00C279DE"/>
    <w:rsid w:val="00C27C2D"/>
    <w:rsid w:val="00C27D27"/>
    <w:rsid w:val="00C30037"/>
    <w:rsid w:val="00C30201"/>
    <w:rsid w:val="00C30455"/>
    <w:rsid w:val="00C30488"/>
    <w:rsid w:val="00C306B8"/>
    <w:rsid w:val="00C30874"/>
    <w:rsid w:val="00C30BA7"/>
    <w:rsid w:val="00C30CF3"/>
    <w:rsid w:val="00C314EA"/>
    <w:rsid w:val="00C31845"/>
    <w:rsid w:val="00C326E3"/>
    <w:rsid w:val="00C3288F"/>
    <w:rsid w:val="00C32C9B"/>
    <w:rsid w:val="00C32EE9"/>
    <w:rsid w:val="00C32F86"/>
    <w:rsid w:val="00C334BE"/>
    <w:rsid w:val="00C335BD"/>
    <w:rsid w:val="00C33729"/>
    <w:rsid w:val="00C34607"/>
    <w:rsid w:val="00C346B2"/>
    <w:rsid w:val="00C34C62"/>
    <w:rsid w:val="00C355A7"/>
    <w:rsid w:val="00C35808"/>
    <w:rsid w:val="00C35DFC"/>
    <w:rsid w:val="00C361D1"/>
    <w:rsid w:val="00C362A9"/>
    <w:rsid w:val="00C36738"/>
    <w:rsid w:val="00C36746"/>
    <w:rsid w:val="00C36B50"/>
    <w:rsid w:val="00C36ECC"/>
    <w:rsid w:val="00C36ED3"/>
    <w:rsid w:val="00C36F68"/>
    <w:rsid w:val="00C37270"/>
    <w:rsid w:val="00C37559"/>
    <w:rsid w:val="00C376AC"/>
    <w:rsid w:val="00C376BB"/>
    <w:rsid w:val="00C377F8"/>
    <w:rsid w:val="00C37B70"/>
    <w:rsid w:val="00C4044B"/>
    <w:rsid w:val="00C4056A"/>
    <w:rsid w:val="00C409A1"/>
    <w:rsid w:val="00C40E8D"/>
    <w:rsid w:val="00C40FD1"/>
    <w:rsid w:val="00C4117C"/>
    <w:rsid w:val="00C4132B"/>
    <w:rsid w:val="00C41382"/>
    <w:rsid w:val="00C41618"/>
    <w:rsid w:val="00C41620"/>
    <w:rsid w:val="00C41670"/>
    <w:rsid w:val="00C418ED"/>
    <w:rsid w:val="00C42332"/>
    <w:rsid w:val="00C424C7"/>
    <w:rsid w:val="00C42A38"/>
    <w:rsid w:val="00C42BE9"/>
    <w:rsid w:val="00C42E82"/>
    <w:rsid w:val="00C43205"/>
    <w:rsid w:val="00C435A3"/>
    <w:rsid w:val="00C437D9"/>
    <w:rsid w:val="00C43B8D"/>
    <w:rsid w:val="00C43F6B"/>
    <w:rsid w:val="00C4407F"/>
    <w:rsid w:val="00C44188"/>
    <w:rsid w:val="00C4433A"/>
    <w:rsid w:val="00C446A3"/>
    <w:rsid w:val="00C44EDB"/>
    <w:rsid w:val="00C45A92"/>
    <w:rsid w:val="00C45F1B"/>
    <w:rsid w:val="00C46112"/>
    <w:rsid w:val="00C46263"/>
    <w:rsid w:val="00C4627B"/>
    <w:rsid w:val="00C46501"/>
    <w:rsid w:val="00C4658B"/>
    <w:rsid w:val="00C46695"/>
    <w:rsid w:val="00C46C5D"/>
    <w:rsid w:val="00C47389"/>
    <w:rsid w:val="00C474B5"/>
    <w:rsid w:val="00C47542"/>
    <w:rsid w:val="00C47DAC"/>
    <w:rsid w:val="00C47DD9"/>
    <w:rsid w:val="00C47F7A"/>
    <w:rsid w:val="00C47FC2"/>
    <w:rsid w:val="00C50311"/>
    <w:rsid w:val="00C5078F"/>
    <w:rsid w:val="00C50D1E"/>
    <w:rsid w:val="00C50F9A"/>
    <w:rsid w:val="00C51400"/>
    <w:rsid w:val="00C51551"/>
    <w:rsid w:val="00C51920"/>
    <w:rsid w:val="00C519F4"/>
    <w:rsid w:val="00C51C42"/>
    <w:rsid w:val="00C51CE1"/>
    <w:rsid w:val="00C520AF"/>
    <w:rsid w:val="00C529F6"/>
    <w:rsid w:val="00C52BA7"/>
    <w:rsid w:val="00C52E2F"/>
    <w:rsid w:val="00C5309C"/>
    <w:rsid w:val="00C537C7"/>
    <w:rsid w:val="00C53AEA"/>
    <w:rsid w:val="00C53E77"/>
    <w:rsid w:val="00C53EB1"/>
    <w:rsid w:val="00C53F6E"/>
    <w:rsid w:val="00C53F8D"/>
    <w:rsid w:val="00C54075"/>
    <w:rsid w:val="00C547F1"/>
    <w:rsid w:val="00C54BD4"/>
    <w:rsid w:val="00C54CD8"/>
    <w:rsid w:val="00C54D6C"/>
    <w:rsid w:val="00C55116"/>
    <w:rsid w:val="00C5571A"/>
    <w:rsid w:val="00C55BE2"/>
    <w:rsid w:val="00C55FFD"/>
    <w:rsid w:val="00C5613C"/>
    <w:rsid w:val="00C561BD"/>
    <w:rsid w:val="00C5682E"/>
    <w:rsid w:val="00C56A30"/>
    <w:rsid w:val="00C56D89"/>
    <w:rsid w:val="00C56DC6"/>
    <w:rsid w:val="00C572F7"/>
    <w:rsid w:val="00C5735B"/>
    <w:rsid w:val="00C577F5"/>
    <w:rsid w:val="00C57845"/>
    <w:rsid w:val="00C57D49"/>
    <w:rsid w:val="00C57E33"/>
    <w:rsid w:val="00C606E2"/>
    <w:rsid w:val="00C60915"/>
    <w:rsid w:val="00C60B79"/>
    <w:rsid w:val="00C60BAA"/>
    <w:rsid w:val="00C61102"/>
    <w:rsid w:val="00C6143E"/>
    <w:rsid w:val="00C6154F"/>
    <w:rsid w:val="00C61766"/>
    <w:rsid w:val="00C61A83"/>
    <w:rsid w:val="00C61ACF"/>
    <w:rsid w:val="00C61EA9"/>
    <w:rsid w:val="00C62597"/>
    <w:rsid w:val="00C628AF"/>
    <w:rsid w:val="00C62C1F"/>
    <w:rsid w:val="00C62DDC"/>
    <w:rsid w:val="00C62E66"/>
    <w:rsid w:val="00C62EBB"/>
    <w:rsid w:val="00C632A5"/>
    <w:rsid w:val="00C632E0"/>
    <w:rsid w:val="00C633F1"/>
    <w:rsid w:val="00C636D8"/>
    <w:rsid w:val="00C639D7"/>
    <w:rsid w:val="00C644CB"/>
    <w:rsid w:val="00C644FC"/>
    <w:rsid w:val="00C65468"/>
    <w:rsid w:val="00C6552D"/>
    <w:rsid w:val="00C6575F"/>
    <w:rsid w:val="00C6590C"/>
    <w:rsid w:val="00C65F1C"/>
    <w:rsid w:val="00C66A73"/>
    <w:rsid w:val="00C66AE9"/>
    <w:rsid w:val="00C67311"/>
    <w:rsid w:val="00C67AA6"/>
    <w:rsid w:val="00C67B8C"/>
    <w:rsid w:val="00C67C50"/>
    <w:rsid w:val="00C70729"/>
    <w:rsid w:val="00C70B91"/>
    <w:rsid w:val="00C70D03"/>
    <w:rsid w:val="00C70F96"/>
    <w:rsid w:val="00C70FD4"/>
    <w:rsid w:val="00C712C5"/>
    <w:rsid w:val="00C71416"/>
    <w:rsid w:val="00C71DA5"/>
    <w:rsid w:val="00C72102"/>
    <w:rsid w:val="00C72833"/>
    <w:rsid w:val="00C72920"/>
    <w:rsid w:val="00C72B1A"/>
    <w:rsid w:val="00C72CDB"/>
    <w:rsid w:val="00C72EF7"/>
    <w:rsid w:val="00C72FDA"/>
    <w:rsid w:val="00C73210"/>
    <w:rsid w:val="00C732AA"/>
    <w:rsid w:val="00C732D1"/>
    <w:rsid w:val="00C733BE"/>
    <w:rsid w:val="00C73624"/>
    <w:rsid w:val="00C73AC7"/>
    <w:rsid w:val="00C745C7"/>
    <w:rsid w:val="00C74E7D"/>
    <w:rsid w:val="00C751D2"/>
    <w:rsid w:val="00C7571F"/>
    <w:rsid w:val="00C759DD"/>
    <w:rsid w:val="00C759F7"/>
    <w:rsid w:val="00C75E95"/>
    <w:rsid w:val="00C7616D"/>
    <w:rsid w:val="00C76435"/>
    <w:rsid w:val="00C764BA"/>
    <w:rsid w:val="00C765A2"/>
    <w:rsid w:val="00C765A9"/>
    <w:rsid w:val="00C768CD"/>
    <w:rsid w:val="00C76A99"/>
    <w:rsid w:val="00C76C5F"/>
    <w:rsid w:val="00C76FBD"/>
    <w:rsid w:val="00C77016"/>
    <w:rsid w:val="00C77259"/>
    <w:rsid w:val="00C776C1"/>
    <w:rsid w:val="00C77A4F"/>
    <w:rsid w:val="00C77A95"/>
    <w:rsid w:val="00C77B40"/>
    <w:rsid w:val="00C77B74"/>
    <w:rsid w:val="00C77DDA"/>
    <w:rsid w:val="00C77EF5"/>
    <w:rsid w:val="00C8014D"/>
    <w:rsid w:val="00C8043C"/>
    <w:rsid w:val="00C80749"/>
    <w:rsid w:val="00C809A9"/>
    <w:rsid w:val="00C80CAE"/>
    <w:rsid w:val="00C815C5"/>
    <w:rsid w:val="00C81655"/>
    <w:rsid w:val="00C819E1"/>
    <w:rsid w:val="00C81E5B"/>
    <w:rsid w:val="00C81F54"/>
    <w:rsid w:val="00C81FBD"/>
    <w:rsid w:val="00C82DA3"/>
    <w:rsid w:val="00C82ECF"/>
    <w:rsid w:val="00C83085"/>
    <w:rsid w:val="00C8309C"/>
    <w:rsid w:val="00C83427"/>
    <w:rsid w:val="00C834AD"/>
    <w:rsid w:val="00C83581"/>
    <w:rsid w:val="00C8368D"/>
    <w:rsid w:val="00C83AB6"/>
    <w:rsid w:val="00C83BF4"/>
    <w:rsid w:val="00C848D1"/>
    <w:rsid w:val="00C84A6C"/>
    <w:rsid w:val="00C84E06"/>
    <w:rsid w:val="00C8500B"/>
    <w:rsid w:val="00C85232"/>
    <w:rsid w:val="00C85412"/>
    <w:rsid w:val="00C858CC"/>
    <w:rsid w:val="00C85A63"/>
    <w:rsid w:val="00C85B48"/>
    <w:rsid w:val="00C85D23"/>
    <w:rsid w:val="00C85E5D"/>
    <w:rsid w:val="00C8622E"/>
    <w:rsid w:val="00C8677D"/>
    <w:rsid w:val="00C86BD7"/>
    <w:rsid w:val="00C86F22"/>
    <w:rsid w:val="00C871CC"/>
    <w:rsid w:val="00C87246"/>
    <w:rsid w:val="00C872BC"/>
    <w:rsid w:val="00C87715"/>
    <w:rsid w:val="00C87CC6"/>
    <w:rsid w:val="00C901AC"/>
    <w:rsid w:val="00C908D6"/>
    <w:rsid w:val="00C90B51"/>
    <w:rsid w:val="00C90CC8"/>
    <w:rsid w:val="00C90D1F"/>
    <w:rsid w:val="00C90FA1"/>
    <w:rsid w:val="00C91016"/>
    <w:rsid w:val="00C910BA"/>
    <w:rsid w:val="00C9185B"/>
    <w:rsid w:val="00C91A16"/>
    <w:rsid w:val="00C921ED"/>
    <w:rsid w:val="00C923AA"/>
    <w:rsid w:val="00C929C7"/>
    <w:rsid w:val="00C92BE7"/>
    <w:rsid w:val="00C92F8B"/>
    <w:rsid w:val="00C933C9"/>
    <w:rsid w:val="00C939FF"/>
    <w:rsid w:val="00C93EF5"/>
    <w:rsid w:val="00C93F34"/>
    <w:rsid w:val="00C942D1"/>
    <w:rsid w:val="00C944C1"/>
    <w:rsid w:val="00C94535"/>
    <w:rsid w:val="00C94818"/>
    <w:rsid w:val="00C94E5C"/>
    <w:rsid w:val="00C94E90"/>
    <w:rsid w:val="00C94EEF"/>
    <w:rsid w:val="00C950B9"/>
    <w:rsid w:val="00C953B3"/>
    <w:rsid w:val="00C954F4"/>
    <w:rsid w:val="00C95766"/>
    <w:rsid w:val="00C95AE3"/>
    <w:rsid w:val="00C9604C"/>
    <w:rsid w:val="00C961A6"/>
    <w:rsid w:val="00C962D7"/>
    <w:rsid w:val="00C96306"/>
    <w:rsid w:val="00C963EA"/>
    <w:rsid w:val="00C9650F"/>
    <w:rsid w:val="00C965F0"/>
    <w:rsid w:val="00C96821"/>
    <w:rsid w:val="00C96D6B"/>
    <w:rsid w:val="00C970AA"/>
    <w:rsid w:val="00C97236"/>
    <w:rsid w:val="00C973B3"/>
    <w:rsid w:val="00C9741E"/>
    <w:rsid w:val="00C97628"/>
    <w:rsid w:val="00C978F4"/>
    <w:rsid w:val="00CA020F"/>
    <w:rsid w:val="00CA029C"/>
    <w:rsid w:val="00CA0365"/>
    <w:rsid w:val="00CA038C"/>
    <w:rsid w:val="00CA059E"/>
    <w:rsid w:val="00CA0714"/>
    <w:rsid w:val="00CA0D1B"/>
    <w:rsid w:val="00CA0DEE"/>
    <w:rsid w:val="00CA11B5"/>
    <w:rsid w:val="00CA13A6"/>
    <w:rsid w:val="00CA14C4"/>
    <w:rsid w:val="00CA1761"/>
    <w:rsid w:val="00CA18B2"/>
    <w:rsid w:val="00CA1B31"/>
    <w:rsid w:val="00CA1BD1"/>
    <w:rsid w:val="00CA1CB4"/>
    <w:rsid w:val="00CA1FA3"/>
    <w:rsid w:val="00CA229D"/>
    <w:rsid w:val="00CA23AC"/>
    <w:rsid w:val="00CA25F1"/>
    <w:rsid w:val="00CA2640"/>
    <w:rsid w:val="00CA2AF9"/>
    <w:rsid w:val="00CA2C1B"/>
    <w:rsid w:val="00CA2FEF"/>
    <w:rsid w:val="00CA32F4"/>
    <w:rsid w:val="00CA33C7"/>
    <w:rsid w:val="00CA376F"/>
    <w:rsid w:val="00CA3B3B"/>
    <w:rsid w:val="00CA3BBA"/>
    <w:rsid w:val="00CA3CF3"/>
    <w:rsid w:val="00CA3D2F"/>
    <w:rsid w:val="00CA4352"/>
    <w:rsid w:val="00CA4501"/>
    <w:rsid w:val="00CA49D7"/>
    <w:rsid w:val="00CA4AC3"/>
    <w:rsid w:val="00CA4E9B"/>
    <w:rsid w:val="00CA5A2A"/>
    <w:rsid w:val="00CA5A2B"/>
    <w:rsid w:val="00CA5D12"/>
    <w:rsid w:val="00CA5DE1"/>
    <w:rsid w:val="00CA6062"/>
    <w:rsid w:val="00CA659C"/>
    <w:rsid w:val="00CA78CB"/>
    <w:rsid w:val="00CA7DBC"/>
    <w:rsid w:val="00CB03B1"/>
    <w:rsid w:val="00CB0610"/>
    <w:rsid w:val="00CB0689"/>
    <w:rsid w:val="00CB09AF"/>
    <w:rsid w:val="00CB0DE2"/>
    <w:rsid w:val="00CB0E75"/>
    <w:rsid w:val="00CB1004"/>
    <w:rsid w:val="00CB163D"/>
    <w:rsid w:val="00CB1A9A"/>
    <w:rsid w:val="00CB1B43"/>
    <w:rsid w:val="00CB1ED4"/>
    <w:rsid w:val="00CB1F80"/>
    <w:rsid w:val="00CB273A"/>
    <w:rsid w:val="00CB290D"/>
    <w:rsid w:val="00CB2A22"/>
    <w:rsid w:val="00CB2C58"/>
    <w:rsid w:val="00CB2CD7"/>
    <w:rsid w:val="00CB31B2"/>
    <w:rsid w:val="00CB31BA"/>
    <w:rsid w:val="00CB3365"/>
    <w:rsid w:val="00CB38A3"/>
    <w:rsid w:val="00CB3978"/>
    <w:rsid w:val="00CB3AB3"/>
    <w:rsid w:val="00CB4584"/>
    <w:rsid w:val="00CB503C"/>
    <w:rsid w:val="00CB5450"/>
    <w:rsid w:val="00CB5580"/>
    <w:rsid w:val="00CB5701"/>
    <w:rsid w:val="00CB5B54"/>
    <w:rsid w:val="00CB5FD9"/>
    <w:rsid w:val="00CB648A"/>
    <w:rsid w:val="00CB6808"/>
    <w:rsid w:val="00CB687B"/>
    <w:rsid w:val="00CB6A46"/>
    <w:rsid w:val="00CB6B88"/>
    <w:rsid w:val="00CB6E6A"/>
    <w:rsid w:val="00CB71FA"/>
    <w:rsid w:val="00CB730D"/>
    <w:rsid w:val="00CB7336"/>
    <w:rsid w:val="00CB76BF"/>
    <w:rsid w:val="00CB7923"/>
    <w:rsid w:val="00CC018D"/>
    <w:rsid w:val="00CC07B5"/>
    <w:rsid w:val="00CC0F16"/>
    <w:rsid w:val="00CC1995"/>
    <w:rsid w:val="00CC19EB"/>
    <w:rsid w:val="00CC1A5E"/>
    <w:rsid w:val="00CC1CDD"/>
    <w:rsid w:val="00CC2183"/>
    <w:rsid w:val="00CC28B5"/>
    <w:rsid w:val="00CC2A22"/>
    <w:rsid w:val="00CC2A3C"/>
    <w:rsid w:val="00CC2CDF"/>
    <w:rsid w:val="00CC39E1"/>
    <w:rsid w:val="00CC3D8D"/>
    <w:rsid w:val="00CC3F73"/>
    <w:rsid w:val="00CC46A9"/>
    <w:rsid w:val="00CC48C5"/>
    <w:rsid w:val="00CC4A97"/>
    <w:rsid w:val="00CC4DC6"/>
    <w:rsid w:val="00CC4E21"/>
    <w:rsid w:val="00CC524F"/>
    <w:rsid w:val="00CC553C"/>
    <w:rsid w:val="00CC568E"/>
    <w:rsid w:val="00CC575E"/>
    <w:rsid w:val="00CC594A"/>
    <w:rsid w:val="00CC5BEC"/>
    <w:rsid w:val="00CC5E2C"/>
    <w:rsid w:val="00CC5E7F"/>
    <w:rsid w:val="00CC615C"/>
    <w:rsid w:val="00CC69D9"/>
    <w:rsid w:val="00CC6B77"/>
    <w:rsid w:val="00CC7423"/>
    <w:rsid w:val="00CC742B"/>
    <w:rsid w:val="00CC74B8"/>
    <w:rsid w:val="00CC7F31"/>
    <w:rsid w:val="00CD04F1"/>
    <w:rsid w:val="00CD051C"/>
    <w:rsid w:val="00CD0999"/>
    <w:rsid w:val="00CD09D6"/>
    <w:rsid w:val="00CD0A39"/>
    <w:rsid w:val="00CD0C3D"/>
    <w:rsid w:val="00CD0F33"/>
    <w:rsid w:val="00CD0F91"/>
    <w:rsid w:val="00CD0FFD"/>
    <w:rsid w:val="00CD1150"/>
    <w:rsid w:val="00CD176C"/>
    <w:rsid w:val="00CD1856"/>
    <w:rsid w:val="00CD1D9F"/>
    <w:rsid w:val="00CD2162"/>
    <w:rsid w:val="00CD23AE"/>
    <w:rsid w:val="00CD2959"/>
    <w:rsid w:val="00CD2EBF"/>
    <w:rsid w:val="00CD2F1F"/>
    <w:rsid w:val="00CD3283"/>
    <w:rsid w:val="00CD350E"/>
    <w:rsid w:val="00CD3BC0"/>
    <w:rsid w:val="00CD3CBE"/>
    <w:rsid w:val="00CD41DD"/>
    <w:rsid w:val="00CD4392"/>
    <w:rsid w:val="00CD4482"/>
    <w:rsid w:val="00CD44DB"/>
    <w:rsid w:val="00CD4A44"/>
    <w:rsid w:val="00CD4BD2"/>
    <w:rsid w:val="00CD4CA6"/>
    <w:rsid w:val="00CD4CE6"/>
    <w:rsid w:val="00CD4E6D"/>
    <w:rsid w:val="00CD4EB4"/>
    <w:rsid w:val="00CD521E"/>
    <w:rsid w:val="00CD5372"/>
    <w:rsid w:val="00CD5507"/>
    <w:rsid w:val="00CD56A0"/>
    <w:rsid w:val="00CD5AE0"/>
    <w:rsid w:val="00CD5DAC"/>
    <w:rsid w:val="00CD5F3D"/>
    <w:rsid w:val="00CD6295"/>
    <w:rsid w:val="00CD6463"/>
    <w:rsid w:val="00CD6E99"/>
    <w:rsid w:val="00CD6EA1"/>
    <w:rsid w:val="00CD730D"/>
    <w:rsid w:val="00CD7594"/>
    <w:rsid w:val="00CE0101"/>
    <w:rsid w:val="00CE0360"/>
    <w:rsid w:val="00CE06D4"/>
    <w:rsid w:val="00CE095B"/>
    <w:rsid w:val="00CE096D"/>
    <w:rsid w:val="00CE0AA1"/>
    <w:rsid w:val="00CE1076"/>
    <w:rsid w:val="00CE1282"/>
    <w:rsid w:val="00CE143A"/>
    <w:rsid w:val="00CE1571"/>
    <w:rsid w:val="00CE1635"/>
    <w:rsid w:val="00CE1B0D"/>
    <w:rsid w:val="00CE1CF3"/>
    <w:rsid w:val="00CE1D08"/>
    <w:rsid w:val="00CE35EF"/>
    <w:rsid w:val="00CE38A9"/>
    <w:rsid w:val="00CE38AB"/>
    <w:rsid w:val="00CE3A4A"/>
    <w:rsid w:val="00CE3F57"/>
    <w:rsid w:val="00CE4236"/>
    <w:rsid w:val="00CE4A42"/>
    <w:rsid w:val="00CE4C93"/>
    <w:rsid w:val="00CE524B"/>
    <w:rsid w:val="00CE544B"/>
    <w:rsid w:val="00CE565D"/>
    <w:rsid w:val="00CE58A4"/>
    <w:rsid w:val="00CE591E"/>
    <w:rsid w:val="00CE59C2"/>
    <w:rsid w:val="00CE6410"/>
    <w:rsid w:val="00CE6731"/>
    <w:rsid w:val="00CE68F1"/>
    <w:rsid w:val="00CE6F89"/>
    <w:rsid w:val="00CE7029"/>
    <w:rsid w:val="00CE7035"/>
    <w:rsid w:val="00CE7713"/>
    <w:rsid w:val="00CF0277"/>
    <w:rsid w:val="00CF0D31"/>
    <w:rsid w:val="00CF0D33"/>
    <w:rsid w:val="00CF0ED3"/>
    <w:rsid w:val="00CF1185"/>
    <w:rsid w:val="00CF12FD"/>
    <w:rsid w:val="00CF1407"/>
    <w:rsid w:val="00CF15D7"/>
    <w:rsid w:val="00CF16EF"/>
    <w:rsid w:val="00CF189A"/>
    <w:rsid w:val="00CF1BBD"/>
    <w:rsid w:val="00CF1DB8"/>
    <w:rsid w:val="00CF1E2B"/>
    <w:rsid w:val="00CF1FB0"/>
    <w:rsid w:val="00CF2699"/>
    <w:rsid w:val="00CF286C"/>
    <w:rsid w:val="00CF2A11"/>
    <w:rsid w:val="00CF35CF"/>
    <w:rsid w:val="00CF3A3E"/>
    <w:rsid w:val="00CF3A8C"/>
    <w:rsid w:val="00CF3BEC"/>
    <w:rsid w:val="00CF3CFB"/>
    <w:rsid w:val="00CF4C62"/>
    <w:rsid w:val="00CF4D95"/>
    <w:rsid w:val="00CF4E92"/>
    <w:rsid w:val="00CF52E3"/>
    <w:rsid w:val="00CF562F"/>
    <w:rsid w:val="00CF586B"/>
    <w:rsid w:val="00CF5A3C"/>
    <w:rsid w:val="00CF5AB7"/>
    <w:rsid w:val="00CF5CF3"/>
    <w:rsid w:val="00CF631B"/>
    <w:rsid w:val="00CF6406"/>
    <w:rsid w:val="00CF658F"/>
    <w:rsid w:val="00CF6BD1"/>
    <w:rsid w:val="00CF6C34"/>
    <w:rsid w:val="00CF6CA1"/>
    <w:rsid w:val="00CF6CF6"/>
    <w:rsid w:val="00CF6F90"/>
    <w:rsid w:val="00CF7330"/>
    <w:rsid w:val="00CF7819"/>
    <w:rsid w:val="00CF78AF"/>
    <w:rsid w:val="00CF7BE8"/>
    <w:rsid w:val="00D0050E"/>
    <w:rsid w:val="00D00886"/>
    <w:rsid w:val="00D0097D"/>
    <w:rsid w:val="00D00BDD"/>
    <w:rsid w:val="00D00C1C"/>
    <w:rsid w:val="00D00D21"/>
    <w:rsid w:val="00D01B0A"/>
    <w:rsid w:val="00D01B35"/>
    <w:rsid w:val="00D01C31"/>
    <w:rsid w:val="00D021F2"/>
    <w:rsid w:val="00D025CD"/>
    <w:rsid w:val="00D034FB"/>
    <w:rsid w:val="00D0351B"/>
    <w:rsid w:val="00D0368C"/>
    <w:rsid w:val="00D037E3"/>
    <w:rsid w:val="00D0387A"/>
    <w:rsid w:val="00D03A00"/>
    <w:rsid w:val="00D03C05"/>
    <w:rsid w:val="00D04143"/>
    <w:rsid w:val="00D0480B"/>
    <w:rsid w:val="00D04848"/>
    <w:rsid w:val="00D0487E"/>
    <w:rsid w:val="00D0495C"/>
    <w:rsid w:val="00D04D54"/>
    <w:rsid w:val="00D050D7"/>
    <w:rsid w:val="00D0516D"/>
    <w:rsid w:val="00D0526A"/>
    <w:rsid w:val="00D05787"/>
    <w:rsid w:val="00D05841"/>
    <w:rsid w:val="00D05D71"/>
    <w:rsid w:val="00D0650C"/>
    <w:rsid w:val="00D06555"/>
    <w:rsid w:val="00D06981"/>
    <w:rsid w:val="00D06ADD"/>
    <w:rsid w:val="00D07579"/>
    <w:rsid w:val="00D076A6"/>
    <w:rsid w:val="00D0785F"/>
    <w:rsid w:val="00D07B5A"/>
    <w:rsid w:val="00D1037B"/>
    <w:rsid w:val="00D10767"/>
    <w:rsid w:val="00D10949"/>
    <w:rsid w:val="00D10F6F"/>
    <w:rsid w:val="00D10F7F"/>
    <w:rsid w:val="00D1137F"/>
    <w:rsid w:val="00D116A1"/>
    <w:rsid w:val="00D11995"/>
    <w:rsid w:val="00D11A39"/>
    <w:rsid w:val="00D11BA0"/>
    <w:rsid w:val="00D11FDB"/>
    <w:rsid w:val="00D12720"/>
    <w:rsid w:val="00D128DE"/>
    <w:rsid w:val="00D12904"/>
    <w:rsid w:val="00D129EE"/>
    <w:rsid w:val="00D12CCF"/>
    <w:rsid w:val="00D12F34"/>
    <w:rsid w:val="00D1309E"/>
    <w:rsid w:val="00D13232"/>
    <w:rsid w:val="00D13DAB"/>
    <w:rsid w:val="00D13EB9"/>
    <w:rsid w:val="00D13F41"/>
    <w:rsid w:val="00D13F49"/>
    <w:rsid w:val="00D14333"/>
    <w:rsid w:val="00D14520"/>
    <w:rsid w:val="00D14662"/>
    <w:rsid w:val="00D1476E"/>
    <w:rsid w:val="00D148B6"/>
    <w:rsid w:val="00D14B44"/>
    <w:rsid w:val="00D154E6"/>
    <w:rsid w:val="00D156F2"/>
    <w:rsid w:val="00D1585A"/>
    <w:rsid w:val="00D15ACF"/>
    <w:rsid w:val="00D15B61"/>
    <w:rsid w:val="00D1609F"/>
    <w:rsid w:val="00D160C5"/>
    <w:rsid w:val="00D16461"/>
    <w:rsid w:val="00D1652C"/>
    <w:rsid w:val="00D1664E"/>
    <w:rsid w:val="00D1667C"/>
    <w:rsid w:val="00D16895"/>
    <w:rsid w:val="00D177F8"/>
    <w:rsid w:val="00D17B87"/>
    <w:rsid w:val="00D2003A"/>
    <w:rsid w:val="00D2035D"/>
    <w:rsid w:val="00D203D0"/>
    <w:rsid w:val="00D20488"/>
    <w:rsid w:val="00D20E43"/>
    <w:rsid w:val="00D20E66"/>
    <w:rsid w:val="00D21542"/>
    <w:rsid w:val="00D216C8"/>
    <w:rsid w:val="00D217A1"/>
    <w:rsid w:val="00D21C0D"/>
    <w:rsid w:val="00D21D94"/>
    <w:rsid w:val="00D2238E"/>
    <w:rsid w:val="00D22551"/>
    <w:rsid w:val="00D228CB"/>
    <w:rsid w:val="00D22CBE"/>
    <w:rsid w:val="00D2300D"/>
    <w:rsid w:val="00D2360C"/>
    <w:rsid w:val="00D239F8"/>
    <w:rsid w:val="00D24192"/>
    <w:rsid w:val="00D241C2"/>
    <w:rsid w:val="00D244F8"/>
    <w:rsid w:val="00D2472C"/>
    <w:rsid w:val="00D24A7A"/>
    <w:rsid w:val="00D24B9D"/>
    <w:rsid w:val="00D24D06"/>
    <w:rsid w:val="00D24DDE"/>
    <w:rsid w:val="00D24DFF"/>
    <w:rsid w:val="00D25245"/>
    <w:rsid w:val="00D2563B"/>
    <w:rsid w:val="00D25B56"/>
    <w:rsid w:val="00D25FEF"/>
    <w:rsid w:val="00D26680"/>
    <w:rsid w:val="00D267EB"/>
    <w:rsid w:val="00D269B2"/>
    <w:rsid w:val="00D26E1F"/>
    <w:rsid w:val="00D277CE"/>
    <w:rsid w:val="00D27AE4"/>
    <w:rsid w:val="00D27C06"/>
    <w:rsid w:val="00D27DFC"/>
    <w:rsid w:val="00D30105"/>
    <w:rsid w:val="00D302F9"/>
    <w:rsid w:val="00D307DC"/>
    <w:rsid w:val="00D3081D"/>
    <w:rsid w:val="00D30D3C"/>
    <w:rsid w:val="00D30F22"/>
    <w:rsid w:val="00D31182"/>
    <w:rsid w:val="00D314AC"/>
    <w:rsid w:val="00D31B7F"/>
    <w:rsid w:val="00D31DFE"/>
    <w:rsid w:val="00D321FA"/>
    <w:rsid w:val="00D32769"/>
    <w:rsid w:val="00D32B0B"/>
    <w:rsid w:val="00D32B3B"/>
    <w:rsid w:val="00D32C14"/>
    <w:rsid w:val="00D330A7"/>
    <w:rsid w:val="00D3372A"/>
    <w:rsid w:val="00D33907"/>
    <w:rsid w:val="00D33E1F"/>
    <w:rsid w:val="00D33E78"/>
    <w:rsid w:val="00D33F30"/>
    <w:rsid w:val="00D341B9"/>
    <w:rsid w:val="00D3427C"/>
    <w:rsid w:val="00D344E7"/>
    <w:rsid w:val="00D345BC"/>
    <w:rsid w:val="00D34970"/>
    <w:rsid w:val="00D34CBA"/>
    <w:rsid w:val="00D34F3D"/>
    <w:rsid w:val="00D35B2A"/>
    <w:rsid w:val="00D35D2B"/>
    <w:rsid w:val="00D35E1D"/>
    <w:rsid w:val="00D36248"/>
    <w:rsid w:val="00D363EC"/>
    <w:rsid w:val="00D36756"/>
    <w:rsid w:val="00D36C0E"/>
    <w:rsid w:val="00D36CEE"/>
    <w:rsid w:val="00D37477"/>
    <w:rsid w:val="00D3757E"/>
    <w:rsid w:val="00D37764"/>
    <w:rsid w:val="00D379FD"/>
    <w:rsid w:val="00D37EBD"/>
    <w:rsid w:val="00D401FB"/>
    <w:rsid w:val="00D40330"/>
    <w:rsid w:val="00D4066C"/>
    <w:rsid w:val="00D4088C"/>
    <w:rsid w:val="00D40B36"/>
    <w:rsid w:val="00D40FD2"/>
    <w:rsid w:val="00D41377"/>
    <w:rsid w:val="00D41769"/>
    <w:rsid w:val="00D41BBE"/>
    <w:rsid w:val="00D41BE6"/>
    <w:rsid w:val="00D41D57"/>
    <w:rsid w:val="00D41DE2"/>
    <w:rsid w:val="00D42211"/>
    <w:rsid w:val="00D42258"/>
    <w:rsid w:val="00D42317"/>
    <w:rsid w:val="00D4265B"/>
    <w:rsid w:val="00D42671"/>
    <w:rsid w:val="00D42868"/>
    <w:rsid w:val="00D42B4D"/>
    <w:rsid w:val="00D42B79"/>
    <w:rsid w:val="00D43447"/>
    <w:rsid w:val="00D436A6"/>
    <w:rsid w:val="00D43E1F"/>
    <w:rsid w:val="00D4431D"/>
    <w:rsid w:val="00D44490"/>
    <w:rsid w:val="00D444A2"/>
    <w:rsid w:val="00D447C3"/>
    <w:rsid w:val="00D448B8"/>
    <w:rsid w:val="00D44906"/>
    <w:rsid w:val="00D44B59"/>
    <w:rsid w:val="00D44D94"/>
    <w:rsid w:val="00D45265"/>
    <w:rsid w:val="00D45376"/>
    <w:rsid w:val="00D458BB"/>
    <w:rsid w:val="00D45CEB"/>
    <w:rsid w:val="00D45D17"/>
    <w:rsid w:val="00D45F69"/>
    <w:rsid w:val="00D4602A"/>
    <w:rsid w:val="00D461B0"/>
    <w:rsid w:val="00D46288"/>
    <w:rsid w:val="00D4643A"/>
    <w:rsid w:val="00D466DE"/>
    <w:rsid w:val="00D466E1"/>
    <w:rsid w:val="00D46746"/>
    <w:rsid w:val="00D4728B"/>
    <w:rsid w:val="00D4750E"/>
    <w:rsid w:val="00D47F28"/>
    <w:rsid w:val="00D50F7C"/>
    <w:rsid w:val="00D512EA"/>
    <w:rsid w:val="00D51302"/>
    <w:rsid w:val="00D51B1C"/>
    <w:rsid w:val="00D52159"/>
    <w:rsid w:val="00D522DE"/>
    <w:rsid w:val="00D524EA"/>
    <w:rsid w:val="00D5250F"/>
    <w:rsid w:val="00D52C22"/>
    <w:rsid w:val="00D52CEF"/>
    <w:rsid w:val="00D52DB7"/>
    <w:rsid w:val="00D52F09"/>
    <w:rsid w:val="00D52F24"/>
    <w:rsid w:val="00D52F3F"/>
    <w:rsid w:val="00D5352B"/>
    <w:rsid w:val="00D53875"/>
    <w:rsid w:val="00D53C7D"/>
    <w:rsid w:val="00D53D9F"/>
    <w:rsid w:val="00D53E5B"/>
    <w:rsid w:val="00D53FAE"/>
    <w:rsid w:val="00D5402C"/>
    <w:rsid w:val="00D542F6"/>
    <w:rsid w:val="00D54938"/>
    <w:rsid w:val="00D54A12"/>
    <w:rsid w:val="00D54CE5"/>
    <w:rsid w:val="00D54DB9"/>
    <w:rsid w:val="00D54E30"/>
    <w:rsid w:val="00D5500C"/>
    <w:rsid w:val="00D554A3"/>
    <w:rsid w:val="00D55716"/>
    <w:rsid w:val="00D558CC"/>
    <w:rsid w:val="00D55A67"/>
    <w:rsid w:val="00D55CB3"/>
    <w:rsid w:val="00D55E60"/>
    <w:rsid w:val="00D56002"/>
    <w:rsid w:val="00D561B1"/>
    <w:rsid w:val="00D56480"/>
    <w:rsid w:val="00D56B78"/>
    <w:rsid w:val="00D57225"/>
    <w:rsid w:val="00D57300"/>
    <w:rsid w:val="00D57355"/>
    <w:rsid w:val="00D578BA"/>
    <w:rsid w:val="00D57B82"/>
    <w:rsid w:val="00D57D80"/>
    <w:rsid w:val="00D57DF3"/>
    <w:rsid w:val="00D60469"/>
    <w:rsid w:val="00D60486"/>
    <w:rsid w:val="00D60637"/>
    <w:rsid w:val="00D6081E"/>
    <w:rsid w:val="00D608B8"/>
    <w:rsid w:val="00D608BC"/>
    <w:rsid w:val="00D60A19"/>
    <w:rsid w:val="00D60D7C"/>
    <w:rsid w:val="00D6108C"/>
    <w:rsid w:val="00D611A9"/>
    <w:rsid w:val="00D614F6"/>
    <w:rsid w:val="00D61508"/>
    <w:rsid w:val="00D61B1D"/>
    <w:rsid w:val="00D61C83"/>
    <w:rsid w:val="00D620F9"/>
    <w:rsid w:val="00D621F3"/>
    <w:rsid w:val="00D6252A"/>
    <w:rsid w:val="00D6283F"/>
    <w:rsid w:val="00D6284A"/>
    <w:rsid w:val="00D62887"/>
    <w:rsid w:val="00D62986"/>
    <w:rsid w:val="00D629B8"/>
    <w:rsid w:val="00D62C29"/>
    <w:rsid w:val="00D63270"/>
    <w:rsid w:val="00D6337B"/>
    <w:rsid w:val="00D63C31"/>
    <w:rsid w:val="00D64447"/>
    <w:rsid w:val="00D64D85"/>
    <w:rsid w:val="00D64E98"/>
    <w:rsid w:val="00D6516F"/>
    <w:rsid w:val="00D6548A"/>
    <w:rsid w:val="00D658C6"/>
    <w:rsid w:val="00D65F3F"/>
    <w:rsid w:val="00D66059"/>
    <w:rsid w:val="00D66311"/>
    <w:rsid w:val="00D664D3"/>
    <w:rsid w:val="00D669E1"/>
    <w:rsid w:val="00D66B01"/>
    <w:rsid w:val="00D672BC"/>
    <w:rsid w:val="00D6760F"/>
    <w:rsid w:val="00D678A8"/>
    <w:rsid w:val="00D67ABA"/>
    <w:rsid w:val="00D67CC5"/>
    <w:rsid w:val="00D707A3"/>
    <w:rsid w:val="00D708D3"/>
    <w:rsid w:val="00D70963"/>
    <w:rsid w:val="00D70B91"/>
    <w:rsid w:val="00D70D0D"/>
    <w:rsid w:val="00D713DF"/>
    <w:rsid w:val="00D71494"/>
    <w:rsid w:val="00D71534"/>
    <w:rsid w:val="00D715FF"/>
    <w:rsid w:val="00D71862"/>
    <w:rsid w:val="00D71D5F"/>
    <w:rsid w:val="00D7208D"/>
    <w:rsid w:val="00D720F6"/>
    <w:rsid w:val="00D72244"/>
    <w:rsid w:val="00D72368"/>
    <w:rsid w:val="00D723AF"/>
    <w:rsid w:val="00D723C8"/>
    <w:rsid w:val="00D72439"/>
    <w:rsid w:val="00D727C7"/>
    <w:rsid w:val="00D72B06"/>
    <w:rsid w:val="00D72BEE"/>
    <w:rsid w:val="00D72C3C"/>
    <w:rsid w:val="00D72DE1"/>
    <w:rsid w:val="00D72E7A"/>
    <w:rsid w:val="00D730D4"/>
    <w:rsid w:val="00D731AE"/>
    <w:rsid w:val="00D73233"/>
    <w:rsid w:val="00D735B8"/>
    <w:rsid w:val="00D73942"/>
    <w:rsid w:val="00D73955"/>
    <w:rsid w:val="00D73AC1"/>
    <w:rsid w:val="00D73CA9"/>
    <w:rsid w:val="00D73FBE"/>
    <w:rsid w:val="00D7458C"/>
    <w:rsid w:val="00D74B30"/>
    <w:rsid w:val="00D74EC4"/>
    <w:rsid w:val="00D7505F"/>
    <w:rsid w:val="00D752F7"/>
    <w:rsid w:val="00D752FE"/>
    <w:rsid w:val="00D75337"/>
    <w:rsid w:val="00D75350"/>
    <w:rsid w:val="00D75AAE"/>
    <w:rsid w:val="00D75C60"/>
    <w:rsid w:val="00D75E43"/>
    <w:rsid w:val="00D760BC"/>
    <w:rsid w:val="00D766AC"/>
    <w:rsid w:val="00D76D04"/>
    <w:rsid w:val="00D76DE8"/>
    <w:rsid w:val="00D77634"/>
    <w:rsid w:val="00D80542"/>
    <w:rsid w:val="00D808D8"/>
    <w:rsid w:val="00D80B38"/>
    <w:rsid w:val="00D80F13"/>
    <w:rsid w:val="00D81038"/>
    <w:rsid w:val="00D81240"/>
    <w:rsid w:val="00D81353"/>
    <w:rsid w:val="00D814FA"/>
    <w:rsid w:val="00D822B6"/>
    <w:rsid w:val="00D823DD"/>
    <w:rsid w:val="00D823E4"/>
    <w:rsid w:val="00D824EE"/>
    <w:rsid w:val="00D82517"/>
    <w:rsid w:val="00D82A31"/>
    <w:rsid w:val="00D82A66"/>
    <w:rsid w:val="00D82D92"/>
    <w:rsid w:val="00D82E0C"/>
    <w:rsid w:val="00D82EB0"/>
    <w:rsid w:val="00D83031"/>
    <w:rsid w:val="00D83208"/>
    <w:rsid w:val="00D8328B"/>
    <w:rsid w:val="00D8358D"/>
    <w:rsid w:val="00D840CF"/>
    <w:rsid w:val="00D841E2"/>
    <w:rsid w:val="00D8435F"/>
    <w:rsid w:val="00D84476"/>
    <w:rsid w:val="00D84598"/>
    <w:rsid w:val="00D8471F"/>
    <w:rsid w:val="00D8473C"/>
    <w:rsid w:val="00D84959"/>
    <w:rsid w:val="00D84EC6"/>
    <w:rsid w:val="00D85181"/>
    <w:rsid w:val="00D85413"/>
    <w:rsid w:val="00D8553C"/>
    <w:rsid w:val="00D857A0"/>
    <w:rsid w:val="00D8585F"/>
    <w:rsid w:val="00D85C06"/>
    <w:rsid w:val="00D860FB"/>
    <w:rsid w:val="00D861FF"/>
    <w:rsid w:val="00D86837"/>
    <w:rsid w:val="00D86DAE"/>
    <w:rsid w:val="00D86FB3"/>
    <w:rsid w:val="00D87533"/>
    <w:rsid w:val="00D877FE"/>
    <w:rsid w:val="00D87AC6"/>
    <w:rsid w:val="00D87C19"/>
    <w:rsid w:val="00D9012E"/>
    <w:rsid w:val="00D90725"/>
    <w:rsid w:val="00D90897"/>
    <w:rsid w:val="00D90EE7"/>
    <w:rsid w:val="00D90F32"/>
    <w:rsid w:val="00D9117B"/>
    <w:rsid w:val="00D91591"/>
    <w:rsid w:val="00D918A1"/>
    <w:rsid w:val="00D91A4E"/>
    <w:rsid w:val="00D92273"/>
    <w:rsid w:val="00D922CA"/>
    <w:rsid w:val="00D92586"/>
    <w:rsid w:val="00D928C1"/>
    <w:rsid w:val="00D92CC6"/>
    <w:rsid w:val="00D92E3D"/>
    <w:rsid w:val="00D92FC7"/>
    <w:rsid w:val="00D93069"/>
    <w:rsid w:val="00D93162"/>
    <w:rsid w:val="00D93201"/>
    <w:rsid w:val="00D935D3"/>
    <w:rsid w:val="00D93637"/>
    <w:rsid w:val="00D936D5"/>
    <w:rsid w:val="00D93AC5"/>
    <w:rsid w:val="00D93D9D"/>
    <w:rsid w:val="00D94085"/>
    <w:rsid w:val="00D94D5E"/>
    <w:rsid w:val="00D94EEB"/>
    <w:rsid w:val="00D95009"/>
    <w:rsid w:val="00D9517D"/>
    <w:rsid w:val="00D953FD"/>
    <w:rsid w:val="00D9591B"/>
    <w:rsid w:val="00D95BAB"/>
    <w:rsid w:val="00D960F1"/>
    <w:rsid w:val="00D966D6"/>
    <w:rsid w:val="00D96C98"/>
    <w:rsid w:val="00D96E1B"/>
    <w:rsid w:val="00D96E42"/>
    <w:rsid w:val="00D96FBE"/>
    <w:rsid w:val="00D975D4"/>
    <w:rsid w:val="00D97903"/>
    <w:rsid w:val="00D97D39"/>
    <w:rsid w:val="00D97F7E"/>
    <w:rsid w:val="00DA0206"/>
    <w:rsid w:val="00DA0607"/>
    <w:rsid w:val="00DA07E2"/>
    <w:rsid w:val="00DA0E03"/>
    <w:rsid w:val="00DA0E3A"/>
    <w:rsid w:val="00DA0E93"/>
    <w:rsid w:val="00DA0F7B"/>
    <w:rsid w:val="00DA16ED"/>
    <w:rsid w:val="00DA19AC"/>
    <w:rsid w:val="00DA2294"/>
    <w:rsid w:val="00DA24C3"/>
    <w:rsid w:val="00DA2942"/>
    <w:rsid w:val="00DA2A2D"/>
    <w:rsid w:val="00DA2B9D"/>
    <w:rsid w:val="00DA2C8F"/>
    <w:rsid w:val="00DA2D65"/>
    <w:rsid w:val="00DA2D91"/>
    <w:rsid w:val="00DA2DD4"/>
    <w:rsid w:val="00DA2F16"/>
    <w:rsid w:val="00DA2FE5"/>
    <w:rsid w:val="00DA3036"/>
    <w:rsid w:val="00DA319D"/>
    <w:rsid w:val="00DA3558"/>
    <w:rsid w:val="00DA36DF"/>
    <w:rsid w:val="00DA3705"/>
    <w:rsid w:val="00DA370B"/>
    <w:rsid w:val="00DA371E"/>
    <w:rsid w:val="00DA37E5"/>
    <w:rsid w:val="00DA3D62"/>
    <w:rsid w:val="00DA41F8"/>
    <w:rsid w:val="00DA44F0"/>
    <w:rsid w:val="00DA466B"/>
    <w:rsid w:val="00DA46E8"/>
    <w:rsid w:val="00DA4BCC"/>
    <w:rsid w:val="00DA4C14"/>
    <w:rsid w:val="00DA4C9F"/>
    <w:rsid w:val="00DA4FE0"/>
    <w:rsid w:val="00DA5A70"/>
    <w:rsid w:val="00DA5C37"/>
    <w:rsid w:val="00DA5CA8"/>
    <w:rsid w:val="00DA5F57"/>
    <w:rsid w:val="00DA6009"/>
    <w:rsid w:val="00DA60D2"/>
    <w:rsid w:val="00DA6163"/>
    <w:rsid w:val="00DA6200"/>
    <w:rsid w:val="00DA644F"/>
    <w:rsid w:val="00DA66B4"/>
    <w:rsid w:val="00DA68AE"/>
    <w:rsid w:val="00DA6FEB"/>
    <w:rsid w:val="00DA7E36"/>
    <w:rsid w:val="00DB00B4"/>
    <w:rsid w:val="00DB015B"/>
    <w:rsid w:val="00DB041D"/>
    <w:rsid w:val="00DB081F"/>
    <w:rsid w:val="00DB0E05"/>
    <w:rsid w:val="00DB11FB"/>
    <w:rsid w:val="00DB1482"/>
    <w:rsid w:val="00DB163A"/>
    <w:rsid w:val="00DB19DA"/>
    <w:rsid w:val="00DB23B3"/>
    <w:rsid w:val="00DB2502"/>
    <w:rsid w:val="00DB2A4F"/>
    <w:rsid w:val="00DB2AA5"/>
    <w:rsid w:val="00DB31A2"/>
    <w:rsid w:val="00DB38EE"/>
    <w:rsid w:val="00DB3CF7"/>
    <w:rsid w:val="00DB3D46"/>
    <w:rsid w:val="00DB3F79"/>
    <w:rsid w:val="00DB404B"/>
    <w:rsid w:val="00DB412C"/>
    <w:rsid w:val="00DB428A"/>
    <w:rsid w:val="00DB4FE5"/>
    <w:rsid w:val="00DB5369"/>
    <w:rsid w:val="00DB592C"/>
    <w:rsid w:val="00DB5E67"/>
    <w:rsid w:val="00DB6066"/>
    <w:rsid w:val="00DB618B"/>
    <w:rsid w:val="00DB637E"/>
    <w:rsid w:val="00DB655D"/>
    <w:rsid w:val="00DB6568"/>
    <w:rsid w:val="00DB6589"/>
    <w:rsid w:val="00DB66A4"/>
    <w:rsid w:val="00DB68F3"/>
    <w:rsid w:val="00DB6BE8"/>
    <w:rsid w:val="00DB6E5A"/>
    <w:rsid w:val="00DB6F16"/>
    <w:rsid w:val="00DB7024"/>
    <w:rsid w:val="00DB7228"/>
    <w:rsid w:val="00DB75DC"/>
    <w:rsid w:val="00DB7749"/>
    <w:rsid w:val="00DC05D0"/>
    <w:rsid w:val="00DC0C68"/>
    <w:rsid w:val="00DC11D6"/>
    <w:rsid w:val="00DC1463"/>
    <w:rsid w:val="00DC1A51"/>
    <w:rsid w:val="00DC1B9C"/>
    <w:rsid w:val="00DC21E7"/>
    <w:rsid w:val="00DC22F0"/>
    <w:rsid w:val="00DC23F1"/>
    <w:rsid w:val="00DC24AD"/>
    <w:rsid w:val="00DC26CE"/>
    <w:rsid w:val="00DC275E"/>
    <w:rsid w:val="00DC29AE"/>
    <w:rsid w:val="00DC2B8E"/>
    <w:rsid w:val="00DC2D5C"/>
    <w:rsid w:val="00DC3022"/>
    <w:rsid w:val="00DC33DB"/>
    <w:rsid w:val="00DC3652"/>
    <w:rsid w:val="00DC39E0"/>
    <w:rsid w:val="00DC3E2B"/>
    <w:rsid w:val="00DC3F95"/>
    <w:rsid w:val="00DC4632"/>
    <w:rsid w:val="00DC47A4"/>
    <w:rsid w:val="00DC49FA"/>
    <w:rsid w:val="00DC4CF5"/>
    <w:rsid w:val="00DC4D56"/>
    <w:rsid w:val="00DC4FD0"/>
    <w:rsid w:val="00DC4FDD"/>
    <w:rsid w:val="00DC5489"/>
    <w:rsid w:val="00DC593D"/>
    <w:rsid w:val="00DC5BEF"/>
    <w:rsid w:val="00DC5DBE"/>
    <w:rsid w:val="00DC5E17"/>
    <w:rsid w:val="00DC61B1"/>
    <w:rsid w:val="00DC6292"/>
    <w:rsid w:val="00DC6839"/>
    <w:rsid w:val="00DC68D7"/>
    <w:rsid w:val="00DC699A"/>
    <w:rsid w:val="00DC6AF1"/>
    <w:rsid w:val="00DC6C2D"/>
    <w:rsid w:val="00DC7048"/>
    <w:rsid w:val="00DC713B"/>
    <w:rsid w:val="00DC72A0"/>
    <w:rsid w:val="00DC72EE"/>
    <w:rsid w:val="00DC75FA"/>
    <w:rsid w:val="00DC7952"/>
    <w:rsid w:val="00DC7A74"/>
    <w:rsid w:val="00DC7D6D"/>
    <w:rsid w:val="00DD0349"/>
    <w:rsid w:val="00DD0351"/>
    <w:rsid w:val="00DD0ACB"/>
    <w:rsid w:val="00DD0C9C"/>
    <w:rsid w:val="00DD0EFF"/>
    <w:rsid w:val="00DD0F26"/>
    <w:rsid w:val="00DD103A"/>
    <w:rsid w:val="00DD11D4"/>
    <w:rsid w:val="00DD11EF"/>
    <w:rsid w:val="00DD13C2"/>
    <w:rsid w:val="00DD14EE"/>
    <w:rsid w:val="00DD158A"/>
    <w:rsid w:val="00DD162A"/>
    <w:rsid w:val="00DD17AD"/>
    <w:rsid w:val="00DD18EA"/>
    <w:rsid w:val="00DD1D4B"/>
    <w:rsid w:val="00DD2015"/>
    <w:rsid w:val="00DD2384"/>
    <w:rsid w:val="00DD26D2"/>
    <w:rsid w:val="00DD2AA7"/>
    <w:rsid w:val="00DD2EAA"/>
    <w:rsid w:val="00DD3896"/>
    <w:rsid w:val="00DD3909"/>
    <w:rsid w:val="00DD3BBF"/>
    <w:rsid w:val="00DD45A7"/>
    <w:rsid w:val="00DD491B"/>
    <w:rsid w:val="00DD4B78"/>
    <w:rsid w:val="00DD4EB1"/>
    <w:rsid w:val="00DD5074"/>
    <w:rsid w:val="00DD57A6"/>
    <w:rsid w:val="00DD5A05"/>
    <w:rsid w:val="00DD5ACD"/>
    <w:rsid w:val="00DD5E31"/>
    <w:rsid w:val="00DD604D"/>
    <w:rsid w:val="00DD67C0"/>
    <w:rsid w:val="00DD689A"/>
    <w:rsid w:val="00DD6B23"/>
    <w:rsid w:val="00DD7686"/>
    <w:rsid w:val="00DD7732"/>
    <w:rsid w:val="00DD7779"/>
    <w:rsid w:val="00DD7DC4"/>
    <w:rsid w:val="00DE0189"/>
    <w:rsid w:val="00DE04F5"/>
    <w:rsid w:val="00DE0729"/>
    <w:rsid w:val="00DE0E8C"/>
    <w:rsid w:val="00DE1463"/>
    <w:rsid w:val="00DE193D"/>
    <w:rsid w:val="00DE1C6C"/>
    <w:rsid w:val="00DE1D46"/>
    <w:rsid w:val="00DE2927"/>
    <w:rsid w:val="00DE36FB"/>
    <w:rsid w:val="00DE3861"/>
    <w:rsid w:val="00DE3D45"/>
    <w:rsid w:val="00DE3D8B"/>
    <w:rsid w:val="00DE3F2F"/>
    <w:rsid w:val="00DE4131"/>
    <w:rsid w:val="00DE4D7F"/>
    <w:rsid w:val="00DE4F3B"/>
    <w:rsid w:val="00DE504B"/>
    <w:rsid w:val="00DE555D"/>
    <w:rsid w:val="00DE5644"/>
    <w:rsid w:val="00DE5691"/>
    <w:rsid w:val="00DE5856"/>
    <w:rsid w:val="00DE5B3B"/>
    <w:rsid w:val="00DE5DDB"/>
    <w:rsid w:val="00DE5F3B"/>
    <w:rsid w:val="00DE6001"/>
    <w:rsid w:val="00DE6978"/>
    <w:rsid w:val="00DE6A87"/>
    <w:rsid w:val="00DE710F"/>
    <w:rsid w:val="00DE71DA"/>
    <w:rsid w:val="00DE734A"/>
    <w:rsid w:val="00DE73DA"/>
    <w:rsid w:val="00DE73E7"/>
    <w:rsid w:val="00DE744C"/>
    <w:rsid w:val="00DE7821"/>
    <w:rsid w:val="00DE7885"/>
    <w:rsid w:val="00DE7930"/>
    <w:rsid w:val="00DE799F"/>
    <w:rsid w:val="00DE7EED"/>
    <w:rsid w:val="00DF023B"/>
    <w:rsid w:val="00DF03E4"/>
    <w:rsid w:val="00DF0573"/>
    <w:rsid w:val="00DF05F7"/>
    <w:rsid w:val="00DF0908"/>
    <w:rsid w:val="00DF0A43"/>
    <w:rsid w:val="00DF0CCF"/>
    <w:rsid w:val="00DF13B3"/>
    <w:rsid w:val="00DF1586"/>
    <w:rsid w:val="00DF1848"/>
    <w:rsid w:val="00DF1D01"/>
    <w:rsid w:val="00DF1D6A"/>
    <w:rsid w:val="00DF1E7F"/>
    <w:rsid w:val="00DF2185"/>
    <w:rsid w:val="00DF2534"/>
    <w:rsid w:val="00DF27AC"/>
    <w:rsid w:val="00DF282C"/>
    <w:rsid w:val="00DF2C2D"/>
    <w:rsid w:val="00DF2D6F"/>
    <w:rsid w:val="00DF316A"/>
    <w:rsid w:val="00DF32FC"/>
    <w:rsid w:val="00DF36E4"/>
    <w:rsid w:val="00DF38FD"/>
    <w:rsid w:val="00DF3906"/>
    <w:rsid w:val="00DF3A1F"/>
    <w:rsid w:val="00DF3B41"/>
    <w:rsid w:val="00DF3DE7"/>
    <w:rsid w:val="00DF416A"/>
    <w:rsid w:val="00DF4572"/>
    <w:rsid w:val="00DF45FF"/>
    <w:rsid w:val="00DF472B"/>
    <w:rsid w:val="00DF4982"/>
    <w:rsid w:val="00DF5551"/>
    <w:rsid w:val="00DF58CA"/>
    <w:rsid w:val="00DF59D4"/>
    <w:rsid w:val="00DF5CB1"/>
    <w:rsid w:val="00DF5CED"/>
    <w:rsid w:val="00DF5F71"/>
    <w:rsid w:val="00DF6090"/>
    <w:rsid w:val="00DF6294"/>
    <w:rsid w:val="00DF6A31"/>
    <w:rsid w:val="00DF6B55"/>
    <w:rsid w:val="00DF6B58"/>
    <w:rsid w:val="00DF6D5D"/>
    <w:rsid w:val="00DF70E1"/>
    <w:rsid w:val="00DF7360"/>
    <w:rsid w:val="00DF7446"/>
    <w:rsid w:val="00DF75B8"/>
    <w:rsid w:val="00DF75E9"/>
    <w:rsid w:val="00DF77F5"/>
    <w:rsid w:val="00DF7B55"/>
    <w:rsid w:val="00E000E5"/>
    <w:rsid w:val="00E009A2"/>
    <w:rsid w:val="00E00A65"/>
    <w:rsid w:val="00E00C7F"/>
    <w:rsid w:val="00E00D9E"/>
    <w:rsid w:val="00E01245"/>
    <w:rsid w:val="00E015D3"/>
    <w:rsid w:val="00E017C7"/>
    <w:rsid w:val="00E01909"/>
    <w:rsid w:val="00E01A2E"/>
    <w:rsid w:val="00E01B77"/>
    <w:rsid w:val="00E02551"/>
    <w:rsid w:val="00E025CE"/>
    <w:rsid w:val="00E02671"/>
    <w:rsid w:val="00E02811"/>
    <w:rsid w:val="00E0298A"/>
    <w:rsid w:val="00E02E5D"/>
    <w:rsid w:val="00E02F24"/>
    <w:rsid w:val="00E02F74"/>
    <w:rsid w:val="00E03039"/>
    <w:rsid w:val="00E030A0"/>
    <w:rsid w:val="00E03416"/>
    <w:rsid w:val="00E0347C"/>
    <w:rsid w:val="00E03C83"/>
    <w:rsid w:val="00E03DA8"/>
    <w:rsid w:val="00E04133"/>
    <w:rsid w:val="00E04135"/>
    <w:rsid w:val="00E042F8"/>
    <w:rsid w:val="00E044A9"/>
    <w:rsid w:val="00E0461C"/>
    <w:rsid w:val="00E04648"/>
    <w:rsid w:val="00E0474F"/>
    <w:rsid w:val="00E04D45"/>
    <w:rsid w:val="00E04D50"/>
    <w:rsid w:val="00E04F9A"/>
    <w:rsid w:val="00E051ED"/>
    <w:rsid w:val="00E054DC"/>
    <w:rsid w:val="00E0554E"/>
    <w:rsid w:val="00E05A45"/>
    <w:rsid w:val="00E05BF0"/>
    <w:rsid w:val="00E05F50"/>
    <w:rsid w:val="00E06037"/>
    <w:rsid w:val="00E06159"/>
    <w:rsid w:val="00E06663"/>
    <w:rsid w:val="00E06A9B"/>
    <w:rsid w:val="00E06F78"/>
    <w:rsid w:val="00E072C2"/>
    <w:rsid w:val="00E07932"/>
    <w:rsid w:val="00E07A24"/>
    <w:rsid w:val="00E07C58"/>
    <w:rsid w:val="00E07CA5"/>
    <w:rsid w:val="00E1018E"/>
    <w:rsid w:val="00E10AE5"/>
    <w:rsid w:val="00E112AC"/>
    <w:rsid w:val="00E116FD"/>
    <w:rsid w:val="00E1196C"/>
    <w:rsid w:val="00E11C5C"/>
    <w:rsid w:val="00E12043"/>
    <w:rsid w:val="00E1209C"/>
    <w:rsid w:val="00E1210D"/>
    <w:rsid w:val="00E12138"/>
    <w:rsid w:val="00E12644"/>
    <w:rsid w:val="00E127F4"/>
    <w:rsid w:val="00E1282F"/>
    <w:rsid w:val="00E12D3F"/>
    <w:rsid w:val="00E131E3"/>
    <w:rsid w:val="00E13348"/>
    <w:rsid w:val="00E13BD4"/>
    <w:rsid w:val="00E13D06"/>
    <w:rsid w:val="00E13D21"/>
    <w:rsid w:val="00E13DB3"/>
    <w:rsid w:val="00E1402A"/>
    <w:rsid w:val="00E14088"/>
    <w:rsid w:val="00E14461"/>
    <w:rsid w:val="00E14B90"/>
    <w:rsid w:val="00E14E29"/>
    <w:rsid w:val="00E14F73"/>
    <w:rsid w:val="00E154DA"/>
    <w:rsid w:val="00E15503"/>
    <w:rsid w:val="00E1560E"/>
    <w:rsid w:val="00E15773"/>
    <w:rsid w:val="00E15B26"/>
    <w:rsid w:val="00E160F7"/>
    <w:rsid w:val="00E16131"/>
    <w:rsid w:val="00E16469"/>
    <w:rsid w:val="00E16DA6"/>
    <w:rsid w:val="00E16E8A"/>
    <w:rsid w:val="00E17389"/>
    <w:rsid w:val="00E173F9"/>
    <w:rsid w:val="00E1781B"/>
    <w:rsid w:val="00E17C20"/>
    <w:rsid w:val="00E17F7D"/>
    <w:rsid w:val="00E200FA"/>
    <w:rsid w:val="00E20B75"/>
    <w:rsid w:val="00E20E89"/>
    <w:rsid w:val="00E20EED"/>
    <w:rsid w:val="00E20F01"/>
    <w:rsid w:val="00E20FB6"/>
    <w:rsid w:val="00E21015"/>
    <w:rsid w:val="00E21899"/>
    <w:rsid w:val="00E223B0"/>
    <w:rsid w:val="00E22940"/>
    <w:rsid w:val="00E22ABE"/>
    <w:rsid w:val="00E22CA7"/>
    <w:rsid w:val="00E22CE4"/>
    <w:rsid w:val="00E22DF6"/>
    <w:rsid w:val="00E22E91"/>
    <w:rsid w:val="00E2300C"/>
    <w:rsid w:val="00E23070"/>
    <w:rsid w:val="00E230E2"/>
    <w:rsid w:val="00E23427"/>
    <w:rsid w:val="00E23431"/>
    <w:rsid w:val="00E23645"/>
    <w:rsid w:val="00E236F9"/>
    <w:rsid w:val="00E23917"/>
    <w:rsid w:val="00E23B18"/>
    <w:rsid w:val="00E23B33"/>
    <w:rsid w:val="00E23EC7"/>
    <w:rsid w:val="00E2460B"/>
    <w:rsid w:val="00E246DC"/>
    <w:rsid w:val="00E248E8"/>
    <w:rsid w:val="00E25708"/>
    <w:rsid w:val="00E258DB"/>
    <w:rsid w:val="00E25A42"/>
    <w:rsid w:val="00E25B90"/>
    <w:rsid w:val="00E25ED3"/>
    <w:rsid w:val="00E267BE"/>
    <w:rsid w:val="00E2691C"/>
    <w:rsid w:val="00E2697E"/>
    <w:rsid w:val="00E26DD7"/>
    <w:rsid w:val="00E276EC"/>
    <w:rsid w:val="00E2780F"/>
    <w:rsid w:val="00E27977"/>
    <w:rsid w:val="00E27995"/>
    <w:rsid w:val="00E27A07"/>
    <w:rsid w:val="00E27E9E"/>
    <w:rsid w:val="00E30264"/>
    <w:rsid w:val="00E3037C"/>
    <w:rsid w:val="00E304D9"/>
    <w:rsid w:val="00E3083C"/>
    <w:rsid w:val="00E309D6"/>
    <w:rsid w:val="00E30E30"/>
    <w:rsid w:val="00E3135E"/>
    <w:rsid w:val="00E314BF"/>
    <w:rsid w:val="00E319DA"/>
    <w:rsid w:val="00E32036"/>
    <w:rsid w:val="00E3263E"/>
    <w:rsid w:val="00E327CB"/>
    <w:rsid w:val="00E32936"/>
    <w:rsid w:val="00E330F7"/>
    <w:rsid w:val="00E33175"/>
    <w:rsid w:val="00E33296"/>
    <w:rsid w:val="00E334EC"/>
    <w:rsid w:val="00E335BF"/>
    <w:rsid w:val="00E3371E"/>
    <w:rsid w:val="00E33D1F"/>
    <w:rsid w:val="00E340D8"/>
    <w:rsid w:val="00E342F0"/>
    <w:rsid w:val="00E343AD"/>
    <w:rsid w:val="00E3463A"/>
    <w:rsid w:val="00E3470D"/>
    <w:rsid w:val="00E34745"/>
    <w:rsid w:val="00E35328"/>
    <w:rsid w:val="00E35736"/>
    <w:rsid w:val="00E359F6"/>
    <w:rsid w:val="00E35C56"/>
    <w:rsid w:val="00E35C89"/>
    <w:rsid w:val="00E35F7C"/>
    <w:rsid w:val="00E364CA"/>
    <w:rsid w:val="00E36666"/>
    <w:rsid w:val="00E36838"/>
    <w:rsid w:val="00E36B2C"/>
    <w:rsid w:val="00E36C64"/>
    <w:rsid w:val="00E37088"/>
    <w:rsid w:val="00E3741B"/>
    <w:rsid w:val="00E374FC"/>
    <w:rsid w:val="00E375D9"/>
    <w:rsid w:val="00E377F1"/>
    <w:rsid w:val="00E3781D"/>
    <w:rsid w:val="00E37CCA"/>
    <w:rsid w:val="00E401B3"/>
    <w:rsid w:val="00E4030A"/>
    <w:rsid w:val="00E40383"/>
    <w:rsid w:val="00E403CA"/>
    <w:rsid w:val="00E40501"/>
    <w:rsid w:val="00E40611"/>
    <w:rsid w:val="00E40902"/>
    <w:rsid w:val="00E40DD0"/>
    <w:rsid w:val="00E40E05"/>
    <w:rsid w:val="00E40FE8"/>
    <w:rsid w:val="00E4133E"/>
    <w:rsid w:val="00E417C5"/>
    <w:rsid w:val="00E41B65"/>
    <w:rsid w:val="00E420AC"/>
    <w:rsid w:val="00E42D78"/>
    <w:rsid w:val="00E43377"/>
    <w:rsid w:val="00E43389"/>
    <w:rsid w:val="00E43869"/>
    <w:rsid w:val="00E43B5F"/>
    <w:rsid w:val="00E43BC1"/>
    <w:rsid w:val="00E443D9"/>
    <w:rsid w:val="00E4461F"/>
    <w:rsid w:val="00E44A89"/>
    <w:rsid w:val="00E44AF4"/>
    <w:rsid w:val="00E44D91"/>
    <w:rsid w:val="00E45450"/>
    <w:rsid w:val="00E45491"/>
    <w:rsid w:val="00E457D8"/>
    <w:rsid w:val="00E4593C"/>
    <w:rsid w:val="00E45F4B"/>
    <w:rsid w:val="00E471E0"/>
    <w:rsid w:val="00E47AA3"/>
    <w:rsid w:val="00E47C8C"/>
    <w:rsid w:val="00E47D7C"/>
    <w:rsid w:val="00E47F42"/>
    <w:rsid w:val="00E50068"/>
    <w:rsid w:val="00E5015E"/>
    <w:rsid w:val="00E50363"/>
    <w:rsid w:val="00E508F4"/>
    <w:rsid w:val="00E50A75"/>
    <w:rsid w:val="00E50C63"/>
    <w:rsid w:val="00E50F09"/>
    <w:rsid w:val="00E50F43"/>
    <w:rsid w:val="00E51836"/>
    <w:rsid w:val="00E51D2B"/>
    <w:rsid w:val="00E5232D"/>
    <w:rsid w:val="00E52711"/>
    <w:rsid w:val="00E52935"/>
    <w:rsid w:val="00E5299C"/>
    <w:rsid w:val="00E52AB8"/>
    <w:rsid w:val="00E52D54"/>
    <w:rsid w:val="00E53308"/>
    <w:rsid w:val="00E53936"/>
    <w:rsid w:val="00E5395D"/>
    <w:rsid w:val="00E53DA7"/>
    <w:rsid w:val="00E54209"/>
    <w:rsid w:val="00E544D8"/>
    <w:rsid w:val="00E54507"/>
    <w:rsid w:val="00E547A0"/>
    <w:rsid w:val="00E5536B"/>
    <w:rsid w:val="00E553C3"/>
    <w:rsid w:val="00E5541C"/>
    <w:rsid w:val="00E556BD"/>
    <w:rsid w:val="00E56348"/>
    <w:rsid w:val="00E56DB5"/>
    <w:rsid w:val="00E57082"/>
    <w:rsid w:val="00E57107"/>
    <w:rsid w:val="00E5753D"/>
    <w:rsid w:val="00E57570"/>
    <w:rsid w:val="00E576F4"/>
    <w:rsid w:val="00E578B7"/>
    <w:rsid w:val="00E57FB5"/>
    <w:rsid w:val="00E600BB"/>
    <w:rsid w:val="00E60398"/>
    <w:rsid w:val="00E607AD"/>
    <w:rsid w:val="00E60B88"/>
    <w:rsid w:val="00E60BB8"/>
    <w:rsid w:val="00E60D5C"/>
    <w:rsid w:val="00E60E35"/>
    <w:rsid w:val="00E60F42"/>
    <w:rsid w:val="00E6170C"/>
    <w:rsid w:val="00E61772"/>
    <w:rsid w:val="00E622E5"/>
    <w:rsid w:val="00E62635"/>
    <w:rsid w:val="00E62647"/>
    <w:rsid w:val="00E628BC"/>
    <w:rsid w:val="00E63466"/>
    <w:rsid w:val="00E63754"/>
    <w:rsid w:val="00E637DB"/>
    <w:rsid w:val="00E63AFA"/>
    <w:rsid w:val="00E63B2A"/>
    <w:rsid w:val="00E63C7C"/>
    <w:rsid w:val="00E63EEB"/>
    <w:rsid w:val="00E64028"/>
    <w:rsid w:val="00E64348"/>
    <w:rsid w:val="00E643FD"/>
    <w:rsid w:val="00E64712"/>
    <w:rsid w:val="00E648C8"/>
    <w:rsid w:val="00E648F9"/>
    <w:rsid w:val="00E64F3B"/>
    <w:rsid w:val="00E655A0"/>
    <w:rsid w:val="00E6567D"/>
    <w:rsid w:val="00E65E31"/>
    <w:rsid w:val="00E665FF"/>
    <w:rsid w:val="00E66603"/>
    <w:rsid w:val="00E6666C"/>
    <w:rsid w:val="00E668F2"/>
    <w:rsid w:val="00E6721E"/>
    <w:rsid w:val="00E6742A"/>
    <w:rsid w:val="00E67A1E"/>
    <w:rsid w:val="00E67A79"/>
    <w:rsid w:val="00E67C95"/>
    <w:rsid w:val="00E67DFA"/>
    <w:rsid w:val="00E67E46"/>
    <w:rsid w:val="00E701BE"/>
    <w:rsid w:val="00E703F6"/>
    <w:rsid w:val="00E70ECF"/>
    <w:rsid w:val="00E70F15"/>
    <w:rsid w:val="00E70F73"/>
    <w:rsid w:val="00E7103F"/>
    <w:rsid w:val="00E71491"/>
    <w:rsid w:val="00E719D3"/>
    <w:rsid w:val="00E71B31"/>
    <w:rsid w:val="00E71B50"/>
    <w:rsid w:val="00E71CF0"/>
    <w:rsid w:val="00E71E49"/>
    <w:rsid w:val="00E7276F"/>
    <w:rsid w:val="00E7296C"/>
    <w:rsid w:val="00E72B8C"/>
    <w:rsid w:val="00E72BBD"/>
    <w:rsid w:val="00E72CC1"/>
    <w:rsid w:val="00E72E5A"/>
    <w:rsid w:val="00E730AF"/>
    <w:rsid w:val="00E7329A"/>
    <w:rsid w:val="00E7329B"/>
    <w:rsid w:val="00E7339C"/>
    <w:rsid w:val="00E734C5"/>
    <w:rsid w:val="00E73566"/>
    <w:rsid w:val="00E735BB"/>
    <w:rsid w:val="00E73660"/>
    <w:rsid w:val="00E73FAC"/>
    <w:rsid w:val="00E74171"/>
    <w:rsid w:val="00E741FE"/>
    <w:rsid w:val="00E7432F"/>
    <w:rsid w:val="00E7449C"/>
    <w:rsid w:val="00E747AA"/>
    <w:rsid w:val="00E748CB"/>
    <w:rsid w:val="00E749A4"/>
    <w:rsid w:val="00E749F5"/>
    <w:rsid w:val="00E75283"/>
    <w:rsid w:val="00E75525"/>
    <w:rsid w:val="00E7560C"/>
    <w:rsid w:val="00E75BAF"/>
    <w:rsid w:val="00E75C48"/>
    <w:rsid w:val="00E75C6A"/>
    <w:rsid w:val="00E76094"/>
    <w:rsid w:val="00E76451"/>
    <w:rsid w:val="00E76511"/>
    <w:rsid w:val="00E76919"/>
    <w:rsid w:val="00E76A9F"/>
    <w:rsid w:val="00E76AB3"/>
    <w:rsid w:val="00E76C37"/>
    <w:rsid w:val="00E76E6E"/>
    <w:rsid w:val="00E773ED"/>
    <w:rsid w:val="00E77514"/>
    <w:rsid w:val="00E7767F"/>
    <w:rsid w:val="00E77AD2"/>
    <w:rsid w:val="00E77D64"/>
    <w:rsid w:val="00E77E62"/>
    <w:rsid w:val="00E77E84"/>
    <w:rsid w:val="00E77EDB"/>
    <w:rsid w:val="00E8016F"/>
    <w:rsid w:val="00E801FF"/>
    <w:rsid w:val="00E807F1"/>
    <w:rsid w:val="00E80ADA"/>
    <w:rsid w:val="00E80E52"/>
    <w:rsid w:val="00E81201"/>
    <w:rsid w:val="00E8135B"/>
    <w:rsid w:val="00E815D2"/>
    <w:rsid w:val="00E816CE"/>
    <w:rsid w:val="00E81CB2"/>
    <w:rsid w:val="00E81D48"/>
    <w:rsid w:val="00E81D57"/>
    <w:rsid w:val="00E81D98"/>
    <w:rsid w:val="00E81DAC"/>
    <w:rsid w:val="00E81DBD"/>
    <w:rsid w:val="00E8261D"/>
    <w:rsid w:val="00E827D1"/>
    <w:rsid w:val="00E82CD6"/>
    <w:rsid w:val="00E82EC4"/>
    <w:rsid w:val="00E831CF"/>
    <w:rsid w:val="00E83778"/>
    <w:rsid w:val="00E84462"/>
    <w:rsid w:val="00E84626"/>
    <w:rsid w:val="00E84811"/>
    <w:rsid w:val="00E848CB"/>
    <w:rsid w:val="00E84A18"/>
    <w:rsid w:val="00E84BE9"/>
    <w:rsid w:val="00E84C84"/>
    <w:rsid w:val="00E84D49"/>
    <w:rsid w:val="00E84FC1"/>
    <w:rsid w:val="00E85256"/>
    <w:rsid w:val="00E85379"/>
    <w:rsid w:val="00E858A8"/>
    <w:rsid w:val="00E85A5E"/>
    <w:rsid w:val="00E85F28"/>
    <w:rsid w:val="00E86400"/>
    <w:rsid w:val="00E86761"/>
    <w:rsid w:val="00E867B2"/>
    <w:rsid w:val="00E86BA0"/>
    <w:rsid w:val="00E86D80"/>
    <w:rsid w:val="00E87384"/>
    <w:rsid w:val="00E87745"/>
    <w:rsid w:val="00E877B0"/>
    <w:rsid w:val="00E87A82"/>
    <w:rsid w:val="00E87F40"/>
    <w:rsid w:val="00E87F63"/>
    <w:rsid w:val="00E9036E"/>
    <w:rsid w:val="00E9044A"/>
    <w:rsid w:val="00E9075E"/>
    <w:rsid w:val="00E907A8"/>
    <w:rsid w:val="00E90FB5"/>
    <w:rsid w:val="00E9104D"/>
    <w:rsid w:val="00E91086"/>
    <w:rsid w:val="00E913E0"/>
    <w:rsid w:val="00E91441"/>
    <w:rsid w:val="00E915D1"/>
    <w:rsid w:val="00E917AA"/>
    <w:rsid w:val="00E9182D"/>
    <w:rsid w:val="00E91F44"/>
    <w:rsid w:val="00E92076"/>
    <w:rsid w:val="00E927F3"/>
    <w:rsid w:val="00E92A16"/>
    <w:rsid w:val="00E92ADD"/>
    <w:rsid w:val="00E937EF"/>
    <w:rsid w:val="00E93A9F"/>
    <w:rsid w:val="00E93B6A"/>
    <w:rsid w:val="00E93F0B"/>
    <w:rsid w:val="00E942FA"/>
    <w:rsid w:val="00E94C04"/>
    <w:rsid w:val="00E95079"/>
    <w:rsid w:val="00E95DF5"/>
    <w:rsid w:val="00E95FE9"/>
    <w:rsid w:val="00E9678C"/>
    <w:rsid w:val="00E96D27"/>
    <w:rsid w:val="00E972E4"/>
    <w:rsid w:val="00E974E6"/>
    <w:rsid w:val="00E97751"/>
    <w:rsid w:val="00E97925"/>
    <w:rsid w:val="00E979B6"/>
    <w:rsid w:val="00E97A50"/>
    <w:rsid w:val="00E97C63"/>
    <w:rsid w:val="00E97DCD"/>
    <w:rsid w:val="00E97EDC"/>
    <w:rsid w:val="00EA0688"/>
    <w:rsid w:val="00EA0869"/>
    <w:rsid w:val="00EA09C8"/>
    <w:rsid w:val="00EA0BA8"/>
    <w:rsid w:val="00EA0C0E"/>
    <w:rsid w:val="00EA0EE8"/>
    <w:rsid w:val="00EA1019"/>
    <w:rsid w:val="00EA112F"/>
    <w:rsid w:val="00EA1496"/>
    <w:rsid w:val="00EA17B8"/>
    <w:rsid w:val="00EA2050"/>
    <w:rsid w:val="00EA2195"/>
    <w:rsid w:val="00EA2800"/>
    <w:rsid w:val="00EA2B3F"/>
    <w:rsid w:val="00EA2B53"/>
    <w:rsid w:val="00EA2C91"/>
    <w:rsid w:val="00EA31F9"/>
    <w:rsid w:val="00EA32E8"/>
    <w:rsid w:val="00EA3313"/>
    <w:rsid w:val="00EA3BDC"/>
    <w:rsid w:val="00EA3C26"/>
    <w:rsid w:val="00EA3C44"/>
    <w:rsid w:val="00EA3D53"/>
    <w:rsid w:val="00EA4224"/>
    <w:rsid w:val="00EA4286"/>
    <w:rsid w:val="00EA43CC"/>
    <w:rsid w:val="00EA43FB"/>
    <w:rsid w:val="00EA4930"/>
    <w:rsid w:val="00EA4CBE"/>
    <w:rsid w:val="00EA4E4B"/>
    <w:rsid w:val="00EA5164"/>
    <w:rsid w:val="00EA5190"/>
    <w:rsid w:val="00EA51E4"/>
    <w:rsid w:val="00EA52E0"/>
    <w:rsid w:val="00EA56C6"/>
    <w:rsid w:val="00EA5790"/>
    <w:rsid w:val="00EA5A99"/>
    <w:rsid w:val="00EA640A"/>
    <w:rsid w:val="00EA6452"/>
    <w:rsid w:val="00EA66CC"/>
    <w:rsid w:val="00EA69D1"/>
    <w:rsid w:val="00EA6A0A"/>
    <w:rsid w:val="00EA6DDD"/>
    <w:rsid w:val="00EA6E3C"/>
    <w:rsid w:val="00EA7257"/>
    <w:rsid w:val="00EA729B"/>
    <w:rsid w:val="00EA74B2"/>
    <w:rsid w:val="00EA768F"/>
    <w:rsid w:val="00EA7B74"/>
    <w:rsid w:val="00EA7B93"/>
    <w:rsid w:val="00EA7F72"/>
    <w:rsid w:val="00EB0200"/>
    <w:rsid w:val="00EB024F"/>
    <w:rsid w:val="00EB0662"/>
    <w:rsid w:val="00EB096E"/>
    <w:rsid w:val="00EB0C20"/>
    <w:rsid w:val="00EB115B"/>
    <w:rsid w:val="00EB161E"/>
    <w:rsid w:val="00EB187F"/>
    <w:rsid w:val="00EB2661"/>
    <w:rsid w:val="00EB2947"/>
    <w:rsid w:val="00EB2DF2"/>
    <w:rsid w:val="00EB3257"/>
    <w:rsid w:val="00EB32F6"/>
    <w:rsid w:val="00EB3AD0"/>
    <w:rsid w:val="00EB3ADD"/>
    <w:rsid w:val="00EB3B00"/>
    <w:rsid w:val="00EB4565"/>
    <w:rsid w:val="00EB45F0"/>
    <w:rsid w:val="00EB4626"/>
    <w:rsid w:val="00EB4733"/>
    <w:rsid w:val="00EB47CE"/>
    <w:rsid w:val="00EB491C"/>
    <w:rsid w:val="00EB49EB"/>
    <w:rsid w:val="00EB4E7B"/>
    <w:rsid w:val="00EB595C"/>
    <w:rsid w:val="00EB5D0E"/>
    <w:rsid w:val="00EB605A"/>
    <w:rsid w:val="00EB6562"/>
    <w:rsid w:val="00EB6813"/>
    <w:rsid w:val="00EB6B22"/>
    <w:rsid w:val="00EB6B8B"/>
    <w:rsid w:val="00EB6DA0"/>
    <w:rsid w:val="00EB6FAD"/>
    <w:rsid w:val="00EB7340"/>
    <w:rsid w:val="00EB7828"/>
    <w:rsid w:val="00EB7852"/>
    <w:rsid w:val="00EB7A91"/>
    <w:rsid w:val="00EB7CED"/>
    <w:rsid w:val="00EB7D2B"/>
    <w:rsid w:val="00EB7DAE"/>
    <w:rsid w:val="00EB7F29"/>
    <w:rsid w:val="00EC0059"/>
    <w:rsid w:val="00EC0070"/>
    <w:rsid w:val="00EC087D"/>
    <w:rsid w:val="00EC0996"/>
    <w:rsid w:val="00EC0BD6"/>
    <w:rsid w:val="00EC0D7F"/>
    <w:rsid w:val="00EC0D8A"/>
    <w:rsid w:val="00EC0DE4"/>
    <w:rsid w:val="00EC122B"/>
    <w:rsid w:val="00EC134C"/>
    <w:rsid w:val="00EC1D62"/>
    <w:rsid w:val="00EC22E8"/>
    <w:rsid w:val="00EC2C8F"/>
    <w:rsid w:val="00EC2E5E"/>
    <w:rsid w:val="00EC2F1E"/>
    <w:rsid w:val="00EC342F"/>
    <w:rsid w:val="00EC3724"/>
    <w:rsid w:val="00EC3CF3"/>
    <w:rsid w:val="00EC3CFC"/>
    <w:rsid w:val="00EC4162"/>
    <w:rsid w:val="00EC41DC"/>
    <w:rsid w:val="00EC47A5"/>
    <w:rsid w:val="00EC4DCE"/>
    <w:rsid w:val="00EC4E4A"/>
    <w:rsid w:val="00EC528D"/>
    <w:rsid w:val="00EC568A"/>
    <w:rsid w:val="00EC5C3F"/>
    <w:rsid w:val="00EC5CDF"/>
    <w:rsid w:val="00EC5E0C"/>
    <w:rsid w:val="00EC5F6B"/>
    <w:rsid w:val="00EC6578"/>
    <w:rsid w:val="00EC664C"/>
    <w:rsid w:val="00EC66AF"/>
    <w:rsid w:val="00EC6707"/>
    <w:rsid w:val="00EC675C"/>
    <w:rsid w:val="00EC6BF7"/>
    <w:rsid w:val="00EC7491"/>
    <w:rsid w:val="00EC7576"/>
    <w:rsid w:val="00EC7A77"/>
    <w:rsid w:val="00EC7B67"/>
    <w:rsid w:val="00ED026F"/>
    <w:rsid w:val="00ED03DF"/>
    <w:rsid w:val="00ED059C"/>
    <w:rsid w:val="00ED08D2"/>
    <w:rsid w:val="00ED0A6C"/>
    <w:rsid w:val="00ED0CB2"/>
    <w:rsid w:val="00ED0FF5"/>
    <w:rsid w:val="00ED1A1E"/>
    <w:rsid w:val="00ED1A73"/>
    <w:rsid w:val="00ED1C0F"/>
    <w:rsid w:val="00ED1CB1"/>
    <w:rsid w:val="00ED1EAA"/>
    <w:rsid w:val="00ED2130"/>
    <w:rsid w:val="00ED2137"/>
    <w:rsid w:val="00ED232A"/>
    <w:rsid w:val="00ED2B21"/>
    <w:rsid w:val="00ED3304"/>
    <w:rsid w:val="00ED334F"/>
    <w:rsid w:val="00ED3504"/>
    <w:rsid w:val="00ED3955"/>
    <w:rsid w:val="00ED3A96"/>
    <w:rsid w:val="00ED4552"/>
    <w:rsid w:val="00ED4592"/>
    <w:rsid w:val="00ED4634"/>
    <w:rsid w:val="00ED464D"/>
    <w:rsid w:val="00ED46A0"/>
    <w:rsid w:val="00ED4708"/>
    <w:rsid w:val="00ED4866"/>
    <w:rsid w:val="00ED4BAE"/>
    <w:rsid w:val="00ED4C44"/>
    <w:rsid w:val="00ED4CD8"/>
    <w:rsid w:val="00ED4D7F"/>
    <w:rsid w:val="00ED4E40"/>
    <w:rsid w:val="00ED5277"/>
    <w:rsid w:val="00ED5734"/>
    <w:rsid w:val="00ED5A2E"/>
    <w:rsid w:val="00ED5C73"/>
    <w:rsid w:val="00ED61AD"/>
    <w:rsid w:val="00ED61F4"/>
    <w:rsid w:val="00ED7282"/>
    <w:rsid w:val="00ED7318"/>
    <w:rsid w:val="00ED73B0"/>
    <w:rsid w:val="00ED75AB"/>
    <w:rsid w:val="00ED76DC"/>
    <w:rsid w:val="00ED7909"/>
    <w:rsid w:val="00ED7986"/>
    <w:rsid w:val="00ED7A52"/>
    <w:rsid w:val="00ED7CA5"/>
    <w:rsid w:val="00EE0101"/>
    <w:rsid w:val="00EE0819"/>
    <w:rsid w:val="00EE08A8"/>
    <w:rsid w:val="00EE08C8"/>
    <w:rsid w:val="00EE0A64"/>
    <w:rsid w:val="00EE0D9D"/>
    <w:rsid w:val="00EE0F6B"/>
    <w:rsid w:val="00EE12CF"/>
    <w:rsid w:val="00EE1A46"/>
    <w:rsid w:val="00EE1B25"/>
    <w:rsid w:val="00EE1DD7"/>
    <w:rsid w:val="00EE1E76"/>
    <w:rsid w:val="00EE21DD"/>
    <w:rsid w:val="00EE23D0"/>
    <w:rsid w:val="00EE28E8"/>
    <w:rsid w:val="00EE2F8D"/>
    <w:rsid w:val="00EE31A8"/>
    <w:rsid w:val="00EE3201"/>
    <w:rsid w:val="00EE32CF"/>
    <w:rsid w:val="00EE33BA"/>
    <w:rsid w:val="00EE3499"/>
    <w:rsid w:val="00EE3541"/>
    <w:rsid w:val="00EE374F"/>
    <w:rsid w:val="00EE3878"/>
    <w:rsid w:val="00EE39C7"/>
    <w:rsid w:val="00EE3AE9"/>
    <w:rsid w:val="00EE3FB2"/>
    <w:rsid w:val="00EE4037"/>
    <w:rsid w:val="00EE4D75"/>
    <w:rsid w:val="00EE4ED6"/>
    <w:rsid w:val="00EE4F84"/>
    <w:rsid w:val="00EE50C0"/>
    <w:rsid w:val="00EE512A"/>
    <w:rsid w:val="00EE512C"/>
    <w:rsid w:val="00EE51BE"/>
    <w:rsid w:val="00EE5293"/>
    <w:rsid w:val="00EE5408"/>
    <w:rsid w:val="00EE54DE"/>
    <w:rsid w:val="00EE5663"/>
    <w:rsid w:val="00EE58E3"/>
    <w:rsid w:val="00EE5958"/>
    <w:rsid w:val="00EE5B99"/>
    <w:rsid w:val="00EE5DFD"/>
    <w:rsid w:val="00EE5F4C"/>
    <w:rsid w:val="00EE6151"/>
    <w:rsid w:val="00EE6299"/>
    <w:rsid w:val="00EE6C3B"/>
    <w:rsid w:val="00EE6F47"/>
    <w:rsid w:val="00EE6FE0"/>
    <w:rsid w:val="00EE709C"/>
    <w:rsid w:val="00EE710A"/>
    <w:rsid w:val="00EE7360"/>
    <w:rsid w:val="00EE7935"/>
    <w:rsid w:val="00EF013F"/>
    <w:rsid w:val="00EF125F"/>
    <w:rsid w:val="00EF1A6F"/>
    <w:rsid w:val="00EF1B9D"/>
    <w:rsid w:val="00EF1BDA"/>
    <w:rsid w:val="00EF209E"/>
    <w:rsid w:val="00EF2C97"/>
    <w:rsid w:val="00EF3C14"/>
    <w:rsid w:val="00EF3D9C"/>
    <w:rsid w:val="00EF4094"/>
    <w:rsid w:val="00EF42E6"/>
    <w:rsid w:val="00EF46B5"/>
    <w:rsid w:val="00EF482D"/>
    <w:rsid w:val="00EF4884"/>
    <w:rsid w:val="00EF48B0"/>
    <w:rsid w:val="00EF4C57"/>
    <w:rsid w:val="00EF4D4E"/>
    <w:rsid w:val="00EF4F50"/>
    <w:rsid w:val="00EF53FB"/>
    <w:rsid w:val="00EF55A8"/>
    <w:rsid w:val="00EF5CA5"/>
    <w:rsid w:val="00EF6751"/>
    <w:rsid w:val="00EF6F20"/>
    <w:rsid w:val="00EF700E"/>
    <w:rsid w:val="00EF7025"/>
    <w:rsid w:val="00EF7220"/>
    <w:rsid w:val="00EF734F"/>
    <w:rsid w:val="00EF78DC"/>
    <w:rsid w:val="00EF794A"/>
    <w:rsid w:val="00EF7B65"/>
    <w:rsid w:val="00F00023"/>
    <w:rsid w:val="00F000CB"/>
    <w:rsid w:val="00F008DD"/>
    <w:rsid w:val="00F00CBE"/>
    <w:rsid w:val="00F00F0F"/>
    <w:rsid w:val="00F00FF5"/>
    <w:rsid w:val="00F010F1"/>
    <w:rsid w:val="00F01198"/>
    <w:rsid w:val="00F011C2"/>
    <w:rsid w:val="00F0125F"/>
    <w:rsid w:val="00F01511"/>
    <w:rsid w:val="00F015AE"/>
    <w:rsid w:val="00F017E0"/>
    <w:rsid w:val="00F01800"/>
    <w:rsid w:val="00F01BCF"/>
    <w:rsid w:val="00F01D45"/>
    <w:rsid w:val="00F01EFA"/>
    <w:rsid w:val="00F0217F"/>
    <w:rsid w:val="00F02600"/>
    <w:rsid w:val="00F02AF0"/>
    <w:rsid w:val="00F02C16"/>
    <w:rsid w:val="00F02D45"/>
    <w:rsid w:val="00F03505"/>
    <w:rsid w:val="00F0374C"/>
    <w:rsid w:val="00F03886"/>
    <w:rsid w:val="00F03AE6"/>
    <w:rsid w:val="00F03B20"/>
    <w:rsid w:val="00F0427E"/>
    <w:rsid w:val="00F04511"/>
    <w:rsid w:val="00F04610"/>
    <w:rsid w:val="00F0480D"/>
    <w:rsid w:val="00F048E3"/>
    <w:rsid w:val="00F049EC"/>
    <w:rsid w:val="00F04EA1"/>
    <w:rsid w:val="00F05200"/>
    <w:rsid w:val="00F05C83"/>
    <w:rsid w:val="00F05DDB"/>
    <w:rsid w:val="00F05FF4"/>
    <w:rsid w:val="00F0610D"/>
    <w:rsid w:val="00F065A0"/>
    <w:rsid w:val="00F066C5"/>
    <w:rsid w:val="00F0680B"/>
    <w:rsid w:val="00F06A45"/>
    <w:rsid w:val="00F06A49"/>
    <w:rsid w:val="00F06DB9"/>
    <w:rsid w:val="00F06E01"/>
    <w:rsid w:val="00F07212"/>
    <w:rsid w:val="00F07454"/>
    <w:rsid w:val="00F07AFC"/>
    <w:rsid w:val="00F07BC1"/>
    <w:rsid w:val="00F07C68"/>
    <w:rsid w:val="00F07CA2"/>
    <w:rsid w:val="00F10153"/>
    <w:rsid w:val="00F102C6"/>
    <w:rsid w:val="00F104AB"/>
    <w:rsid w:val="00F1061A"/>
    <w:rsid w:val="00F10AA9"/>
    <w:rsid w:val="00F10B37"/>
    <w:rsid w:val="00F10DF7"/>
    <w:rsid w:val="00F1114E"/>
    <w:rsid w:val="00F11412"/>
    <w:rsid w:val="00F117CF"/>
    <w:rsid w:val="00F11B26"/>
    <w:rsid w:val="00F1265F"/>
    <w:rsid w:val="00F12F72"/>
    <w:rsid w:val="00F138E3"/>
    <w:rsid w:val="00F13B61"/>
    <w:rsid w:val="00F13BCF"/>
    <w:rsid w:val="00F13D91"/>
    <w:rsid w:val="00F13F35"/>
    <w:rsid w:val="00F146BA"/>
    <w:rsid w:val="00F14B6E"/>
    <w:rsid w:val="00F14D36"/>
    <w:rsid w:val="00F14E7B"/>
    <w:rsid w:val="00F14F7E"/>
    <w:rsid w:val="00F15121"/>
    <w:rsid w:val="00F1518A"/>
    <w:rsid w:val="00F152EF"/>
    <w:rsid w:val="00F1530E"/>
    <w:rsid w:val="00F15568"/>
    <w:rsid w:val="00F15712"/>
    <w:rsid w:val="00F157DA"/>
    <w:rsid w:val="00F15A39"/>
    <w:rsid w:val="00F15C82"/>
    <w:rsid w:val="00F15FA3"/>
    <w:rsid w:val="00F16233"/>
    <w:rsid w:val="00F16556"/>
    <w:rsid w:val="00F166B2"/>
    <w:rsid w:val="00F16755"/>
    <w:rsid w:val="00F168DE"/>
    <w:rsid w:val="00F16915"/>
    <w:rsid w:val="00F16CEB"/>
    <w:rsid w:val="00F16ECF"/>
    <w:rsid w:val="00F16F46"/>
    <w:rsid w:val="00F172F2"/>
    <w:rsid w:val="00F17718"/>
    <w:rsid w:val="00F17E73"/>
    <w:rsid w:val="00F2031F"/>
    <w:rsid w:val="00F20A1C"/>
    <w:rsid w:val="00F20C3F"/>
    <w:rsid w:val="00F20CB8"/>
    <w:rsid w:val="00F20D1A"/>
    <w:rsid w:val="00F20E90"/>
    <w:rsid w:val="00F2128D"/>
    <w:rsid w:val="00F21693"/>
    <w:rsid w:val="00F21B38"/>
    <w:rsid w:val="00F21BCA"/>
    <w:rsid w:val="00F21C70"/>
    <w:rsid w:val="00F21E37"/>
    <w:rsid w:val="00F22AA5"/>
    <w:rsid w:val="00F22EB1"/>
    <w:rsid w:val="00F230A2"/>
    <w:rsid w:val="00F230EA"/>
    <w:rsid w:val="00F2310C"/>
    <w:rsid w:val="00F232C7"/>
    <w:rsid w:val="00F23709"/>
    <w:rsid w:val="00F2380C"/>
    <w:rsid w:val="00F239C6"/>
    <w:rsid w:val="00F23A08"/>
    <w:rsid w:val="00F23B45"/>
    <w:rsid w:val="00F23B6F"/>
    <w:rsid w:val="00F23C0C"/>
    <w:rsid w:val="00F2475A"/>
    <w:rsid w:val="00F2480C"/>
    <w:rsid w:val="00F2481D"/>
    <w:rsid w:val="00F2486A"/>
    <w:rsid w:val="00F24AFE"/>
    <w:rsid w:val="00F252E3"/>
    <w:rsid w:val="00F25C52"/>
    <w:rsid w:val="00F25C99"/>
    <w:rsid w:val="00F25E89"/>
    <w:rsid w:val="00F25FE6"/>
    <w:rsid w:val="00F2619D"/>
    <w:rsid w:val="00F262A7"/>
    <w:rsid w:val="00F26553"/>
    <w:rsid w:val="00F26668"/>
    <w:rsid w:val="00F2666E"/>
    <w:rsid w:val="00F26947"/>
    <w:rsid w:val="00F26E08"/>
    <w:rsid w:val="00F271DB"/>
    <w:rsid w:val="00F273DE"/>
    <w:rsid w:val="00F27693"/>
    <w:rsid w:val="00F27ACE"/>
    <w:rsid w:val="00F27CBE"/>
    <w:rsid w:val="00F27D67"/>
    <w:rsid w:val="00F3008E"/>
    <w:rsid w:val="00F3036E"/>
    <w:rsid w:val="00F30467"/>
    <w:rsid w:val="00F306DD"/>
    <w:rsid w:val="00F30990"/>
    <w:rsid w:val="00F30ABD"/>
    <w:rsid w:val="00F30BEC"/>
    <w:rsid w:val="00F3100D"/>
    <w:rsid w:val="00F31594"/>
    <w:rsid w:val="00F315FB"/>
    <w:rsid w:val="00F31901"/>
    <w:rsid w:val="00F31B6C"/>
    <w:rsid w:val="00F31F31"/>
    <w:rsid w:val="00F31F4C"/>
    <w:rsid w:val="00F3200F"/>
    <w:rsid w:val="00F3240C"/>
    <w:rsid w:val="00F325DD"/>
    <w:rsid w:val="00F327C4"/>
    <w:rsid w:val="00F33004"/>
    <w:rsid w:val="00F335F2"/>
    <w:rsid w:val="00F33611"/>
    <w:rsid w:val="00F3364D"/>
    <w:rsid w:val="00F33F18"/>
    <w:rsid w:val="00F34250"/>
    <w:rsid w:val="00F34A11"/>
    <w:rsid w:val="00F34AA6"/>
    <w:rsid w:val="00F34AE0"/>
    <w:rsid w:val="00F34C81"/>
    <w:rsid w:val="00F3503C"/>
    <w:rsid w:val="00F3514B"/>
    <w:rsid w:val="00F354CF"/>
    <w:rsid w:val="00F35CBA"/>
    <w:rsid w:val="00F35E5E"/>
    <w:rsid w:val="00F35EF0"/>
    <w:rsid w:val="00F360B7"/>
    <w:rsid w:val="00F36662"/>
    <w:rsid w:val="00F3680B"/>
    <w:rsid w:val="00F37264"/>
    <w:rsid w:val="00F377A2"/>
    <w:rsid w:val="00F37ACC"/>
    <w:rsid w:val="00F37CAB"/>
    <w:rsid w:val="00F4011C"/>
    <w:rsid w:val="00F405D3"/>
    <w:rsid w:val="00F40CB4"/>
    <w:rsid w:val="00F40D60"/>
    <w:rsid w:val="00F40D89"/>
    <w:rsid w:val="00F40FB0"/>
    <w:rsid w:val="00F4121E"/>
    <w:rsid w:val="00F41837"/>
    <w:rsid w:val="00F41BC6"/>
    <w:rsid w:val="00F4203F"/>
    <w:rsid w:val="00F4222C"/>
    <w:rsid w:val="00F4228F"/>
    <w:rsid w:val="00F4264F"/>
    <w:rsid w:val="00F42770"/>
    <w:rsid w:val="00F42B26"/>
    <w:rsid w:val="00F42F02"/>
    <w:rsid w:val="00F42FBE"/>
    <w:rsid w:val="00F4317E"/>
    <w:rsid w:val="00F432F8"/>
    <w:rsid w:val="00F4371E"/>
    <w:rsid w:val="00F43B23"/>
    <w:rsid w:val="00F43FC0"/>
    <w:rsid w:val="00F44403"/>
    <w:rsid w:val="00F447C4"/>
    <w:rsid w:val="00F44870"/>
    <w:rsid w:val="00F44D80"/>
    <w:rsid w:val="00F45644"/>
    <w:rsid w:val="00F457FF"/>
    <w:rsid w:val="00F45B4B"/>
    <w:rsid w:val="00F45B73"/>
    <w:rsid w:val="00F460DE"/>
    <w:rsid w:val="00F467C0"/>
    <w:rsid w:val="00F467C5"/>
    <w:rsid w:val="00F46877"/>
    <w:rsid w:val="00F46A90"/>
    <w:rsid w:val="00F46D66"/>
    <w:rsid w:val="00F46DD2"/>
    <w:rsid w:val="00F46FD7"/>
    <w:rsid w:val="00F4704F"/>
    <w:rsid w:val="00F47174"/>
    <w:rsid w:val="00F4739A"/>
    <w:rsid w:val="00F47825"/>
    <w:rsid w:val="00F500C6"/>
    <w:rsid w:val="00F502FF"/>
    <w:rsid w:val="00F5068D"/>
    <w:rsid w:val="00F50963"/>
    <w:rsid w:val="00F50B92"/>
    <w:rsid w:val="00F50EAC"/>
    <w:rsid w:val="00F50FB8"/>
    <w:rsid w:val="00F51364"/>
    <w:rsid w:val="00F5136F"/>
    <w:rsid w:val="00F515FC"/>
    <w:rsid w:val="00F5167D"/>
    <w:rsid w:val="00F517D2"/>
    <w:rsid w:val="00F51DEE"/>
    <w:rsid w:val="00F522AD"/>
    <w:rsid w:val="00F523AE"/>
    <w:rsid w:val="00F52464"/>
    <w:rsid w:val="00F52B41"/>
    <w:rsid w:val="00F5311B"/>
    <w:rsid w:val="00F5354C"/>
    <w:rsid w:val="00F53C35"/>
    <w:rsid w:val="00F53DAE"/>
    <w:rsid w:val="00F540C2"/>
    <w:rsid w:val="00F5413A"/>
    <w:rsid w:val="00F54230"/>
    <w:rsid w:val="00F5424F"/>
    <w:rsid w:val="00F542D7"/>
    <w:rsid w:val="00F54567"/>
    <w:rsid w:val="00F54A0E"/>
    <w:rsid w:val="00F54C75"/>
    <w:rsid w:val="00F54E84"/>
    <w:rsid w:val="00F54F25"/>
    <w:rsid w:val="00F55040"/>
    <w:rsid w:val="00F554EB"/>
    <w:rsid w:val="00F55762"/>
    <w:rsid w:val="00F5581B"/>
    <w:rsid w:val="00F558CC"/>
    <w:rsid w:val="00F55B63"/>
    <w:rsid w:val="00F55BC6"/>
    <w:rsid w:val="00F55C81"/>
    <w:rsid w:val="00F55F1E"/>
    <w:rsid w:val="00F566F6"/>
    <w:rsid w:val="00F56D27"/>
    <w:rsid w:val="00F56EF7"/>
    <w:rsid w:val="00F56F2F"/>
    <w:rsid w:val="00F57119"/>
    <w:rsid w:val="00F57388"/>
    <w:rsid w:val="00F57433"/>
    <w:rsid w:val="00F575B6"/>
    <w:rsid w:val="00F57A16"/>
    <w:rsid w:val="00F57A55"/>
    <w:rsid w:val="00F57BE3"/>
    <w:rsid w:val="00F57C20"/>
    <w:rsid w:val="00F57EC9"/>
    <w:rsid w:val="00F602D7"/>
    <w:rsid w:val="00F6067A"/>
    <w:rsid w:val="00F60A90"/>
    <w:rsid w:val="00F611CA"/>
    <w:rsid w:val="00F6185F"/>
    <w:rsid w:val="00F6194C"/>
    <w:rsid w:val="00F61BE6"/>
    <w:rsid w:val="00F61C50"/>
    <w:rsid w:val="00F61F04"/>
    <w:rsid w:val="00F621B9"/>
    <w:rsid w:val="00F622BD"/>
    <w:rsid w:val="00F6279D"/>
    <w:rsid w:val="00F62853"/>
    <w:rsid w:val="00F62ADD"/>
    <w:rsid w:val="00F62BAE"/>
    <w:rsid w:val="00F62DC4"/>
    <w:rsid w:val="00F63134"/>
    <w:rsid w:val="00F63464"/>
    <w:rsid w:val="00F634D8"/>
    <w:rsid w:val="00F63E15"/>
    <w:rsid w:val="00F63E27"/>
    <w:rsid w:val="00F641B1"/>
    <w:rsid w:val="00F64422"/>
    <w:rsid w:val="00F64810"/>
    <w:rsid w:val="00F6504E"/>
    <w:rsid w:val="00F6520B"/>
    <w:rsid w:val="00F6557A"/>
    <w:rsid w:val="00F65742"/>
    <w:rsid w:val="00F65B7D"/>
    <w:rsid w:val="00F65E84"/>
    <w:rsid w:val="00F661CA"/>
    <w:rsid w:val="00F66621"/>
    <w:rsid w:val="00F666F9"/>
    <w:rsid w:val="00F6680C"/>
    <w:rsid w:val="00F6697C"/>
    <w:rsid w:val="00F66996"/>
    <w:rsid w:val="00F669D8"/>
    <w:rsid w:val="00F66F23"/>
    <w:rsid w:val="00F66F76"/>
    <w:rsid w:val="00F675D0"/>
    <w:rsid w:val="00F676CA"/>
    <w:rsid w:val="00F676F9"/>
    <w:rsid w:val="00F678B6"/>
    <w:rsid w:val="00F67ABA"/>
    <w:rsid w:val="00F67E36"/>
    <w:rsid w:val="00F67FFE"/>
    <w:rsid w:val="00F70612"/>
    <w:rsid w:val="00F70876"/>
    <w:rsid w:val="00F708BB"/>
    <w:rsid w:val="00F70C56"/>
    <w:rsid w:val="00F70DE4"/>
    <w:rsid w:val="00F7127F"/>
    <w:rsid w:val="00F71500"/>
    <w:rsid w:val="00F717A7"/>
    <w:rsid w:val="00F719AC"/>
    <w:rsid w:val="00F720BF"/>
    <w:rsid w:val="00F720FD"/>
    <w:rsid w:val="00F72197"/>
    <w:rsid w:val="00F72250"/>
    <w:rsid w:val="00F72469"/>
    <w:rsid w:val="00F72559"/>
    <w:rsid w:val="00F72858"/>
    <w:rsid w:val="00F72A47"/>
    <w:rsid w:val="00F7309D"/>
    <w:rsid w:val="00F73E96"/>
    <w:rsid w:val="00F74273"/>
    <w:rsid w:val="00F7433C"/>
    <w:rsid w:val="00F74558"/>
    <w:rsid w:val="00F7476D"/>
    <w:rsid w:val="00F74AFC"/>
    <w:rsid w:val="00F74B57"/>
    <w:rsid w:val="00F74CF3"/>
    <w:rsid w:val="00F75324"/>
    <w:rsid w:val="00F759D0"/>
    <w:rsid w:val="00F7636A"/>
    <w:rsid w:val="00F7682E"/>
    <w:rsid w:val="00F76878"/>
    <w:rsid w:val="00F76AE4"/>
    <w:rsid w:val="00F76B30"/>
    <w:rsid w:val="00F76D05"/>
    <w:rsid w:val="00F76E2F"/>
    <w:rsid w:val="00F76F24"/>
    <w:rsid w:val="00F778CC"/>
    <w:rsid w:val="00F77C0A"/>
    <w:rsid w:val="00F77E0A"/>
    <w:rsid w:val="00F77E25"/>
    <w:rsid w:val="00F80867"/>
    <w:rsid w:val="00F80B29"/>
    <w:rsid w:val="00F80F99"/>
    <w:rsid w:val="00F812D3"/>
    <w:rsid w:val="00F81416"/>
    <w:rsid w:val="00F816C6"/>
    <w:rsid w:val="00F81B13"/>
    <w:rsid w:val="00F81CA9"/>
    <w:rsid w:val="00F8219B"/>
    <w:rsid w:val="00F821DE"/>
    <w:rsid w:val="00F8243E"/>
    <w:rsid w:val="00F82BD7"/>
    <w:rsid w:val="00F82E40"/>
    <w:rsid w:val="00F83333"/>
    <w:rsid w:val="00F833D1"/>
    <w:rsid w:val="00F83685"/>
    <w:rsid w:val="00F8374E"/>
    <w:rsid w:val="00F83818"/>
    <w:rsid w:val="00F83917"/>
    <w:rsid w:val="00F83C6F"/>
    <w:rsid w:val="00F83F99"/>
    <w:rsid w:val="00F8412E"/>
    <w:rsid w:val="00F84628"/>
    <w:rsid w:val="00F84640"/>
    <w:rsid w:val="00F848C4"/>
    <w:rsid w:val="00F84EDB"/>
    <w:rsid w:val="00F854DC"/>
    <w:rsid w:val="00F857C8"/>
    <w:rsid w:val="00F8598F"/>
    <w:rsid w:val="00F85F7B"/>
    <w:rsid w:val="00F8642F"/>
    <w:rsid w:val="00F86AD6"/>
    <w:rsid w:val="00F86DCE"/>
    <w:rsid w:val="00F8701A"/>
    <w:rsid w:val="00F871FA"/>
    <w:rsid w:val="00F87279"/>
    <w:rsid w:val="00F873A4"/>
    <w:rsid w:val="00F8775F"/>
    <w:rsid w:val="00F87973"/>
    <w:rsid w:val="00F87A31"/>
    <w:rsid w:val="00F87B33"/>
    <w:rsid w:val="00F87E1C"/>
    <w:rsid w:val="00F87FB4"/>
    <w:rsid w:val="00F9056D"/>
    <w:rsid w:val="00F905B5"/>
    <w:rsid w:val="00F90A6B"/>
    <w:rsid w:val="00F90CBB"/>
    <w:rsid w:val="00F90CDD"/>
    <w:rsid w:val="00F9109E"/>
    <w:rsid w:val="00F912C0"/>
    <w:rsid w:val="00F9135B"/>
    <w:rsid w:val="00F91406"/>
    <w:rsid w:val="00F9165D"/>
    <w:rsid w:val="00F91A57"/>
    <w:rsid w:val="00F9253A"/>
    <w:rsid w:val="00F927AE"/>
    <w:rsid w:val="00F9344F"/>
    <w:rsid w:val="00F938CC"/>
    <w:rsid w:val="00F9404D"/>
    <w:rsid w:val="00F94A10"/>
    <w:rsid w:val="00F94FAC"/>
    <w:rsid w:val="00F95311"/>
    <w:rsid w:val="00F95314"/>
    <w:rsid w:val="00F956D1"/>
    <w:rsid w:val="00F95FFA"/>
    <w:rsid w:val="00F96043"/>
    <w:rsid w:val="00F9675A"/>
    <w:rsid w:val="00F967CC"/>
    <w:rsid w:val="00F96DBF"/>
    <w:rsid w:val="00F970C4"/>
    <w:rsid w:val="00F9716D"/>
    <w:rsid w:val="00F9728A"/>
    <w:rsid w:val="00F97375"/>
    <w:rsid w:val="00F9790A"/>
    <w:rsid w:val="00F97947"/>
    <w:rsid w:val="00F97B93"/>
    <w:rsid w:val="00F97BE9"/>
    <w:rsid w:val="00F97C34"/>
    <w:rsid w:val="00F97C73"/>
    <w:rsid w:val="00F97E02"/>
    <w:rsid w:val="00FA0384"/>
    <w:rsid w:val="00FA0403"/>
    <w:rsid w:val="00FA0B41"/>
    <w:rsid w:val="00FA0CCF"/>
    <w:rsid w:val="00FA1193"/>
    <w:rsid w:val="00FA1556"/>
    <w:rsid w:val="00FA1DE0"/>
    <w:rsid w:val="00FA22CF"/>
    <w:rsid w:val="00FA22F5"/>
    <w:rsid w:val="00FA2589"/>
    <w:rsid w:val="00FA2837"/>
    <w:rsid w:val="00FA29B9"/>
    <w:rsid w:val="00FA2AE7"/>
    <w:rsid w:val="00FA2B4C"/>
    <w:rsid w:val="00FA2C6C"/>
    <w:rsid w:val="00FA2E56"/>
    <w:rsid w:val="00FA2E9F"/>
    <w:rsid w:val="00FA35F8"/>
    <w:rsid w:val="00FA3670"/>
    <w:rsid w:val="00FA374D"/>
    <w:rsid w:val="00FA3B20"/>
    <w:rsid w:val="00FA44AA"/>
    <w:rsid w:val="00FA4813"/>
    <w:rsid w:val="00FA4CEA"/>
    <w:rsid w:val="00FA5361"/>
    <w:rsid w:val="00FA541A"/>
    <w:rsid w:val="00FA63F9"/>
    <w:rsid w:val="00FA6464"/>
    <w:rsid w:val="00FA6A98"/>
    <w:rsid w:val="00FA7186"/>
    <w:rsid w:val="00FA71F9"/>
    <w:rsid w:val="00FA72FE"/>
    <w:rsid w:val="00FA748D"/>
    <w:rsid w:val="00FA7579"/>
    <w:rsid w:val="00FA7CF6"/>
    <w:rsid w:val="00FA7D9D"/>
    <w:rsid w:val="00FB00F7"/>
    <w:rsid w:val="00FB06C4"/>
    <w:rsid w:val="00FB0835"/>
    <w:rsid w:val="00FB0A98"/>
    <w:rsid w:val="00FB0F36"/>
    <w:rsid w:val="00FB10D6"/>
    <w:rsid w:val="00FB10E2"/>
    <w:rsid w:val="00FB1399"/>
    <w:rsid w:val="00FB199A"/>
    <w:rsid w:val="00FB19DB"/>
    <w:rsid w:val="00FB1AFF"/>
    <w:rsid w:val="00FB2577"/>
    <w:rsid w:val="00FB258E"/>
    <w:rsid w:val="00FB2A4B"/>
    <w:rsid w:val="00FB2AE3"/>
    <w:rsid w:val="00FB2DBC"/>
    <w:rsid w:val="00FB3423"/>
    <w:rsid w:val="00FB37DB"/>
    <w:rsid w:val="00FB3A11"/>
    <w:rsid w:val="00FB3A30"/>
    <w:rsid w:val="00FB3C96"/>
    <w:rsid w:val="00FB3DC9"/>
    <w:rsid w:val="00FB4000"/>
    <w:rsid w:val="00FB433E"/>
    <w:rsid w:val="00FB4630"/>
    <w:rsid w:val="00FB4E18"/>
    <w:rsid w:val="00FB4FF1"/>
    <w:rsid w:val="00FB52BB"/>
    <w:rsid w:val="00FB5541"/>
    <w:rsid w:val="00FB587A"/>
    <w:rsid w:val="00FB5A46"/>
    <w:rsid w:val="00FB5CDC"/>
    <w:rsid w:val="00FB649D"/>
    <w:rsid w:val="00FB651E"/>
    <w:rsid w:val="00FB6977"/>
    <w:rsid w:val="00FB6CD0"/>
    <w:rsid w:val="00FB6EAE"/>
    <w:rsid w:val="00FB71F9"/>
    <w:rsid w:val="00FB731D"/>
    <w:rsid w:val="00FB7AA2"/>
    <w:rsid w:val="00FB7E24"/>
    <w:rsid w:val="00FB7E77"/>
    <w:rsid w:val="00FB7E93"/>
    <w:rsid w:val="00FC0050"/>
    <w:rsid w:val="00FC03B6"/>
    <w:rsid w:val="00FC05B4"/>
    <w:rsid w:val="00FC083C"/>
    <w:rsid w:val="00FC0DC8"/>
    <w:rsid w:val="00FC0F78"/>
    <w:rsid w:val="00FC0F97"/>
    <w:rsid w:val="00FC1549"/>
    <w:rsid w:val="00FC1D2C"/>
    <w:rsid w:val="00FC1E3F"/>
    <w:rsid w:val="00FC2167"/>
    <w:rsid w:val="00FC225D"/>
    <w:rsid w:val="00FC22CD"/>
    <w:rsid w:val="00FC2412"/>
    <w:rsid w:val="00FC257E"/>
    <w:rsid w:val="00FC2A55"/>
    <w:rsid w:val="00FC3633"/>
    <w:rsid w:val="00FC41B0"/>
    <w:rsid w:val="00FC429B"/>
    <w:rsid w:val="00FC4D49"/>
    <w:rsid w:val="00FC4F7B"/>
    <w:rsid w:val="00FC5074"/>
    <w:rsid w:val="00FC5595"/>
    <w:rsid w:val="00FC55F8"/>
    <w:rsid w:val="00FC5633"/>
    <w:rsid w:val="00FC56B3"/>
    <w:rsid w:val="00FC5756"/>
    <w:rsid w:val="00FC59F8"/>
    <w:rsid w:val="00FC5E03"/>
    <w:rsid w:val="00FC5EE9"/>
    <w:rsid w:val="00FC5FC1"/>
    <w:rsid w:val="00FC605C"/>
    <w:rsid w:val="00FC6197"/>
    <w:rsid w:val="00FC65D3"/>
    <w:rsid w:val="00FC673E"/>
    <w:rsid w:val="00FC679A"/>
    <w:rsid w:val="00FC6962"/>
    <w:rsid w:val="00FC6ADD"/>
    <w:rsid w:val="00FC702A"/>
    <w:rsid w:val="00FC7509"/>
    <w:rsid w:val="00FC77B8"/>
    <w:rsid w:val="00FC7AD5"/>
    <w:rsid w:val="00FC7BB1"/>
    <w:rsid w:val="00FD032B"/>
    <w:rsid w:val="00FD0466"/>
    <w:rsid w:val="00FD0C92"/>
    <w:rsid w:val="00FD0D19"/>
    <w:rsid w:val="00FD0D5D"/>
    <w:rsid w:val="00FD0D82"/>
    <w:rsid w:val="00FD0F63"/>
    <w:rsid w:val="00FD1284"/>
    <w:rsid w:val="00FD1574"/>
    <w:rsid w:val="00FD1A8C"/>
    <w:rsid w:val="00FD1B24"/>
    <w:rsid w:val="00FD1C46"/>
    <w:rsid w:val="00FD1E06"/>
    <w:rsid w:val="00FD1EFC"/>
    <w:rsid w:val="00FD1F56"/>
    <w:rsid w:val="00FD241E"/>
    <w:rsid w:val="00FD253B"/>
    <w:rsid w:val="00FD256C"/>
    <w:rsid w:val="00FD27CE"/>
    <w:rsid w:val="00FD2A38"/>
    <w:rsid w:val="00FD2ADE"/>
    <w:rsid w:val="00FD2DC8"/>
    <w:rsid w:val="00FD2E32"/>
    <w:rsid w:val="00FD2EBE"/>
    <w:rsid w:val="00FD3471"/>
    <w:rsid w:val="00FD3514"/>
    <w:rsid w:val="00FD3994"/>
    <w:rsid w:val="00FD39EF"/>
    <w:rsid w:val="00FD3A97"/>
    <w:rsid w:val="00FD3AEE"/>
    <w:rsid w:val="00FD407E"/>
    <w:rsid w:val="00FD47BA"/>
    <w:rsid w:val="00FD498B"/>
    <w:rsid w:val="00FD4AEF"/>
    <w:rsid w:val="00FD4C6F"/>
    <w:rsid w:val="00FD4C85"/>
    <w:rsid w:val="00FD4D42"/>
    <w:rsid w:val="00FD4F4F"/>
    <w:rsid w:val="00FD52C6"/>
    <w:rsid w:val="00FD52F6"/>
    <w:rsid w:val="00FD547B"/>
    <w:rsid w:val="00FD5567"/>
    <w:rsid w:val="00FD58A7"/>
    <w:rsid w:val="00FD5BF4"/>
    <w:rsid w:val="00FD5C3B"/>
    <w:rsid w:val="00FD6385"/>
    <w:rsid w:val="00FD65A9"/>
    <w:rsid w:val="00FD67B7"/>
    <w:rsid w:val="00FD68B6"/>
    <w:rsid w:val="00FD69B6"/>
    <w:rsid w:val="00FD6C18"/>
    <w:rsid w:val="00FD6CEF"/>
    <w:rsid w:val="00FD6EB1"/>
    <w:rsid w:val="00FD6FCA"/>
    <w:rsid w:val="00FD701A"/>
    <w:rsid w:val="00FD74EA"/>
    <w:rsid w:val="00FD772A"/>
    <w:rsid w:val="00FD7874"/>
    <w:rsid w:val="00FD79FB"/>
    <w:rsid w:val="00FD7B59"/>
    <w:rsid w:val="00FD7E0D"/>
    <w:rsid w:val="00FD7F2F"/>
    <w:rsid w:val="00FE0058"/>
    <w:rsid w:val="00FE0120"/>
    <w:rsid w:val="00FE04D6"/>
    <w:rsid w:val="00FE05BD"/>
    <w:rsid w:val="00FE0957"/>
    <w:rsid w:val="00FE09D3"/>
    <w:rsid w:val="00FE1393"/>
    <w:rsid w:val="00FE1F4C"/>
    <w:rsid w:val="00FE20B2"/>
    <w:rsid w:val="00FE21EE"/>
    <w:rsid w:val="00FE2990"/>
    <w:rsid w:val="00FE2E42"/>
    <w:rsid w:val="00FE3225"/>
    <w:rsid w:val="00FE345A"/>
    <w:rsid w:val="00FE35E3"/>
    <w:rsid w:val="00FE36BF"/>
    <w:rsid w:val="00FE382D"/>
    <w:rsid w:val="00FE39AE"/>
    <w:rsid w:val="00FE3A9B"/>
    <w:rsid w:val="00FE3ABA"/>
    <w:rsid w:val="00FE3BCF"/>
    <w:rsid w:val="00FE3C56"/>
    <w:rsid w:val="00FE3FBE"/>
    <w:rsid w:val="00FE4545"/>
    <w:rsid w:val="00FE46F6"/>
    <w:rsid w:val="00FE478C"/>
    <w:rsid w:val="00FE49F5"/>
    <w:rsid w:val="00FE4A15"/>
    <w:rsid w:val="00FE4AF1"/>
    <w:rsid w:val="00FE4D69"/>
    <w:rsid w:val="00FE4EDC"/>
    <w:rsid w:val="00FE53B1"/>
    <w:rsid w:val="00FE558A"/>
    <w:rsid w:val="00FE5874"/>
    <w:rsid w:val="00FE58D5"/>
    <w:rsid w:val="00FE5D55"/>
    <w:rsid w:val="00FE604E"/>
    <w:rsid w:val="00FE65D6"/>
    <w:rsid w:val="00FE6955"/>
    <w:rsid w:val="00FE698C"/>
    <w:rsid w:val="00FE6A0D"/>
    <w:rsid w:val="00FE6A74"/>
    <w:rsid w:val="00FE6C24"/>
    <w:rsid w:val="00FE6D73"/>
    <w:rsid w:val="00FE7093"/>
    <w:rsid w:val="00FE7253"/>
    <w:rsid w:val="00FE73C0"/>
    <w:rsid w:val="00FE7669"/>
    <w:rsid w:val="00FE7C98"/>
    <w:rsid w:val="00FE7CFA"/>
    <w:rsid w:val="00FE7DCA"/>
    <w:rsid w:val="00FF03B7"/>
    <w:rsid w:val="00FF0996"/>
    <w:rsid w:val="00FF0E8B"/>
    <w:rsid w:val="00FF13FC"/>
    <w:rsid w:val="00FF17F3"/>
    <w:rsid w:val="00FF18F4"/>
    <w:rsid w:val="00FF25A9"/>
    <w:rsid w:val="00FF26BA"/>
    <w:rsid w:val="00FF2C69"/>
    <w:rsid w:val="00FF3AF1"/>
    <w:rsid w:val="00FF3B86"/>
    <w:rsid w:val="00FF40F6"/>
    <w:rsid w:val="00FF4186"/>
    <w:rsid w:val="00FF4350"/>
    <w:rsid w:val="00FF5001"/>
    <w:rsid w:val="00FF5198"/>
    <w:rsid w:val="00FF5334"/>
    <w:rsid w:val="00FF55C6"/>
    <w:rsid w:val="00FF5852"/>
    <w:rsid w:val="00FF5982"/>
    <w:rsid w:val="00FF6000"/>
    <w:rsid w:val="00FF60DD"/>
    <w:rsid w:val="00FF6161"/>
    <w:rsid w:val="00FF6860"/>
    <w:rsid w:val="00FF6A03"/>
    <w:rsid w:val="00FF6A1F"/>
    <w:rsid w:val="00FF6BDE"/>
    <w:rsid w:val="00FF6DB3"/>
    <w:rsid w:val="00FF6F0E"/>
    <w:rsid w:val="00FF7554"/>
    <w:rsid w:val="00FF7DF8"/>
    <w:rsid w:val="117316AA"/>
    <w:rsid w:val="142288C7"/>
    <w:rsid w:val="2E7E5623"/>
    <w:rsid w:val="2F89DCF1"/>
    <w:rsid w:val="350ABB18"/>
    <w:rsid w:val="5157D1EC"/>
    <w:rsid w:val="5A32F86E"/>
    <w:rsid w:val="63CB5258"/>
    <w:rsid w:val="699AA5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67F713D"/>
  <w14:discardImageEditingData/>
  <w14:defaultImageDpi w14:val="32767"/>
  <w15:chartTrackingRefBased/>
  <w15:docId w15:val="{AFCEDCD0-38A8-4EAE-9CA3-1EA6F618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7070E"/>
  </w:style>
  <w:style w:type="paragraph" w:styleId="Heading1">
    <w:name w:val="heading 1"/>
    <w:basedOn w:val="Normal"/>
    <w:next w:val="BodyText"/>
    <w:link w:val="Heading1Char"/>
    <w:autoRedefine/>
    <w:uiPriority w:val="9"/>
    <w:qFormat/>
    <w:rsid w:val="006D284E"/>
    <w:pPr>
      <w:keepNext/>
      <w:keepLines/>
      <w:spacing w:after="460"/>
      <w:outlineLvl w:val="0"/>
    </w:pPr>
    <w:rPr>
      <w:rFonts w:ascii="Calibri" w:hAnsi="Calibri"/>
      <w:b/>
      <w:color w:val="auto"/>
      <w:sz w:val="72"/>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paragraph" w:styleId="Heading5">
    <w:name w:val="heading 5"/>
    <w:basedOn w:val="Normal"/>
    <w:next w:val="Normal"/>
    <w:link w:val="Heading5Char"/>
    <w:uiPriority w:val="9"/>
    <w:semiHidden/>
    <w:qFormat/>
    <w:rsid w:val="00297C15"/>
    <w:pPr>
      <w:keepNext/>
      <w:keepLines/>
      <w:spacing w:before="160" w:after="80"/>
      <w:outlineLvl w:val="4"/>
    </w:pPr>
    <w:rPr>
      <w:rFonts w:asciiTheme="majorHAnsi" w:eastAsiaTheme="majorEastAsia" w:hAnsiTheme="majorHAnsi" w:cstheme="majorBidi"/>
      <w:color w:val="1B232C" w:themeColor="accent1" w:themeShade="BF"/>
      <w:sz w:val="22"/>
      <w:szCs w:val="22"/>
    </w:rPr>
  </w:style>
  <w:style w:type="paragraph" w:styleId="Heading6">
    <w:name w:val="heading 6"/>
    <w:basedOn w:val="Heading5"/>
    <w:next w:val="Normal"/>
    <w:link w:val="Heading6Char"/>
    <w:uiPriority w:val="9"/>
    <w:unhideWhenUsed/>
    <w:qFormat/>
    <w:rsid w:val="00013A6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6D284E"/>
    <w:rPr>
      <w:rFonts w:ascii="Calibri" w:hAnsi="Calibri"/>
      <w:b/>
      <w:color w:val="auto"/>
      <w:sz w:val="72"/>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3306CB"/>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autoRedefine/>
    <w:uiPriority w:val="29"/>
    <w:qFormat/>
    <w:rsid w:val="000B39CB"/>
    <w:pPr>
      <w:ind w:left="567" w:right="567"/>
    </w:pPr>
    <w:rPr>
      <w:color w:val="auto"/>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5"/>
      </w:numPr>
      <w:spacing w:before="40" w:after="40"/>
    </w:pPr>
    <w:rPr>
      <w:color w:val="000000" w:themeColor="text1"/>
      <w:sz w:val="18"/>
    </w:rPr>
  </w:style>
  <w:style w:type="paragraph" w:styleId="Caption">
    <w:name w:val="caption"/>
    <w:basedOn w:val="Normal"/>
    <w:next w:val="Normal"/>
    <w:uiPriority w:val="35"/>
    <w:unhideWhenUsed/>
    <w:qFormat/>
    <w:rsid w:val="00D458BB"/>
    <w:pPr>
      <w:keepNext/>
      <w:tabs>
        <w:tab w:val="left" w:pos="851"/>
        <w:tab w:val="left" w:pos="1017"/>
      </w:tabs>
      <w:spacing w:before="120"/>
      <w:ind w:left="851" w:hanging="851"/>
    </w:pPr>
    <w:rPr>
      <w:rFonts w:asciiTheme="majorHAnsi" w:hAnsiTheme="majorHAnsi"/>
      <w:b/>
      <w:i/>
      <w:iCs/>
      <w:color w:val="014463" w:themeColor="text2"/>
      <w:sz w:val="18"/>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0B39CB"/>
    <w:rPr>
      <w:color w:val="auto"/>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autoRedefine/>
    <w:qFormat/>
    <w:rsid w:val="00E93B6A"/>
    <w:pPr>
      <w:spacing w:after="120"/>
    </w:pPr>
    <w:rPr>
      <w:b w:val="0"/>
    </w:rPr>
  </w:style>
  <w:style w:type="character" w:customStyle="1" w:styleId="TitleChar">
    <w:name w:val="Title Char"/>
    <w:basedOn w:val="DefaultParagraphFont"/>
    <w:link w:val="Title"/>
    <w:rsid w:val="00E93B6A"/>
    <w:rPr>
      <w:rFonts w:ascii="Calibri" w:hAnsi="Calibri"/>
      <w:color w:val="auto"/>
      <w:sz w:val="72"/>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styleId="CommentReference">
    <w:name w:val="annotation reference"/>
    <w:basedOn w:val="DefaultParagraphFont"/>
    <w:uiPriority w:val="99"/>
    <w:semiHidden/>
    <w:unhideWhenUsed/>
    <w:rsid w:val="00944B5F"/>
    <w:rPr>
      <w:sz w:val="16"/>
      <w:szCs w:val="16"/>
    </w:rPr>
  </w:style>
  <w:style w:type="paragraph" w:styleId="CommentText">
    <w:name w:val="annotation text"/>
    <w:basedOn w:val="Normal"/>
    <w:link w:val="CommentTextChar"/>
    <w:unhideWhenUsed/>
    <w:rsid w:val="00944B5F"/>
    <w:pPr>
      <w:spacing w:line="240" w:lineRule="auto"/>
    </w:pPr>
  </w:style>
  <w:style w:type="character" w:customStyle="1" w:styleId="CommentTextChar">
    <w:name w:val="Comment Text Char"/>
    <w:basedOn w:val="DefaultParagraphFont"/>
    <w:link w:val="CommentText"/>
    <w:rsid w:val="00944B5F"/>
  </w:style>
  <w:style w:type="paragraph" w:styleId="CommentSubject">
    <w:name w:val="annotation subject"/>
    <w:basedOn w:val="CommentText"/>
    <w:next w:val="CommentText"/>
    <w:link w:val="CommentSubjectChar"/>
    <w:uiPriority w:val="99"/>
    <w:semiHidden/>
    <w:unhideWhenUsed/>
    <w:rsid w:val="00944B5F"/>
    <w:rPr>
      <w:b/>
      <w:bCs/>
    </w:rPr>
  </w:style>
  <w:style w:type="character" w:customStyle="1" w:styleId="CommentSubjectChar">
    <w:name w:val="Comment Subject Char"/>
    <w:basedOn w:val="CommentTextChar"/>
    <w:link w:val="CommentSubject"/>
    <w:uiPriority w:val="99"/>
    <w:semiHidden/>
    <w:rsid w:val="00944B5F"/>
    <w:rPr>
      <w:b/>
      <w:bCs/>
    </w:rPr>
  </w:style>
  <w:style w:type="paragraph" w:customStyle="1" w:styleId="paragraph">
    <w:name w:val="paragraph"/>
    <w:basedOn w:val="Normal"/>
    <w:rsid w:val="001C085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1C085F"/>
  </w:style>
  <w:style w:type="character" w:customStyle="1" w:styleId="eop">
    <w:name w:val="eop"/>
    <w:basedOn w:val="DefaultParagraphFont"/>
    <w:rsid w:val="001C085F"/>
  </w:style>
  <w:style w:type="character" w:customStyle="1" w:styleId="scxw172595931">
    <w:name w:val="scxw172595931"/>
    <w:basedOn w:val="DefaultParagraphFont"/>
    <w:rsid w:val="001C085F"/>
  </w:style>
  <w:style w:type="character" w:customStyle="1" w:styleId="UnresolvedMention1">
    <w:name w:val="Unresolved Mention1"/>
    <w:basedOn w:val="DefaultParagraphFont"/>
    <w:uiPriority w:val="99"/>
    <w:unhideWhenUsed/>
    <w:rsid w:val="001174AA"/>
    <w:rPr>
      <w:color w:val="605E5C"/>
      <w:shd w:val="clear" w:color="auto" w:fill="E1DFDD"/>
    </w:rPr>
  </w:style>
  <w:style w:type="character" w:styleId="Emphasis">
    <w:name w:val="Emphasis"/>
    <w:basedOn w:val="DefaultParagraphFont"/>
    <w:uiPriority w:val="20"/>
    <w:qFormat/>
    <w:rsid w:val="002B38D8"/>
    <w:rPr>
      <w:i/>
      <w:iCs/>
    </w:rPr>
  </w:style>
  <w:style w:type="paragraph" w:styleId="TOCHeading">
    <w:name w:val="TOC Heading"/>
    <w:basedOn w:val="Heading1"/>
    <w:next w:val="Normal"/>
    <w:uiPriority w:val="39"/>
    <w:unhideWhenUsed/>
    <w:qFormat/>
    <w:rsid w:val="0075234D"/>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75234D"/>
    <w:pPr>
      <w:spacing w:after="100"/>
    </w:pPr>
  </w:style>
  <w:style w:type="paragraph" w:styleId="TOC2">
    <w:name w:val="toc 2"/>
    <w:basedOn w:val="Normal"/>
    <w:next w:val="Normal"/>
    <w:autoRedefine/>
    <w:uiPriority w:val="39"/>
    <w:unhideWhenUsed/>
    <w:rsid w:val="003A6081"/>
    <w:pPr>
      <w:tabs>
        <w:tab w:val="right" w:leader="dot" w:pos="10194"/>
      </w:tabs>
      <w:spacing w:after="100"/>
      <w:ind w:left="200"/>
    </w:pPr>
  </w:style>
  <w:style w:type="paragraph" w:styleId="TOC3">
    <w:name w:val="toc 3"/>
    <w:basedOn w:val="Normal"/>
    <w:next w:val="Normal"/>
    <w:autoRedefine/>
    <w:uiPriority w:val="39"/>
    <w:unhideWhenUsed/>
    <w:rsid w:val="0075234D"/>
    <w:pPr>
      <w:spacing w:after="100"/>
      <w:ind w:left="400"/>
    </w:pPr>
  </w:style>
  <w:style w:type="character" w:styleId="FollowedHyperlink">
    <w:name w:val="FollowedHyperlink"/>
    <w:basedOn w:val="DefaultParagraphFont"/>
    <w:uiPriority w:val="99"/>
    <w:semiHidden/>
    <w:unhideWhenUsed/>
    <w:rsid w:val="00703272"/>
    <w:rPr>
      <w:color w:val="015F8B" w:themeColor="followedHyperlink"/>
      <w:u w:val="single"/>
    </w:rPr>
  </w:style>
  <w:style w:type="character" w:customStyle="1" w:styleId="Mention1">
    <w:name w:val="Mention1"/>
    <w:basedOn w:val="DefaultParagraphFont"/>
    <w:uiPriority w:val="99"/>
    <w:unhideWhenUsed/>
    <w:rsid w:val="00101C1C"/>
    <w:rPr>
      <w:color w:val="2B579A"/>
      <w:shd w:val="clear" w:color="auto" w:fill="E1DFDD"/>
    </w:rPr>
  </w:style>
  <w:style w:type="table" w:styleId="GridTable4-Accent5">
    <w:name w:val="Grid Table 4 Accent 5"/>
    <w:basedOn w:val="TableNormal"/>
    <w:uiPriority w:val="49"/>
    <w:rsid w:val="008D4926"/>
    <w:pPr>
      <w:spacing w:after="0" w:line="240" w:lineRule="auto"/>
    </w:pPr>
    <w:tblPr>
      <w:tblStyleRowBandSize w:val="1"/>
      <w:tblStyleColBandSize w:val="1"/>
      <w:tblBorders>
        <w:top w:val="single" w:sz="4" w:space="0" w:color="FFCA61" w:themeColor="accent5" w:themeTint="99"/>
        <w:left w:val="single" w:sz="4" w:space="0" w:color="FFCA61" w:themeColor="accent5" w:themeTint="99"/>
        <w:bottom w:val="single" w:sz="4" w:space="0" w:color="FFCA61" w:themeColor="accent5" w:themeTint="99"/>
        <w:right w:val="single" w:sz="4" w:space="0" w:color="FFCA61" w:themeColor="accent5" w:themeTint="99"/>
        <w:insideH w:val="single" w:sz="4" w:space="0" w:color="FFCA61" w:themeColor="accent5" w:themeTint="99"/>
        <w:insideV w:val="single" w:sz="4" w:space="0" w:color="FFCA61" w:themeColor="accent5" w:themeTint="99"/>
      </w:tblBorders>
    </w:tblPr>
    <w:tblStylePr w:type="firstRow">
      <w:rPr>
        <w:b/>
        <w:bCs/>
        <w:color w:val="FFFFFF" w:themeColor="background1"/>
      </w:rPr>
      <w:tblPr/>
      <w:tcPr>
        <w:tcBorders>
          <w:top w:val="single" w:sz="4" w:space="0" w:color="F7A600" w:themeColor="accent5"/>
          <w:left w:val="single" w:sz="4" w:space="0" w:color="F7A600" w:themeColor="accent5"/>
          <w:bottom w:val="single" w:sz="4" w:space="0" w:color="F7A600" w:themeColor="accent5"/>
          <w:right w:val="single" w:sz="4" w:space="0" w:color="F7A600" w:themeColor="accent5"/>
          <w:insideH w:val="nil"/>
          <w:insideV w:val="nil"/>
        </w:tcBorders>
        <w:shd w:val="clear" w:color="auto" w:fill="F7A600" w:themeFill="accent5"/>
      </w:tcPr>
    </w:tblStylePr>
    <w:tblStylePr w:type="lastRow">
      <w:rPr>
        <w:b/>
        <w:bCs/>
      </w:rPr>
      <w:tblPr/>
      <w:tcPr>
        <w:tcBorders>
          <w:top w:val="double" w:sz="4" w:space="0" w:color="F7A6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paragraph" w:styleId="ListBullet">
    <w:name w:val="List Bullet"/>
    <w:basedOn w:val="Normal"/>
    <w:autoRedefine/>
    <w:uiPriority w:val="7"/>
    <w:qFormat/>
    <w:rsid w:val="002710A6"/>
    <w:pPr>
      <w:numPr>
        <w:numId w:val="25"/>
      </w:numPr>
      <w:tabs>
        <w:tab w:val="clear" w:pos="360"/>
        <w:tab w:val="num" w:pos="284"/>
      </w:tabs>
      <w:spacing w:before="120" w:line="276" w:lineRule="auto"/>
    </w:pPr>
    <w:rPr>
      <w:rFonts w:ascii="Cambria" w:hAnsi="Cambria"/>
      <w:color w:val="auto"/>
      <w:szCs w:val="22"/>
    </w:rPr>
  </w:style>
  <w:style w:type="paragraph" w:styleId="ListBullet2">
    <w:name w:val="List Bullet 2"/>
    <w:basedOn w:val="Normal"/>
    <w:uiPriority w:val="8"/>
    <w:qFormat/>
    <w:rsid w:val="001B63CF"/>
    <w:pPr>
      <w:numPr>
        <w:numId w:val="26"/>
      </w:numPr>
      <w:tabs>
        <w:tab w:val="clear" w:pos="643"/>
        <w:tab w:val="num" w:pos="567"/>
      </w:tabs>
      <w:spacing w:before="120" w:line="276" w:lineRule="auto"/>
      <w:contextualSpacing/>
    </w:pPr>
    <w:rPr>
      <w:rFonts w:ascii="Cambria" w:hAnsi="Cambria"/>
      <w:color w:val="auto"/>
      <w:sz w:val="22"/>
      <w:szCs w:val="22"/>
    </w:rPr>
  </w:style>
  <w:style w:type="character" w:styleId="Strong">
    <w:name w:val="Strong"/>
    <w:basedOn w:val="DefaultParagraphFont"/>
    <w:uiPriority w:val="22"/>
    <w:qFormat/>
    <w:rsid w:val="001B63CF"/>
    <w:rPr>
      <w:b/>
      <w:bCs/>
    </w:rPr>
  </w:style>
  <w:style w:type="paragraph" w:styleId="Revision">
    <w:name w:val="Revision"/>
    <w:hidden/>
    <w:uiPriority w:val="99"/>
    <w:semiHidden/>
    <w:rsid w:val="00422EEA"/>
    <w:pPr>
      <w:spacing w:after="0" w:line="240" w:lineRule="auto"/>
    </w:pPr>
  </w:style>
  <w:style w:type="paragraph" w:customStyle="1" w:styleId="Normalsmall">
    <w:name w:val="Normal small"/>
    <w:qFormat/>
    <w:rsid w:val="006A2F8C"/>
    <w:pPr>
      <w:spacing w:line="276" w:lineRule="auto"/>
    </w:pPr>
    <w:rPr>
      <w:rFonts w:ascii="Cambria" w:hAnsi="Cambria"/>
      <w:color w:val="auto"/>
      <w:sz w:val="18"/>
      <w:szCs w:val="18"/>
    </w:rPr>
  </w:style>
  <w:style w:type="character" w:customStyle="1" w:styleId="Heading5Char">
    <w:name w:val="Heading 5 Char"/>
    <w:basedOn w:val="DefaultParagraphFont"/>
    <w:link w:val="Heading5"/>
    <w:uiPriority w:val="9"/>
    <w:semiHidden/>
    <w:rsid w:val="00297C15"/>
    <w:rPr>
      <w:rFonts w:asciiTheme="majorHAnsi" w:eastAsiaTheme="majorEastAsia" w:hAnsiTheme="majorHAnsi" w:cstheme="majorBidi"/>
      <w:color w:val="1B232C" w:themeColor="accent1" w:themeShade="BF"/>
      <w:sz w:val="22"/>
      <w:szCs w:val="22"/>
    </w:rPr>
  </w:style>
  <w:style w:type="character" w:customStyle="1" w:styleId="Heading6Char">
    <w:name w:val="Heading 6 Char"/>
    <w:basedOn w:val="DefaultParagraphFont"/>
    <w:link w:val="Heading6"/>
    <w:uiPriority w:val="9"/>
    <w:rsid w:val="00013A60"/>
    <w:rPr>
      <w:rFonts w:asciiTheme="majorHAnsi" w:eastAsiaTheme="majorEastAsia" w:hAnsiTheme="majorHAnsi" w:cstheme="majorBidi"/>
      <w:color w:val="1B232C" w:themeColor="accent1" w:themeShade="BF"/>
      <w:sz w:val="22"/>
      <w:szCs w:val="22"/>
    </w:rPr>
  </w:style>
  <w:style w:type="table" w:styleId="GridTable4">
    <w:name w:val="Grid Table 4"/>
    <w:basedOn w:val="TableNormal"/>
    <w:uiPriority w:val="49"/>
    <w:rsid w:val="004D35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unhideWhenUsed/>
    <w:rsid w:val="00241A24"/>
    <w:rPr>
      <w:color w:val="605E5C"/>
      <w:shd w:val="clear" w:color="auto" w:fill="E1DFDD"/>
    </w:rPr>
  </w:style>
  <w:style w:type="character" w:styleId="Mention">
    <w:name w:val="Mention"/>
    <w:basedOn w:val="DefaultParagraphFont"/>
    <w:uiPriority w:val="99"/>
    <w:unhideWhenUsed/>
    <w:rsid w:val="00400C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524">
      <w:bodyDiv w:val="1"/>
      <w:marLeft w:val="0"/>
      <w:marRight w:val="0"/>
      <w:marTop w:val="0"/>
      <w:marBottom w:val="0"/>
      <w:divBdr>
        <w:top w:val="none" w:sz="0" w:space="0" w:color="auto"/>
        <w:left w:val="none" w:sz="0" w:space="0" w:color="auto"/>
        <w:bottom w:val="none" w:sz="0" w:space="0" w:color="auto"/>
        <w:right w:val="none" w:sz="0" w:space="0" w:color="auto"/>
      </w:divBdr>
      <w:divsChild>
        <w:div w:id="295261724">
          <w:marLeft w:val="0"/>
          <w:marRight w:val="0"/>
          <w:marTop w:val="0"/>
          <w:marBottom w:val="0"/>
          <w:divBdr>
            <w:top w:val="none" w:sz="0" w:space="0" w:color="auto"/>
            <w:left w:val="none" w:sz="0" w:space="0" w:color="auto"/>
            <w:bottom w:val="none" w:sz="0" w:space="0" w:color="auto"/>
            <w:right w:val="none" w:sz="0" w:space="0" w:color="auto"/>
          </w:divBdr>
        </w:div>
        <w:div w:id="447507759">
          <w:marLeft w:val="0"/>
          <w:marRight w:val="0"/>
          <w:marTop w:val="0"/>
          <w:marBottom w:val="0"/>
          <w:divBdr>
            <w:top w:val="none" w:sz="0" w:space="0" w:color="auto"/>
            <w:left w:val="none" w:sz="0" w:space="0" w:color="auto"/>
            <w:bottom w:val="none" w:sz="0" w:space="0" w:color="auto"/>
            <w:right w:val="none" w:sz="0" w:space="0" w:color="auto"/>
          </w:divBdr>
        </w:div>
        <w:div w:id="1082141870">
          <w:marLeft w:val="0"/>
          <w:marRight w:val="0"/>
          <w:marTop w:val="0"/>
          <w:marBottom w:val="0"/>
          <w:divBdr>
            <w:top w:val="none" w:sz="0" w:space="0" w:color="auto"/>
            <w:left w:val="none" w:sz="0" w:space="0" w:color="auto"/>
            <w:bottom w:val="none" w:sz="0" w:space="0" w:color="auto"/>
            <w:right w:val="none" w:sz="0" w:space="0" w:color="auto"/>
          </w:divBdr>
        </w:div>
      </w:divsChild>
    </w:div>
    <w:div w:id="272901969">
      <w:bodyDiv w:val="1"/>
      <w:marLeft w:val="0"/>
      <w:marRight w:val="0"/>
      <w:marTop w:val="0"/>
      <w:marBottom w:val="0"/>
      <w:divBdr>
        <w:top w:val="none" w:sz="0" w:space="0" w:color="auto"/>
        <w:left w:val="none" w:sz="0" w:space="0" w:color="auto"/>
        <w:bottom w:val="none" w:sz="0" w:space="0" w:color="auto"/>
        <w:right w:val="none" w:sz="0" w:space="0" w:color="auto"/>
      </w:divBdr>
    </w:div>
    <w:div w:id="307630940">
      <w:bodyDiv w:val="1"/>
      <w:marLeft w:val="0"/>
      <w:marRight w:val="0"/>
      <w:marTop w:val="0"/>
      <w:marBottom w:val="0"/>
      <w:divBdr>
        <w:top w:val="none" w:sz="0" w:space="0" w:color="auto"/>
        <w:left w:val="none" w:sz="0" w:space="0" w:color="auto"/>
        <w:bottom w:val="none" w:sz="0" w:space="0" w:color="auto"/>
        <w:right w:val="none" w:sz="0" w:space="0" w:color="auto"/>
      </w:divBdr>
    </w:div>
    <w:div w:id="415327425">
      <w:bodyDiv w:val="1"/>
      <w:marLeft w:val="0"/>
      <w:marRight w:val="0"/>
      <w:marTop w:val="0"/>
      <w:marBottom w:val="0"/>
      <w:divBdr>
        <w:top w:val="none" w:sz="0" w:space="0" w:color="auto"/>
        <w:left w:val="none" w:sz="0" w:space="0" w:color="auto"/>
        <w:bottom w:val="none" w:sz="0" w:space="0" w:color="auto"/>
        <w:right w:val="none" w:sz="0" w:space="0" w:color="auto"/>
      </w:divBdr>
    </w:div>
    <w:div w:id="876354857">
      <w:bodyDiv w:val="1"/>
      <w:marLeft w:val="0"/>
      <w:marRight w:val="0"/>
      <w:marTop w:val="0"/>
      <w:marBottom w:val="0"/>
      <w:divBdr>
        <w:top w:val="none" w:sz="0" w:space="0" w:color="auto"/>
        <w:left w:val="none" w:sz="0" w:space="0" w:color="auto"/>
        <w:bottom w:val="none" w:sz="0" w:space="0" w:color="auto"/>
        <w:right w:val="none" w:sz="0" w:space="0" w:color="auto"/>
      </w:divBdr>
    </w:div>
    <w:div w:id="880752777">
      <w:bodyDiv w:val="1"/>
      <w:marLeft w:val="0"/>
      <w:marRight w:val="0"/>
      <w:marTop w:val="0"/>
      <w:marBottom w:val="0"/>
      <w:divBdr>
        <w:top w:val="none" w:sz="0" w:space="0" w:color="auto"/>
        <w:left w:val="none" w:sz="0" w:space="0" w:color="auto"/>
        <w:bottom w:val="none" w:sz="0" w:space="0" w:color="auto"/>
        <w:right w:val="none" w:sz="0" w:space="0" w:color="auto"/>
      </w:divBdr>
    </w:div>
    <w:div w:id="986785704">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 w:id="2123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creativecommons.org/licenses/by/4.0/legalcode" TargetMode="External"/><Relationship Id="rId26" Type="http://schemas.openxmlformats.org/officeDocument/2006/relationships/footer" Target="footer4.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awe.gov.au/publications" TargetMode="External"/><Relationship Id="rId34" Type="http://schemas.openxmlformats.org/officeDocument/2006/relationships/hyperlink" Target="https://www.igb.gov.au/sites/default/files/documents/igb-confidence-testing-report_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www.rubyprincessinquiry.nsw.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hyperlink" Target="https://cruising.org/-/media/research-updates/research/2021-state-of-the-cruise-industry_optimized.ash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cruising.org/en/news-and-research/research/2020/december/state-of-the-cruise-industry-outlook-2021" TargetMode="External"/><Relationship Id="rId37" Type="http://schemas.openxmlformats.org/officeDocument/2006/relationships/hyperlink" Target="https://www.cruiseagency.com.au/news/australian-cruise-industry-statistic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s://www.abs.gov.au/statistics/labour/earnings-and-work-hours/employee-earnings-and-hours-australia/latest-release" TargetMode="External"/><Relationship Id="rId36"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yperlink" Target="mailto:copyright@awe.gov.au" TargetMode="External"/><Relationship Id="rId31" Type="http://schemas.openxmlformats.org/officeDocument/2006/relationships/hyperlink" Target="https://www.cruising.org.au/Tenant/C0000003/Reports/CLIA_Cruise_EIA_2019-20_infographi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awe.gov.au/" TargetMode="External"/><Relationship Id="rId27" Type="http://schemas.openxmlformats.org/officeDocument/2006/relationships/image" Target="media/image4.emf"/><Relationship Id="rId30" Type="http://schemas.openxmlformats.org/officeDocument/2006/relationships/hyperlink" Target="https://www.cruising.org.au/ccms_r?PageID=10267&amp;tenid=CLIA" TargetMode="External"/><Relationship Id="rId35" Type="http://schemas.openxmlformats.org/officeDocument/2006/relationships/hyperlink" Target="https://www.rubyprincessinquiry.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4472C4"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4472C4"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4472C4"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5B"/>
    <w:rsid w:val="00203788"/>
    <w:rsid w:val="002C5898"/>
    <w:rsid w:val="003B6408"/>
    <w:rsid w:val="004911FE"/>
    <w:rsid w:val="00493AE4"/>
    <w:rsid w:val="004C4A8A"/>
    <w:rsid w:val="00500FCF"/>
    <w:rsid w:val="007938A3"/>
    <w:rsid w:val="00797D9A"/>
    <w:rsid w:val="007B16EE"/>
    <w:rsid w:val="0080361E"/>
    <w:rsid w:val="00811F5B"/>
    <w:rsid w:val="008860FD"/>
    <w:rsid w:val="009029C0"/>
    <w:rsid w:val="0095447F"/>
    <w:rsid w:val="009E55C6"/>
    <w:rsid w:val="009F3900"/>
    <w:rsid w:val="00A05DDC"/>
    <w:rsid w:val="00AC189F"/>
    <w:rsid w:val="00BA5E77"/>
    <w:rsid w:val="00DA022E"/>
    <w:rsid w:val="00E92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Name/>
  <Classification>Choose Classification</Classification>
  <DLM/>
  <SectionName/>
  <DH>Pratique and human health: amendments to the Biosecurity Act 2015</DH>
  <Byline/>
</root>
</file>

<file path=customXml/item4.xml><?xml version="1.0" encoding="utf-8"?>
<ct:contentTypeSchema xmlns:ct="http://schemas.microsoft.com/office/2006/metadata/contentType" xmlns:ma="http://schemas.microsoft.com/office/2006/metadata/properties/metaAttributes" ct:_="" ma:_="" ma:contentTypeName="Document" ma:contentTypeID="0x0101001704AA6CC7A3CC4AB8247A714A342397" ma:contentTypeVersion="13" ma:contentTypeDescription="Create a new document." ma:contentTypeScope="" ma:versionID="6655e932665842db467a0ef205e4f4cc">
  <xsd:schema xmlns:xsd="http://www.w3.org/2001/XMLSchema" xmlns:xs="http://www.w3.org/2001/XMLSchema" xmlns:p="http://schemas.microsoft.com/office/2006/metadata/properties" xmlns:ns2="54095a1b-cd70-438c-be5f-5136191b5916" xmlns:ns3="d00911ba-a710-49c2-9cf3-e6433577e57b" targetNamespace="http://schemas.microsoft.com/office/2006/metadata/properties" ma:root="true" ma:fieldsID="cb360206076b08963bb8359200f809a2" ns2:_="" ns3:_="">
    <xsd:import namespace="54095a1b-cd70-438c-be5f-5136191b5916"/>
    <xsd:import namespace="d00911ba-a710-49c2-9cf3-e6433577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95a1b-cd70-438c-be5f-5136191b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911ba-a710-49c2-9cf3-e6433577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2.xml><?xml version="1.0" encoding="utf-8"?>
<ds:datastoreItem xmlns:ds="http://schemas.openxmlformats.org/officeDocument/2006/customXml" ds:itemID="{F6E547EC-6463-4F89-A707-5A2FD7C340D4}">
  <ds:schemaRefs>
    <ds:schemaRef ds:uri="d00911ba-a710-49c2-9cf3-e6433577e57b"/>
    <ds:schemaRef ds:uri="54095a1b-cd70-438c-be5f-5136191b5916"/>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E5DF165C-F478-4507-B89F-6692F6821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95a1b-cd70-438c-be5f-5136191b5916"/>
    <ds:schemaRef ds:uri="d00911ba-a710-49c2-9cf3-e6433577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791E04-7C95-40A1-B1E9-85238171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16411</Words>
  <Characters>93547</Characters>
  <Application>Microsoft Office Word</Application>
  <DocSecurity>4</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109739</CharactersWithSpaces>
  <SharedDoc>false</SharedDoc>
  <HLinks>
    <vt:vector size="288" baseType="variant">
      <vt:variant>
        <vt:i4>6684731</vt:i4>
      </vt:variant>
      <vt:variant>
        <vt:i4>361</vt:i4>
      </vt:variant>
      <vt:variant>
        <vt:i4>0</vt:i4>
      </vt:variant>
      <vt:variant>
        <vt:i4>5</vt:i4>
      </vt:variant>
      <vt:variant>
        <vt:lpwstr>https://www.cruiseagency.com.au/news/australian-cruise-industry-statistics</vt:lpwstr>
      </vt:variant>
      <vt:variant>
        <vt:lpwstr/>
      </vt:variant>
      <vt:variant>
        <vt:i4>6291512</vt:i4>
      </vt:variant>
      <vt:variant>
        <vt:i4>334</vt:i4>
      </vt:variant>
      <vt:variant>
        <vt:i4>0</vt:i4>
      </vt:variant>
      <vt:variant>
        <vt:i4>5</vt:i4>
      </vt:variant>
      <vt:variant>
        <vt:lpwstr>https://www.rubyprincessinquiry.nsw.gov.au/</vt:lpwstr>
      </vt:variant>
      <vt:variant>
        <vt:lpwstr/>
      </vt:variant>
      <vt:variant>
        <vt:i4>131127</vt:i4>
      </vt:variant>
      <vt:variant>
        <vt:i4>331</vt:i4>
      </vt:variant>
      <vt:variant>
        <vt:i4>0</vt:i4>
      </vt:variant>
      <vt:variant>
        <vt:i4>5</vt:i4>
      </vt:variant>
      <vt:variant>
        <vt:lpwstr>https://www.igb.gov.au/sites/default/files/documents/igb-confidence-testing-report_0.pdf</vt:lpwstr>
      </vt:variant>
      <vt:variant>
        <vt:lpwstr/>
      </vt:variant>
      <vt:variant>
        <vt:i4>131127</vt:i4>
      </vt:variant>
      <vt:variant>
        <vt:i4>328</vt:i4>
      </vt:variant>
      <vt:variant>
        <vt:i4>0</vt:i4>
      </vt:variant>
      <vt:variant>
        <vt:i4>5</vt:i4>
      </vt:variant>
      <vt:variant>
        <vt:lpwstr>https://www.igb.gov.au/sites/default/files/documents/igb-confidence-testing-report_0.pdf</vt:lpwstr>
      </vt:variant>
      <vt:variant>
        <vt:lpwstr/>
      </vt:variant>
      <vt:variant>
        <vt:i4>6291512</vt:i4>
      </vt:variant>
      <vt:variant>
        <vt:i4>325</vt:i4>
      </vt:variant>
      <vt:variant>
        <vt:i4>0</vt:i4>
      </vt:variant>
      <vt:variant>
        <vt:i4>5</vt:i4>
      </vt:variant>
      <vt:variant>
        <vt:lpwstr>https://www.rubyprincessinquiry.nsw.gov.au/</vt:lpwstr>
      </vt:variant>
      <vt:variant>
        <vt:lpwstr/>
      </vt:variant>
      <vt:variant>
        <vt:i4>2687020</vt:i4>
      </vt:variant>
      <vt:variant>
        <vt:i4>322</vt:i4>
      </vt:variant>
      <vt:variant>
        <vt:i4>0</vt:i4>
      </vt:variant>
      <vt:variant>
        <vt:i4>5</vt:i4>
      </vt:variant>
      <vt:variant>
        <vt:lpwstr>https://cruising.org/en/news-and-research/research/2020/december/state-of-the-cruise-industry-outlook-2021</vt:lpwstr>
      </vt:variant>
      <vt:variant>
        <vt:lpwstr/>
      </vt:variant>
      <vt:variant>
        <vt:i4>196692</vt:i4>
      </vt:variant>
      <vt:variant>
        <vt:i4>319</vt:i4>
      </vt:variant>
      <vt:variant>
        <vt:i4>0</vt:i4>
      </vt:variant>
      <vt:variant>
        <vt:i4>5</vt:i4>
      </vt:variant>
      <vt:variant>
        <vt:lpwstr>https://www.cruising.org.au/Tenant/C0000003/Reports/CLIA_Cruise_EIA_2019-20_infographic.pdf</vt:lpwstr>
      </vt:variant>
      <vt:variant>
        <vt:lpwstr/>
      </vt:variant>
      <vt:variant>
        <vt:i4>2490370</vt:i4>
      </vt:variant>
      <vt:variant>
        <vt:i4>316</vt:i4>
      </vt:variant>
      <vt:variant>
        <vt:i4>0</vt:i4>
      </vt:variant>
      <vt:variant>
        <vt:i4>5</vt:i4>
      </vt:variant>
      <vt:variant>
        <vt:lpwstr>https://www.cruising.org.au/ccms_r?PageID=10267&amp;tenid=CLIA</vt:lpwstr>
      </vt:variant>
      <vt:variant>
        <vt:lpwstr/>
      </vt:variant>
      <vt:variant>
        <vt:i4>7208960</vt:i4>
      </vt:variant>
      <vt:variant>
        <vt:i4>313</vt:i4>
      </vt:variant>
      <vt:variant>
        <vt:i4>0</vt:i4>
      </vt:variant>
      <vt:variant>
        <vt:i4>5</vt:i4>
      </vt:variant>
      <vt:variant>
        <vt:lpwstr>https://cruising.org/-/media/research-updates/research/2021-state-of-the-cruise-industry_optimized.ashx</vt:lpwstr>
      </vt:variant>
      <vt:variant>
        <vt:lpwstr/>
      </vt:variant>
      <vt:variant>
        <vt:i4>65614</vt:i4>
      </vt:variant>
      <vt:variant>
        <vt:i4>310</vt:i4>
      </vt:variant>
      <vt:variant>
        <vt:i4>0</vt:i4>
      </vt:variant>
      <vt:variant>
        <vt:i4>5</vt:i4>
      </vt:variant>
      <vt:variant>
        <vt:lpwstr>https://www.abs.gov.au/statistics/labour/earnings-and-work-hours/employee-earnings-and-hours-australia/latest-release</vt:lpwstr>
      </vt:variant>
      <vt:variant>
        <vt:lpwstr/>
      </vt:variant>
      <vt:variant>
        <vt:i4>1441842</vt:i4>
      </vt:variant>
      <vt:variant>
        <vt:i4>212</vt:i4>
      </vt:variant>
      <vt:variant>
        <vt:i4>0</vt:i4>
      </vt:variant>
      <vt:variant>
        <vt:i4>5</vt:i4>
      </vt:variant>
      <vt:variant>
        <vt:lpwstr/>
      </vt:variant>
      <vt:variant>
        <vt:lpwstr>_Toc80901627</vt:lpwstr>
      </vt:variant>
      <vt:variant>
        <vt:i4>1507378</vt:i4>
      </vt:variant>
      <vt:variant>
        <vt:i4>206</vt:i4>
      </vt:variant>
      <vt:variant>
        <vt:i4>0</vt:i4>
      </vt:variant>
      <vt:variant>
        <vt:i4>5</vt:i4>
      </vt:variant>
      <vt:variant>
        <vt:lpwstr/>
      </vt:variant>
      <vt:variant>
        <vt:lpwstr>_Toc80901626</vt:lpwstr>
      </vt:variant>
      <vt:variant>
        <vt:i4>1310770</vt:i4>
      </vt:variant>
      <vt:variant>
        <vt:i4>200</vt:i4>
      </vt:variant>
      <vt:variant>
        <vt:i4>0</vt:i4>
      </vt:variant>
      <vt:variant>
        <vt:i4>5</vt:i4>
      </vt:variant>
      <vt:variant>
        <vt:lpwstr/>
      </vt:variant>
      <vt:variant>
        <vt:lpwstr>_Toc80901625</vt:lpwstr>
      </vt:variant>
      <vt:variant>
        <vt:i4>1376306</vt:i4>
      </vt:variant>
      <vt:variant>
        <vt:i4>194</vt:i4>
      </vt:variant>
      <vt:variant>
        <vt:i4>0</vt:i4>
      </vt:variant>
      <vt:variant>
        <vt:i4>5</vt:i4>
      </vt:variant>
      <vt:variant>
        <vt:lpwstr/>
      </vt:variant>
      <vt:variant>
        <vt:lpwstr>_Toc80901624</vt:lpwstr>
      </vt:variant>
      <vt:variant>
        <vt:i4>1179698</vt:i4>
      </vt:variant>
      <vt:variant>
        <vt:i4>188</vt:i4>
      </vt:variant>
      <vt:variant>
        <vt:i4>0</vt:i4>
      </vt:variant>
      <vt:variant>
        <vt:i4>5</vt:i4>
      </vt:variant>
      <vt:variant>
        <vt:lpwstr/>
      </vt:variant>
      <vt:variant>
        <vt:lpwstr>_Toc80901623</vt:lpwstr>
      </vt:variant>
      <vt:variant>
        <vt:i4>1245234</vt:i4>
      </vt:variant>
      <vt:variant>
        <vt:i4>182</vt:i4>
      </vt:variant>
      <vt:variant>
        <vt:i4>0</vt:i4>
      </vt:variant>
      <vt:variant>
        <vt:i4>5</vt:i4>
      </vt:variant>
      <vt:variant>
        <vt:lpwstr/>
      </vt:variant>
      <vt:variant>
        <vt:lpwstr>_Toc80901622</vt:lpwstr>
      </vt:variant>
      <vt:variant>
        <vt:i4>1048626</vt:i4>
      </vt:variant>
      <vt:variant>
        <vt:i4>176</vt:i4>
      </vt:variant>
      <vt:variant>
        <vt:i4>0</vt:i4>
      </vt:variant>
      <vt:variant>
        <vt:i4>5</vt:i4>
      </vt:variant>
      <vt:variant>
        <vt:lpwstr/>
      </vt:variant>
      <vt:variant>
        <vt:lpwstr>_Toc80901621</vt:lpwstr>
      </vt:variant>
      <vt:variant>
        <vt:i4>1114162</vt:i4>
      </vt:variant>
      <vt:variant>
        <vt:i4>170</vt:i4>
      </vt:variant>
      <vt:variant>
        <vt:i4>0</vt:i4>
      </vt:variant>
      <vt:variant>
        <vt:i4>5</vt:i4>
      </vt:variant>
      <vt:variant>
        <vt:lpwstr/>
      </vt:variant>
      <vt:variant>
        <vt:lpwstr>_Toc80901620</vt:lpwstr>
      </vt:variant>
      <vt:variant>
        <vt:i4>1572913</vt:i4>
      </vt:variant>
      <vt:variant>
        <vt:i4>164</vt:i4>
      </vt:variant>
      <vt:variant>
        <vt:i4>0</vt:i4>
      </vt:variant>
      <vt:variant>
        <vt:i4>5</vt:i4>
      </vt:variant>
      <vt:variant>
        <vt:lpwstr/>
      </vt:variant>
      <vt:variant>
        <vt:lpwstr>_Toc80901619</vt:lpwstr>
      </vt:variant>
      <vt:variant>
        <vt:i4>1638449</vt:i4>
      </vt:variant>
      <vt:variant>
        <vt:i4>158</vt:i4>
      </vt:variant>
      <vt:variant>
        <vt:i4>0</vt:i4>
      </vt:variant>
      <vt:variant>
        <vt:i4>5</vt:i4>
      </vt:variant>
      <vt:variant>
        <vt:lpwstr/>
      </vt:variant>
      <vt:variant>
        <vt:lpwstr>_Toc80901618</vt:lpwstr>
      </vt:variant>
      <vt:variant>
        <vt:i4>1441841</vt:i4>
      </vt:variant>
      <vt:variant>
        <vt:i4>152</vt:i4>
      </vt:variant>
      <vt:variant>
        <vt:i4>0</vt:i4>
      </vt:variant>
      <vt:variant>
        <vt:i4>5</vt:i4>
      </vt:variant>
      <vt:variant>
        <vt:lpwstr/>
      </vt:variant>
      <vt:variant>
        <vt:lpwstr>_Toc80901617</vt:lpwstr>
      </vt:variant>
      <vt:variant>
        <vt:i4>1507377</vt:i4>
      </vt:variant>
      <vt:variant>
        <vt:i4>146</vt:i4>
      </vt:variant>
      <vt:variant>
        <vt:i4>0</vt:i4>
      </vt:variant>
      <vt:variant>
        <vt:i4>5</vt:i4>
      </vt:variant>
      <vt:variant>
        <vt:lpwstr/>
      </vt:variant>
      <vt:variant>
        <vt:lpwstr>_Toc80901616</vt:lpwstr>
      </vt:variant>
      <vt:variant>
        <vt:i4>1310769</vt:i4>
      </vt:variant>
      <vt:variant>
        <vt:i4>140</vt:i4>
      </vt:variant>
      <vt:variant>
        <vt:i4>0</vt:i4>
      </vt:variant>
      <vt:variant>
        <vt:i4>5</vt:i4>
      </vt:variant>
      <vt:variant>
        <vt:lpwstr/>
      </vt:variant>
      <vt:variant>
        <vt:lpwstr>_Toc80901615</vt:lpwstr>
      </vt:variant>
      <vt:variant>
        <vt:i4>1376305</vt:i4>
      </vt:variant>
      <vt:variant>
        <vt:i4>134</vt:i4>
      </vt:variant>
      <vt:variant>
        <vt:i4>0</vt:i4>
      </vt:variant>
      <vt:variant>
        <vt:i4>5</vt:i4>
      </vt:variant>
      <vt:variant>
        <vt:lpwstr/>
      </vt:variant>
      <vt:variant>
        <vt:lpwstr>_Toc80901614</vt:lpwstr>
      </vt:variant>
      <vt:variant>
        <vt:i4>1179697</vt:i4>
      </vt:variant>
      <vt:variant>
        <vt:i4>128</vt:i4>
      </vt:variant>
      <vt:variant>
        <vt:i4>0</vt:i4>
      </vt:variant>
      <vt:variant>
        <vt:i4>5</vt:i4>
      </vt:variant>
      <vt:variant>
        <vt:lpwstr/>
      </vt:variant>
      <vt:variant>
        <vt:lpwstr>_Toc80901613</vt:lpwstr>
      </vt:variant>
      <vt:variant>
        <vt:i4>1245233</vt:i4>
      </vt:variant>
      <vt:variant>
        <vt:i4>122</vt:i4>
      </vt:variant>
      <vt:variant>
        <vt:i4>0</vt:i4>
      </vt:variant>
      <vt:variant>
        <vt:i4>5</vt:i4>
      </vt:variant>
      <vt:variant>
        <vt:lpwstr/>
      </vt:variant>
      <vt:variant>
        <vt:lpwstr>_Toc80901612</vt:lpwstr>
      </vt:variant>
      <vt:variant>
        <vt:i4>1048625</vt:i4>
      </vt:variant>
      <vt:variant>
        <vt:i4>116</vt:i4>
      </vt:variant>
      <vt:variant>
        <vt:i4>0</vt:i4>
      </vt:variant>
      <vt:variant>
        <vt:i4>5</vt:i4>
      </vt:variant>
      <vt:variant>
        <vt:lpwstr/>
      </vt:variant>
      <vt:variant>
        <vt:lpwstr>_Toc80901611</vt:lpwstr>
      </vt:variant>
      <vt:variant>
        <vt:i4>1114161</vt:i4>
      </vt:variant>
      <vt:variant>
        <vt:i4>110</vt:i4>
      </vt:variant>
      <vt:variant>
        <vt:i4>0</vt:i4>
      </vt:variant>
      <vt:variant>
        <vt:i4>5</vt:i4>
      </vt:variant>
      <vt:variant>
        <vt:lpwstr/>
      </vt:variant>
      <vt:variant>
        <vt:lpwstr>_Toc80901610</vt:lpwstr>
      </vt:variant>
      <vt:variant>
        <vt:i4>1572912</vt:i4>
      </vt:variant>
      <vt:variant>
        <vt:i4>104</vt:i4>
      </vt:variant>
      <vt:variant>
        <vt:i4>0</vt:i4>
      </vt:variant>
      <vt:variant>
        <vt:i4>5</vt:i4>
      </vt:variant>
      <vt:variant>
        <vt:lpwstr/>
      </vt:variant>
      <vt:variant>
        <vt:lpwstr>_Toc80901609</vt:lpwstr>
      </vt:variant>
      <vt:variant>
        <vt:i4>1638448</vt:i4>
      </vt:variant>
      <vt:variant>
        <vt:i4>98</vt:i4>
      </vt:variant>
      <vt:variant>
        <vt:i4>0</vt:i4>
      </vt:variant>
      <vt:variant>
        <vt:i4>5</vt:i4>
      </vt:variant>
      <vt:variant>
        <vt:lpwstr/>
      </vt:variant>
      <vt:variant>
        <vt:lpwstr>_Toc80901608</vt:lpwstr>
      </vt:variant>
      <vt:variant>
        <vt:i4>1441840</vt:i4>
      </vt:variant>
      <vt:variant>
        <vt:i4>92</vt:i4>
      </vt:variant>
      <vt:variant>
        <vt:i4>0</vt:i4>
      </vt:variant>
      <vt:variant>
        <vt:i4>5</vt:i4>
      </vt:variant>
      <vt:variant>
        <vt:lpwstr/>
      </vt:variant>
      <vt:variant>
        <vt:lpwstr>_Toc80901607</vt:lpwstr>
      </vt:variant>
      <vt:variant>
        <vt:i4>1507376</vt:i4>
      </vt:variant>
      <vt:variant>
        <vt:i4>86</vt:i4>
      </vt:variant>
      <vt:variant>
        <vt:i4>0</vt:i4>
      </vt:variant>
      <vt:variant>
        <vt:i4>5</vt:i4>
      </vt:variant>
      <vt:variant>
        <vt:lpwstr/>
      </vt:variant>
      <vt:variant>
        <vt:lpwstr>_Toc80901606</vt:lpwstr>
      </vt:variant>
      <vt:variant>
        <vt:i4>1310768</vt:i4>
      </vt:variant>
      <vt:variant>
        <vt:i4>80</vt:i4>
      </vt:variant>
      <vt:variant>
        <vt:i4>0</vt:i4>
      </vt:variant>
      <vt:variant>
        <vt:i4>5</vt:i4>
      </vt:variant>
      <vt:variant>
        <vt:lpwstr/>
      </vt:variant>
      <vt:variant>
        <vt:lpwstr>_Toc80901605</vt:lpwstr>
      </vt:variant>
      <vt:variant>
        <vt:i4>1376304</vt:i4>
      </vt:variant>
      <vt:variant>
        <vt:i4>74</vt:i4>
      </vt:variant>
      <vt:variant>
        <vt:i4>0</vt:i4>
      </vt:variant>
      <vt:variant>
        <vt:i4>5</vt:i4>
      </vt:variant>
      <vt:variant>
        <vt:lpwstr/>
      </vt:variant>
      <vt:variant>
        <vt:lpwstr>_Toc80901604</vt:lpwstr>
      </vt:variant>
      <vt:variant>
        <vt:i4>1179696</vt:i4>
      </vt:variant>
      <vt:variant>
        <vt:i4>68</vt:i4>
      </vt:variant>
      <vt:variant>
        <vt:i4>0</vt:i4>
      </vt:variant>
      <vt:variant>
        <vt:i4>5</vt:i4>
      </vt:variant>
      <vt:variant>
        <vt:lpwstr/>
      </vt:variant>
      <vt:variant>
        <vt:lpwstr>_Toc80901603</vt:lpwstr>
      </vt:variant>
      <vt:variant>
        <vt:i4>1245232</vt:i4>
      </vt:variant>
      <vt:variant>
        <vt:i4>62</vt:i4>
      </vt:variant>
      <vt:variant>
        <vt:i4>0</vt:i4>
      </vt:variant>
      <vt:variant>
        <vt:i4>5</vt:i4>
      </vt:variant>
      <vt:variant>
        <vt:lpwstr/>
      </vt:variant>
      <vt:variant>
        <vt:lpwstr>_Toc80901602</vt:lpwstr>
      </vt:variant>
      <vt:variant>
        <vt:i4>1048624</vt:i4>
      </vt:variant>
      <vt:variant>
        <vt:i4>56</vt:i4>
      </vt:variant>
      <vt:variant>
        <vt:i4>0</vt:i4>
      </vt:variant>
      <vt:variant>
        <vt:i4>5</vt:i4>
      </vt:variant>
      <vt:variant>
        <vt:lpwstr/>
      </vt:variant>
      <vt:variant>
        <vt:lpwstr>_Toc80901601</vt:lpwstr>
      </vt:variant>
      <vt:variant>
        <vt:i4>1114160</vt:i4>
      </vt:variant>
      <vt:variant>
        <vt:i4>50</vt:i4>
      </vt:variant>
      <vt:variant>
        <vt:i4>0</vt:i4>
      </vt:variant>
      <vt:variant>
        <vt:i4>5</vt:i4>
      </vt:variant>
      <vt:variant>
        <vt:lpwstr/>
      </vt:variant>
      <vt:variant>
        <vt:lpwstr>_Toc80901600</vt:lpwstr>
      </vt:variant>
      <vt:variant>
        <vt:i4>1769529</vt:i4>
      </vt:variant>
      <vt:variant>
        <vt:i4>44</vt:i4>
      </vt:variant>
      <vt:variant>
        <vt:i4>0</vt:i4>
      </vt:variant>
      <vt:variant>
        <vt:i4>5</vt:i4>
      </vt:variant>
      <vt:variant>
        <vt:lpwstr/>
      </vt:variant>
      <vt:variant>
        <vt:lpwstr>_Toc80901599</vt:lpwstr>
      </vt:variant>
      <vt:variant>
        <vt:i4>1703993</vt:i4>
      </vt:variant>
      <vt:variant>
        <vt:i4>38</vt:i4>
      </vt:variant>
      <vt:variant>
        <vt:i4>0</vt:i4>
      </vt:variant>
      <vt:variant>
        <vt:i4>5</vt:i4>
      </vt:variant>
      <vt:variant>
        <vt:lpwstr/>
      </vt:variant>
      <vt:variant>
        <vt:lpwstr>_Toc80901598</vt:lpwstr>
      </vt:variant>
      <vt:variant>
        <vt:i4>1376313</vt:i4>
      </vt:variant>
      <vt:variant>
        <vt:i4>32</vt:i4>
      </vt:variant>
      <vt:variant>
        <vt:i4>0</vt:i4>
      </vt:variant>
      <vt:variant>
        <vt:i4>5</vt:i4>
      </vt:variant>
      <vt:variant>
        <vt:lpwstr/>
      </vt:variant>
      <vt:variant>
        <vt:lpwstr>_Toc80901597</vt:lpwstr>
      </vt:variant>
      <vt:variant>
        <vt:i4>1310777</vt:i4>
      </vt:variant>
      <vt:variant>
        <vt:i4>26</vt:i4>
      </vt:variant>
      <vt:variant>
        <vt:i4>0</vt:i4>
      </vt:variant>
      <vt:variant>
        <vt:i4>5</vt:i4>
      </vt:variant>
      <vt:variant>
        <vt:lpwstr/>
      </vt:variant>
      <vt:variant>
        <vt:lpwstr>_Toc80901596</vt:lpwstr>
      </vt:variant>
      <vt:variant>
        <vt:i4>1507385</vt:i4>
      </vt:variant>
      <vt:variant>
        <vt:i4>20</vt:i4>
      </vt:variant>
      <vt:variant>
        <vt:i4>0</vt:i4>
      </vt:variant>
      <vt:variant>
        <vt:i4>5</vt:i4>
      </vt:variant>
      <vt:variant>
        <vt:lpwstr/>
      </vt:variant>
      <vt:variant>
        <vt:lpwstr>_Toc80901595</vt:lpwstr>
      </vt:variant>
      <vt:variant>
        <vt:i4>1441849</vt:i4>
      </vt:variant>
      <vt:variant>
        <vt:i4>14</vt:i4>
      </vt:variant>
      <vt:variant>
        <vt:i4>0</vt:i4>
      </vt:variant>
      <vt:variant>
        <vt:i4>5</vt:i4>
      </vt:variant>
      <vt:variant>
        <vt:lpwstr/>
      </vt:variant>
      <vt:variant>
        <vt:lpwstr>_Toc80901594</vt:lpwstr>
      </vt:variant>
      <vt:variant>
        <vt:i4>2424884</vt:i4>
      </vt:variant>
      <vt:variant>
        <vt:i4>9</vt:i4>
      </vt:variant>
      <vt:variant>
        <vt:i4>0</vt:i4>
      </vt:variant>
      <vt:variant>
        <vt:i4>5</vt:i4>
      </vt:variant>
      <vt:variant>
        <vt:lpwstr>https://www.awe.gov.au/</vt:lpwstr>
      </vt:variant>
      <vt:variant>
        <vt:lpwstr/>
      </vt:variant>
      <vt:variant>
        <vt:i4>3670138</vt:i4>
      </vt:variant>
      <vt:variant>
        <vt:i4>6</vt:i4>
      </vt:variant>
      <vt:variant>
        <vt:i4>0</vt:i4>
      </vt:variant>
      <vt:variant>
        <vt:i4>5</vt:i4>
      </vt:variant>
      <vt:variant>
        <vt:lpwstr>https://www.awe.gov.au/publications</vt:lpwstr>
      </vt:variant>
      <vt:variant>
        <vt:lpwstr/>
      </vt:variant>
      <vt:variant>
        <vt:i4>6553605</vt:i4>
      </vt:variant>
      <vt:variant>
        <vt:i4>3</vt:i4>
      </vt:variant>
      <vt:variant>
        <vt:i4>0</vt:i4>
      </vt:variant>
      <vt:variant>
        <vt:i4>5</vt:i4>
      </vt:variant>
      <vt:variant>
        <vt:lpwstr>mailto:copyright@awe.gov.au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Alpha</dc:creator>
  <cp:keywords/>
  <dc:description/>
  <cp:lastModifiedBy>Kristin Sykes</cp:lastModifiedBy>
  <cp:revision>2</cp:revision>
  <dcterms:created xsi:type="dcterms:W3CDTF">2021-08-27T04:55:00Z</dcterms:created>
  <dcterms:modified xsi:type="dcterms:W3CDTF">2021-08-27T04:55:00Z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0x0101001704AA6CC7A3CC4AB8247A714A342397</vt:lpwstr>
  </property>
  <property fmtid="{D5CDD505-2E9C-101B-9397-08002B2CF9AE}" pid="3" name="HPRMSecurityLevel">
    <vt:lpwstr>57;#OFFICIAL|11463c70-78df-4e3b-b0ff-f66cd3cb26ec</vt:lpwstr>
  </property>
</Properties>
</file>