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8CDF" w14:textId="77777777" w:rsidR="00C47C54" w:rsidRDefault="00C47C54" w:rsidP="00567C14">
      <w:pPr>
        <w:jc w:val="both"/>
      </w:pPr>
      <w:bookmarkStart w:id="0" w:name="_GoBack"/>
      <w:bookmarkEnd w:id="0"/>
    </w:p>
    <w:p w14:paraId="1F6A0FC5" w14:textId="6D7DCEC8" w:rsidR="00C47C54" w:rsidRPr="00694C76" w:rsidRDefault="00B6214D" w:rsidP="00694C76">
      <w:pPr>
        <w:pStyle w:val="CoverLine"/>
      </w:pPr>
      <w:r w:rsidRPr="008A3584">
        <w:rPr>
          <w:noProof/>
          <w:lang w:eastAsia="en-AU"/>
        </w:rPr>
        <mc:AlternateContent>
          <mc:Choice Requires="wps">
            <w:drawing>
              <wp:anchor distT="0" distB="0" distL="114300" distR="114300" simplePos="0" relativeHeight="251658241" behindDoc="0" locked="0" layoutInCell="1" allowOverlap="1" wp14:anchorId="56FA4454" wp14:editId="5A1C2328">
                <wp:simplePos x="0" y="0"/>
                <wp:positionH relativeFrom="page">
                  <wp:posOffset>648335</wp:posOffset>
                </wp:positionH>
                <wp:positionV relativeFrom="paragraph">
                  <wp:posOffset>1223645</wp:posOffset>
                </wp:positionV>
                <wp:extent cx="2383200" cy="691200"/>
                <wp:effectExtent l="0" t="0" r="16510" b="13970"/>
                <wp:wrapNone/>
                <wp:docPr id="12" name="Rectangle 12" descr="Background shape" title="Background shape"/>
                <wp:cNvGraphicFramePr/>
                <a:graphic xmlns:a="http://schemas.openxmlformats.org/drawingml/2006/main">
                  <a:graphicData uri="http://schemas.microsoft.com/office/word/2010/wordprocessingShape">
                    <wps:wsp>
                      <wps:cNvSpPr/>
                      <wps:spPr>
                        <a:xfrm>
                          <a:off x="0" y="0"/>
                          <a:ext cx="2383200" cy="6912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AFF112" w14:textId="6282AD25" w:rsidR="00531312" w:rsidRPr="00694C76" w:rsidRDefault="00531312" w:rsidP="00B6214D">
                            <w:pPr>
                              <w:pStyle w:val="Title"/>
                            </w:pPr>
                            <w:r>
                              <w:t>RESPONSE paper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6FA4454" id="Rectangle 12" o:spid="_x0000_s1026" alt="Title: Background shape - Description: Background shape" style="position:absolute;left:0;text-align:left;margin-left:51.05pt;margin-top:96.35pt;width:187.65pt;height:54.45pt;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" filled="f" stroked="f" strokeweight=".25pt">
                <v:textbox style="mso-fit-shape-to-text:t" inset="0,0,0,0">
                  <w:txbxContent>
                    <w:p w14:paraId="78AFF112" w14:textId="6282AD25" w:rsidR="00531312" w:rsidRPr="00694C76" w:rsidRDefault="00531312" w:rsidP="00B6214D">
                      <w:pPr>
                        <w:pStyle w:val="Title"/>
                      </w:pPr>
                      <w:r>
                        <w:t>RESPONSE paper</w:t>
                      </w:r>
                    </w:p>
                  </w:txbxContent>
                </v:textbox>
                <w10:wrap anchorx="page"/>
              </v:rect>
            </w:pict>
          </mc:Fallback>
        </mc:AlternateContent>
      </w:r>
      <w:r w:rsidR="003569AD">
        <w:t>RESPONSE paper</w:t>
      </w:r>
      <w:r w:rsidR="00FE110C" w:rsidRPr="008A3584">
        <w:rPr>
          <w:noProof/>
          <w:lang w:eastAsia="en-AU"/>
        </w:rPr>
        <mc:AlternateContent>
          <mc:Choice Requires="wps">
            <w:drawing>
              <wp:anchor distT="0" distB="0" distL="114300" distR="114300" simplePos="0" relativeHeight="251658240" behindDoc="1" locked="0" layoutInCell="1" allowOverlap="1" wp14:anchorId="047D8ACE" wp14:editId="5F42A912">
                <wp:simplePos x="0" y="0"/>
                <wp:positionH relativeFrom="margin">
                  <wp:posOffset>-914400</wp:posOffset>
                </wp:positionH>
                <wp:positionV relativeFrom="margin">
                  <wp:posOffset>1019175</wp:posOffset>
                </wp:positionV>
                <wp:extent cx="6674400" cy="3045600"/>
                <wp:effectExtent l="0" t="0" r="0" b="3175"/>
                <wp:wrapNone/>
                <wp:docPr id="6" name="Rectangle 6" descr="Background shape" title="Background shape"/>
                <wp:cNvGraphicFramePr/>
                <a:graphic xmlns:a="http://schemas.openxmlformats.org/drawingml/2006/main">
                  <a:graphicData uri="http://schemas.microsoft.com/office/word/2010/wordprocessingShape">
                    <wps:wsp>
                      <wps:cNvSpPr/>
                      <wps:spPr>
                        <a:xfrm>
                          <a:off x="0" y="0"/>
                          <a:ext cx="6674400" cy="304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095A5F" w14:textId="77777777" w:rsidR="00531312" w:rsidRDefault="00531312" w:rsidP="00FE110C">
                            <w:pPr>
                              <w:pStyle w:val="PaperTitle"/>
                            </w:pPr>
                            <w:r>
                              <w:t xml:space="preserve">Strengthening prudential requirements for remuneration </w:t>
                            </w:r>
                          </w:p>
                          <w:p w14:paraId="4DDCCA86" w14:textId="6E4539F5" w:rsidR="00531312" w:rsidRPr="00FE110C" w:rsidRDefault="00531312" w:rsidP="00FE110C">
                            <w:pPr>
                              <w:pStyle w:val="CoverDate"/>
                            </w:pPr>
                            <w:r>
                              <w:t>12 November 2020</w:t>
                            </w:r>
                          </w:p>
                        </w:txbxContent>
                      </wps:txbx>
                      <wps:bodyPr rot="0" spcFirstLastPara="0" vertOverflow="overflow" horzOverflow="overflow" vert="horz" wrap="square" lIns="648000" tIns="45720" rIns="288000" bIns="360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47D8ACE" id="Rectangle 6" o:spid="_x0000_s1027" alt="Title: Background shape - Description: Background shape" style="position:absolute;left:0;text-align:left;margin-left:-1in;margin-top:80.25pt;width:525.55pt;height:23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" fillcolor="white [3212]" stroked="f" strokeweight="2pt">
                <v:textbox style="mso-fit-shape-to-text:t" inset="18mm,,8mm,10mm">
                  <w:txbxContent>
                    <w:p w14:paraId="3C095A5F" w14:textId="77777777" w:rsidR="00531312" w:rsidRDefault="00531312" w:rsidP="00FE110C">
                      <w:pPr>
                        <w:pStyle w:val="PaperTitle"/>
                      </w:pPr>
                      <w:r>
                        <w:t xml:space="preserve">Strengthening prudential requirements for remuneration </w:t>
                      </w:r>
                    </w:p>
                    <w:p w14:paraId="4DDCCA86" w14:textId="6E4539F5" w:rsidR="00531312" w:rsidRPr="00FE110C" w:rsidRDefault="00531312" w:rsidP="00FE110C">
                      <w:pPr>
                        <w:pStyle w:val="CoverDate"/>
                      </w:pPr>
                      <w:r>
                        <w:t>12 November 2020</w:t>
                      </w:r>
                    </w:p>
                  </w:txbxContent>
                </v:textbox>
                <w10:wrap anchorx="margin" anchory="margin"/>
              </v:rect>
            </w:pict>
          </mc:Fallback>
        </mc:AlternateContent>
      </w:r>
    </w:p>
    <w:p w14:paraId="42EBBA5B" w14:textId="77777777" w:rsidR="003B51A4" w:rsidRDefault="003B51A4" w:rsidP="00C47C54">
      <w:r>
        <w:br w:type="page"/>
      </w:r>
    </w:p>
    <w:p w14:paraId="6858FAF7" w14:textId="77777777" w:rsidR="003B51A4" w:rsidRPr="003B51A4" w:rsidRDefault="003B51A4" w:rsidP="00460E6B">
      <w:pPr>
        <w:pStyle w:val="DisclaimerHeading"/>
        <w:framePr w:wrap="around"/>
      </w:pPr>
      <w:r w:rsidRPr="008F1B07">
        <w:lastRenderedPageBreak/>
        <w:t>Disclaimer Text</w:t>
      </w:r>
    </w:p>
    <w:p w14:paraId="38A0C1A1" w14:textId="77777777" w:rsidR="00DF2234" w:rsidRPr="00DF2234" w:rsidRDefault="00DF2234" w:rsidP="00DF2234">
      <w:pPr>
        <w:pStyle w:val="DisclaimerText"/>
        <w:framePr w:wrap="around"/>
      </w:pPr>
      <w:r w:rsidRPr="00DF2234">
        <w:t>While APRA endeavours to ensure the quality of this publication, it does not accept any responsibility for the accuracy, completeness or currency of the material included in this publication and will not be liable for any loss or damage arising out of any use of, or reliance on, this publication.</w:t>
      </w:r>
    </w:p>
    <w:p w14:paraId="0A31068C" w14:textId="77777777" w:rsidR="00DF2234" w:rsidRPr="00DF2234" w:rsidRDefault="00DF2234" w:rsidP="00DF2234">
      <w:pPr>
        <w:pStyle w:val="DisclaimerText"/>
        <w:framePr w:wrap="around"/>
      </w:pPr>
      <w:r w:rsidRPr="00DF2234">
        <w:t>© Australian Prudential Regulation Authority (APRA)</w:t>
      </w:r>
    </w:p>
    <w:p w14:paraId="15D4E029" w14:textId="77777777" w:rsidR="00DF2234" w:rsidRPr="00DF2234" w:rsidRDefault="00DF2234" w:rsidP="00DF2234">
      <w:pPr>
        <w:pStyle w:val="DisclaimerText"/>
        <w:framePr w:wrap="around"/>
      </w:pPr>
      <w:r w:rsidRPr="00DF2234">
        <w:t xml:space="preserve">This work is licensed under the Creative Commons Attribution 3.0 Australia Licence (CCBY 3.0). This licence allows you to copy, distribute and adapt this work, provided you attribute the work and do not suggest that APRA endorses you or your work. To view a full copy of the terms of this licence, visit </w:t>
      </w:r>
      <w:hyperlink r:id="rId8" w:history="1">
        <w:r w:rsidR="00036C74" w:rsidRPr="00836931">
          <w:rPr>
            <w:rStyle w:val="Hyperlink"/>
          </w:rPr>
          <w:t>https://creativecommons.org/licenses/by/3.0/au/</w:t>
        </w:r>
      </w:hyperlink>
      <w:r w:rsidR="00036C74">
        <w:rPr>
          <w:rStyle w:val="Hyperlink"/>
          <w:color w:val="000000"/>
        </w:rPr>
        <w:t xml:space="preserve"> </w:t>
      </w:r>
    </w:p>
    <w:p w14:paraId="22A83A52" w14:textId="77777777" w:rsidR="003B51A4" w:rsidRDefault="003B51A4" w:rsidP="003B51A4">
      <w:pPr>
        <w:rPr>
          <w:rFonts w:ascii="DIN Offc Medium" w:eastAsiaTheme="majorEastAsia" w:hAnsi="DIN Offc Medium" w:cstheme="majorBidi"/>
          <w:color w:val="012169" w:themeColor="text2"/>
          <w:sz w:val="90"/>
          <w:szCs w:val="52"/>
        </w:rPr>
      </w:pPr>
      <w:r>
        <w:br w:type="page"/>
      </w:r>
    </w:p>
    <w:p w14:paraId="2AD222D3" w14:textId="77777777" w:rsidR="00C636DA" w:rsidRDefault="00C636DA" w:rsidP="00BD7B83">
      <w:pPr>
        <w:pStyle w:val="TOCHeading"/>
      </w:pPr>
      <w:r w:rsidRPr="00BD7B83">
        <w:lastRenderedPageBreak/>
        <w:t>Contents</w:t>
      </w:r>
    </w:p>
    <w:p w14:paraId="0BB626A5" w14:textId="69C4DC19" w:rsidR="00CD76CB" w:rsidRDefault="00DC6124">
      <w:pPr>
        <w:pStyle w:val="TOC1"/>
        <w:rPr>
          <w:rFonts w:asciiTheme="minorHAnsi" w:eastAsiaTheme="minorEastAsia" w:hAnsiTheme="minorHAnsi"/>
          <w:noProof/>
          <w:color w:val="auto"/>
          <w:lang w:eastAsia="en-AU"/>
        </w:rPr>
      </w:pPr>
      <w:r>
        <w:rPr>
          <w:noProof/>
          <w:lang w:val="en-US"/>
        </w:rPr>
        <w:fldChar w:fldCharType="begin"/>
      </w:r>
      <w:r>
        <w:rPr>
          <w:noProof/>
          <w:lang w:val="en-US"/>
        </w:rPr>
        <w:instrText xml:space="preserve"> TOC \o "1-1" \h \z \u </w:instrText>
      </w:r>
      <w:r>
        <w:rPr>
          <w:noProof/>
          <w:lang w:val="en-US"/>
        </w:rPr>
        <w:fldChar w:fldCharType="separate"/>
      </w:r>
      <w:hyperlink w:anchor="_Toc55850351" w:history="1">
        <w:r w:rsidR="00CD76CB" w:rsidRPr="001331B5">
          <w:rPr>
            <w:rStyle w:val="Hyperlink"/>
            <w:noProof/>
          </w:rPr>
          <w:t>Executive summary</w:t>
        </w:r>
        <w:r w:rsidR="00CD76CB">
          <w:rPr>
            <w:noProof/>
            <w:webHidden/>
          </w:rPr>
          <w:tab/>
        </w:r>
        <w:r w:rsidR="00CD76CB">
          <w:rPr>
            <w:noProof/>
            <w:webHidden/>
          </w:rPr>
          <w:fldChar w:fldCharType="begin"/>
        </w:r>
        <w:r w:rsidR="00CD76CB">
          <w:rPr>
            <w:noProof/>
            <w:webHidden/>
          </w:rPr>
          <w:instrText xml:space="preserve"> PAGEREF _Toc55850351 \h </w:instrText>
        </w:r>
        <w:r w:rsidR="00CD76CB">
          <w:rPr>
            <w:noProof/>
            <w:webHidden/>
          </w:rPr>
        </w:r>
        <w:r w:rsidR="00CD76CB">
          <w:rPr>
            <w:noProof/>
            <w:webHidden/>
          </w:rPr>
          <w:fldChar w:fldCharType="separate"/>
        </w:r>
        <w:r w:rsidR="00CD76CB">
          <w:rPr>
            <w:noProof/>
            <w:webHidden/>
          </w:rPr>
          <w:t>4</w:t>
        </w:r>
        <w:r w:rsidR="00CD76CB">
          <w:rPr>
            <w:noProof/>
            <w:webHidden/>
          </w:rPr>
          <w:fldChar w:fldCharType="end"/>
        </w:r>
      </w:hyperlink>
    </w:p>
    <w:p w14:paraId="65F53C50" w14:textId="403CA690" w:rsidR="00CD76CB" w:rsidRDefault="00B44FC5">
      <w:pPr>
        <w:pStyle w:val="TOC1"/>
        <w:rPr>
          <w:rFonts w:asciiTheme="minorHAnsi" w:eastAsiaTheme="minorEastAsia" w:hAnsiTheme="minorHAnsi"/>
          <w:noProof/>
          <w:color w:val="auto"/>
          <w:lang w:eastAsia="en-AU"/>
        </w:rPr>
      </w:pPr>
      <w:hyperlink w:anchor="_Toc55850352" w:history="1">
        <w:r w:rsidR="00CD76CB" w:rsidRPr="001331B5">
          <w:rPr>
            <w:rStyle w:val="Hyperlink"/>
            <w:noProof/>
          </w:rPr>
          <w:t>Glossary</w:t>
        </w:r>
        <w:r w:rsidR="00CD76CB">
          <w:rPr>
            <w:noProof/>
            <w:webHidden/>
          </w:rPr>
          <w:tab/>
        </w:r>
        <w:r w:rsidR="00CD76CB">
          <w:rPr>
            <w:noProof/>
            <w:webHidden/>
          </w:rPr>
          <w:fldChar w:fldCharType="begin"/>
        </w:r>
        <w:r w:rsidR="00CD76CB">
          <w:rPr>
            <w:noProof/>
            <w:webHidden/>
          </w:rPr>
          <w:instrText xml:space="preserve"> PAGEREF _Toc55850352 \h </w:instrText>
        </w:r>
        <w:r w:rsidR="00CD76CB">
          <w:rPr>
            <w:noProof/>
            <w:webHidden/>
          </w:rPr>
        </w:r>
        <w:r w:rsidR="00CD76CB">
          <w:rPr>
            <w:noProof/>
            <w:webHidden/>
          </w:rPr>
          <w:fldChar w:fldCharType="separate"/>
        </w:r>
        <w:r w:rsidR="00CD76CB">
          <w:rPr>
            <w:noProof/>
            <w:webHidden/>
          </w:rPr>
          <w:t>8</w:t>
        </w:r>
        <w:r w:rsidR="00CD76CB">
          <w:rPr>
            <w:noProof/>
            <w:webHidden/>
          </w:rPr>
          <w:fldChar w:fldCharType="end"/>
        </w:r>
      </w:hyperlink>
    </w:p>
    <w:p w14:paraId="0C17C7FF" w14:textId="71CEC956" w:rsidR="00CD76CB" w:rsidRDefault="00B44FC5">
      <w:pPr>
        <w:pStyle w:val="TOC1"/>
        <w:rPr>
          <w:rFonts w:asciiTheme="minorHAnsi" w:eastAsiaTheme="minorEastAsia" w:hAnsiTheme="minorHAnsi"/>
          <w:noProof/>
          <w:color w:val="auto"/>
          <w:lang w:eastAsia="en-AU"/>
        </w:rPr>
      </w:pPr>
      <w:hyperlink w:anchor="_Toc55850353" w:history="1">
        <w:r w:rsidR="00CD76CB" w:rsidRPr="001331B5">
          <w:rPr>
            <w:rStyle w:val="Hyperlink"/>
            <w:noProof/>
          </w:rPr>
          <w:t>Revised proposals</w:t>
        </w:r>
        <w:r w:rsidR="00CD76CB">
          <w:rPr>
            <w:noProof/>
            <w:webHidden/>
          </w:rPr>
          <w:tab/>
        </w:r>
        <w:r w:rsidR="00CD76CB">
          <w:rPr>
            <w:noProof/>
            <w:webHidden/>
          </w:rPr>
          <w:fldChar w:fldCharType="begin"/>
        </w:r>
        <w:r w:rsidR="00CD76CB">
          <w:rPr>
            <w:noProof/>
            <w:webHidden/>
          </w:rPr>
          <w:instrText xml:space="preserve"> PAGEREF _Toc55850353 \h </w:instrText>
        </w:r>
        <w:r w:rsidR="00CD76CB">
          <w:rPr>
            <w:noProof/>
            <w:webHidden/>
          </w:rPr>
        </w:r>
        <w:r w:rsidR="00CD76CB">
          <w:rPr>
            <w:noProof/>
            <w:webHidden/>
          </w:rPr>
          <w:fldChar w:fldCharType="separate"/>
        </w:r>
        <w:r w:rsidR="00CD76CB">
          <w:rPr>
            <w:noProof/>
            <w:webHidden/>
          </w:rPr>
          <w:t>10</w:t>
        </w:r>
        <w:r w:rsidR="00CD76CB">
          <w:rPr>
            <w:noProof/>
            <w:webHidden/>
          </w:rPr>
          <w:fldChar w:fldCharType="end"/>
        </w:r>
      </w:hyperlink>
    </w:p>
    <w:p w14:paraId="07602994" w14:textId="250EDF15" w:rsidR="00CD76CB" w:rsidRDefault="00B44FC5">
      <w:pPr>
        <w:pStyle w:val="TOC1"/>
        <w:rPr>
          <w:rFonts w:asciiTheme="minorHAnsi" w:eastAsiaTheme="minorEastAsia" w:hAnsiTheme="minorHAnsi"/>
          <w:noProof/>
          <w:color w:val="auto"/>
          <w:lang w:eastAsia="en-AU"/>
        </w:rPr>
      </w:pPr>
      <w:hyperlink w:anchor="_Toc55850354" w:history="1">
        <w:r w:rsidR="00CD76CB" w:rsidRPr="001331B5">
          <w:rPr>
            <w:rStyle w:val="Hyperlink"/>
            <w:noProof/>
          </w:rPr>
          <w:t>Chapter 1 - Industry consultation</w:t>
        </w:r>
        <w:r w:rsidR="00CD76CB">
          <w:rPr>
            <w:noProof/>
            <w:webHidden/>
          </w:rPr>
          <w:tab/>
        </w:r>
        <w:r w:rsidR="00CD76CB">
          <w:rPr>
            <w:noProof/>
            <w:webHidden/>
          </w:rPr>
          <w:fldChar w:fldCharType="begin"/>
        </w:r>
        <w:r w:rsidR="00CD76CB">
          <w:rPr>
            <w:noProof/>
            <w:webHidden/>
          </w:rPr>
          <w:instrText xml:space="preserve"> PAGEREF _Toc55850354 \h </w:instrText>
        </w:r>
        <w:r w:rsidR="00CD76CB">
          <w:rPr>
            <w:noProof/>
            <w:webHidden/>
          </w:rPr>
        </w:r>
        <w:r w:rsidR="00CD76CB">
          <w:rPr>
            <w:noProof/>
            <w:webHidden/>
          </w:rPr>
          <w:fldChar w:fldCharType="separate"/>
        </w:r>
        <w:r w:rsidR="00CD76CB">
          <w:rPr>
            <w:noProof/>
            <w:webHidden/>
          </w:rPr>
          <w:t>14</w:t>
        </w:r>
        <w:r w:rsidR="00CD76CB">
          <w:rPr>
            <w:noProof/>
            <w:webHidden/>
          </w:rPr>
          <w:fldChar w:fldCharType="end"/>
        </w:r>
      </w:hyperlink>
    </w:p>
    <w:p w14:paraId="0F27BF20" w14:textId="4690DF67" w:rsidR="00CD76CB" w:rsidRDefault="00B44FC5">
      <w:pPr>
        <w:pStyle w:val="TOC1"/>
        <w:rPr>
          <w:rFonts w:asciiTheme="minorHAnsi" w:eastAsiaTheme="minorEastAsia" w:hAnsiTheme="minorHAnsi"/>
          <w:noProof/>
          <w:color w:val="auto"/>
          <w:lang w:eastAsia="en-AU"/>
        </w:rPr>
      </w:pPr>
      <w:hyperlink w:anchor="_Toc55850355" w:history="1">
        <w:r w:rsidR="00CD76CB" w:rsidRPr="001331B5">
          <w:rPr>
            <w:rStyle w:val="Hyperlink"/>
            <w:noProof/>
          </w:rPr>
          <w:t>Chapter 2 - Board and the board remuneration committee</w:t>
        </w:r>
        <w:r w:rsidR="00CD76CB">
          <w:rPr>
            <w:noProof/>
            <w:webHidden/>
          </w:rPr>
          <w:tab/>
        </w:r>
        <w:r w:rsidR="00CD76CB">
          <w:rPr>
            <w:noProof/>
            <w:webHidden/>
          </w:rPr>
          <w:fldChar w:fldCharType="begin"/>
        </w:r>
        <w:r w:rsidR="00CD76CB">
          <w:rPr>
            <w:noProof/>
            <w:webHidden/>
          </w:rPr>
          <w:instrText xml:space="preserve"> PAGEREF _Toc55850355 \h </w:instrText>
        </w:r>
        <w:r w:rsidR="00CD76CB">
          <w:rPr>
            <w:noProof/>
            <w:webHidden/>
          </w:rPr>
        </w:r>
        <w:r w:rsidR="00CD76CB">
          <w:rPr>
            <w:noProof/>
            <w:webHidden/>
          </w:rPr>
          <w:fldChar w:fldCharType="separate"/>
        </w:r>
        <w:r w:rsidR="00CD76CB">
          <w:rPr>
            <w:noProof/>
            <w:webHidden/>
          </w:rPr>
          <w:t>16</w:t>
        </w:r>
        <w:r w:rsidR="00CD76CB">
          <w:rPr>
            <w:noProof/>
            <w:webHidden/>
          </w:rPr>
          <w:fldChar w:fldCharType="end"/>
        </w:r>
      </w:hyperlink>
    </w:p>
    <w:p w14:paraId="02DBF67C" w14:textId="3ED743CA" w:rsidR="00CD76CB" w:rsidRDefault="00B44FC5">
      <w:pPr>
        <w:pStyle w:val="TOC1"/>
        <w:rPr>
          <w:rFonts w:asciiTheme="minorHAnsi" w:eastAsiaTheme="minorEastAsia" w:hAnsiTheme="minorHAnsi"/>
          <w:noProof/>
          <w:color w:val="auto"/>
          <w:lang w:eastAsia="en-AU"/>
        </w:rPr>
      </w:pPr>
      <w:hyperlink w:anchor="_Toc55850356" w:history="1">
        <w:r w:rsidR="00CD76CB" w:rsidRPr="001331B5">
          <w:rPr>
            <w:rStyle w:val="Hyperlink"/>
            <w:noProof/>
          </w:rPr>
          <w:t>Chapter 3 - Remuneration design</w:t>
        </w:r>
        <w:r w:rsidR="00CD76CB">
          <w:rPr>
            <w:noProof/>
            <w:webHidden/>
          </w:rPr>
          <w:tab/>
        </w:r>
        <w:r w:rsidR="00CD76CB">
          <w:rPr>
            <w:noProof/>
            <w:webHidden/>
          </w:rPr>
          <w:fldChar w:fldCharType="begin"/>
        </w:r>
        <w:r w:rsidR="00CD76CB">
          <w:rPr>
            <w:noProof/>
            <w:webHidden/>
          </w:rPr>
          <w:instrText xml:space="preserve"> PAGEREF _Toc55850356 \h </w:instrText>
        </w:r>
        <w:r w:rsidR="00CD76CB">
          <w:rPr>
            <w:noProof/>
            <w:webHidden/>
          </w:rPr>
        </w:r>
        <w:r w:rsidR="00CD76CB">
          <w:rPr>
            <w:noProof/>
            <w:webHidden/>
          </w:rPr>
          <w:fldChar w:fldCharType="separate"/>
        </w:r>
        <w:r w:rsidR="00CD76CB">
          <w:rPr>
            <w:noProof/>
            <w:webHidden/>
          </w:rPr>
          <w:t>19</w:t>
        </w:r>
        <w:r w:rsidR="00CD76CB">
          <w:rPr>
            <w:noProof/>
            <w:webHidden/>
          </w:rPr>
          <w:fldChar w:fldCharType="end"/>
        </w:r>
      </w:hyperlink>
    </w:p>
    <w:p w14:paraId="4B8BADF1" w14:textId="63508043" w:rsidR="00CD76CB" w:rsidRDefault="00B44FC5">
      <w:pPr>
        <w:pStyle w:val="TOC1"/>
        <w:rPr>
          <w:rFonts w:asciiTheme="minorHAnsi" w:eastAsiaTheme="minorEastAsia" w:hAnsiTheme="minorHAnsi"/>
          <w:noProof/>
          <w:color w:val="auto"/>
          <w:lang w:eastAsia="en-AU"/>
        </w:rPr>
      </w:pPr>
      <w:hyperlink w:anchor="_Toc55850357" w:history="1">
        <w:r w:rsidR="00CD76CB" w:rsidRPr="001331B5">
          <w:rPr>
            <w:rStyle w:val="Hyperlink"/>
            <w:noProof/>
          </w:rPr>
          <w:t>Chapter 4 - Limit on financial measures</w:t>
        </w:r>
        <w:r w:rsidR="00CD76CB">
          <w:rPr>
            <w:noProof/>
            <w:webHidden/>
          </w:rPr>
          <w:tab/>
        </w:r>
        <w:r w:rsidR="00CD76CB">
          <w:rPr>
            <w:noProof/>
            <w:webHidden/>
          </w:rPr>
          <w:fldChar w:fldCharType="begin"/>
        </w:r>
        <w:r w:rsidR="00CD76CB">
          <w:rPr>
            <w:noProof/>
            <w:webHidden/>
          </w:rPr>
          <w:instrText xml:space="preserve"> PAGEREF _Toc55850357 \h </w:instrText>
        </w:r>
        <w:r w:rsidR="00CD76CB">
          <w:rPr>
            <w:noProof/>
            <w:webHidden/>
          </w:rPr>
        </w:r>
        <w:r w:rsidR="00CD76CB">
          <w:rPr>
            <w:noProof/>
            <w:webHidden/>
          </w:rPr>
          <w:fldChar w:fldCharType="separate"/>
        </w:r>
        <w:r w:rsidR="00CD76CB">
          <w:rPr>
            <w:noProof/>
            <w:webHidden/>
          </w:rPr>
          <w:t>20</w:t>
        </w:r>
        <w:r w:rsidR="00CD76CB">
          <w:rPr>
            <w:noProof/>
            <w:webHidden/>
          </w:rPr>
          <w:fldChar w:fldCharType="end"/>
        </w:r>
      </w:hyperlink>
    </w:p>
    <w:p w14:paraId="489CC78D" w14:textId="2255690D" w:rsidR="00CD76CB" w:rsidRDefault="00B44FC5">
      <w:pPr>
        <w:pStyle w:val="TOC1"/>
        <w:rPr>
          <w:rFonts w:asciiTheme="minorHAnsi" w:eastAsiaTheme="minorEastAsia" w:hAnsiTheme="minorHAnsi"/>
          <w:noProof/>
          <w:color w:val="auto"/>
          <w:lang w:eastAsia="en-AU"/>
        </w:rPr>
      </w:pPr>
      <w:hyperlink w:anchor="_Toc55850358" w:history="1">
        <w:r w:rsidR="00CD76CB" w:rsidRPr="001331B5">
          <w:rPr>
            <w:rStyle w:val="Hyperlink"/>
            <w:noProof/>
          </w:rPr>
          <w:t>Chapter 5 - Highly-paid material risk-takers</w:t>
        </w:r>
        <w:r w:rsidR="00CD76CB">
          <w:rPr>
            <w:noProof/>
            <w:webHidden/>
          </w:rPr>
          <w:tab/>
        </w:r>
        <w:r w:rsidR="00CD76CB">
          <w:rPr>
            <w:noProof/>
            <w:webHidden/>
          </w:rPr>
          <w:fldChar w:fldCharType="begin"/>
        </w:r>
        <w:r w:rsidR="00CD76CB">
          <w:rPr>
            <w:noProof/>
            <w:webHidden/>
          </w:rPr>
          <w:instrText xml:space="preserve"> PAGEREF _Toc55850358 \h </w:instrText>
        </w:r>
        <w:r w:rsidR="00CD76CB">
          <w:rPr>
            <w:noProof/>
            <w:webHidden/>
          </w:rPr>
        </w:r>
        <w:r w:rsidR="00CD76CB">
          <w:rPr>
            <w:noProof/>
            <w:webHidden/>
          </w:rPr>
          <w:fldChar w:fldCharType="separate"/>
        </w:r>
        <w:r w:rsidR="00CD76CB">
          <w:rPr>
            <w:noProof/>
            <w:webHidden/>
          </w:rPr>
          <w:t>23</w:t>
        </w:r>
        <w:r w:rsidR="00CD76CB">
          <w:rPr>
            <w:noProof/>
            <w:webHidden/>
          </w:rPr>
          <w:fldChar w:fldCharType="end"/>
        </w:r>
      </w:hyperlink>
    </w:p>
    <w:p w14:paraId="41A04443" w14:textId="41ABE1FA" w:rsidR="00CD76CB" w:rsidRDefault="00B44FC5">
      <w:pPr>
        <w:pStyle w:val="TOC1"/>
        <w:rPr>
          <w:rFonts w:asciiTheme="minorHAnsi" w:eastAsiaTheme="minorEastAsia" w:hAnsiTheme="minorHAnsi"/>
          <w:noProof/>
          <w:color w:val="auto"/>
          <w:lang w:eastAsia="en-AU"/>
        </w:rPr>
      </w:pPr>
      <w:hyperlink w:anchor="_Toc55850359" w:history="1">
        <w:r w:rsidR="00CD76CB" w:rsidRPr="001331B5">
          <w:rPr>
            <w:rStyle w:val="Hyperlink"/>
            <w:noProof/>
          </w:rPr>
          <w:t>Chapter 6 - Deferral and clawback</w:t>
        </w:r>
        <w:r w:rsidR="00CD76CB">
          <w:rPr>
            <w:noProof/>
            <w:webHidden/>
          </w:rPr>
          <w:tab/>
        </w:r>
        <w:r w:rsidR="00CD76CB">
          <w:rPr>
            <w:noProof/>
            <w:webHidden/>
          </w:rPr>
          <w:fldChar w:fldCharType="begin"/>
        </w:r>
        <w:r w:rsidR="00CD76CB">
          <w:rPr>
            <w:noProof/>
            <w:webHidden/>
          </w:rPr>
          <w:instrText xml:space="preserve"> PAGEREF _Toc55850359 \h </w:instrText>
        </w:r>
        <w:r w:rsidR="00CD76CB">
          <w:rPr>
            <w:noProof/>
            <w:webHidden/>
          </w:rPr>
        </w:r>
        <w:r w:rsidR="00CD76CB">
          <w:rPr>
            <w:noProof/>
            <w:webHidden/>
          </w:rPr>
          <w:fldChar w:fldCharType="separate"/>
        </w:r>
        <w:r w:rsidR="00CD76CB">
          <w:rPr>
            <w:noProof/>
            <w:webHidden/>
          </w:rPr>
          <w:t>24</w:t>
        </w:r>
        <w:r w:rsidR="00CD76CB">
          <w:rPr>
            <w:noProof/>
            <w:webHidden/>
          </w:rPr>
          <w:fldChar w:fldCharType="end"/>
        </w:r>
      </w:hyperlink>
    </w:p>
    <w:p w14:paraId="3C67A897" w14:textId="7A090DE2" w:rsidR="00CD76CB" w:rsidRDefault="00B44FC5">
      <w:pPr>
        <w:pStyle w:val="TOC1"/>
        <w:rPr>
          <w:rFonts w:asciiTheme="minorHAnsi" w:eastAsiaTheme="minorEastAsia" w:hAnsiTheme="minorHAnsi"/>
          <w:noProof/>
          <w:color w:val="auto"/>
          <w:lang w:eastAsia="en-AU"/>
        </w:rPr>
      </w:pPr>
      <w:hyperlink w:anchor="_Toc55850360" w:history="1">
        <w:r w:rsidR="00CD76CB" w:rsidRPr="001331B5">
          <w:rPr>
            <w:rStyle w:val="Hyperlink"/>
            <w:noProof/>
          </w:rPr>
          <w:t>Chapter 7 - Other amendments</w:t>
        </w:r>
        <w:r w:rsidR="00CD76CB">
          <w:rPr>
            <w:noProof/>
            <w:webHidden/>
          </w:rPr>
          <w:tab/>
        </w:r>
        <w:r w:rsidR="00CD76CB">
          <w:rPr>
            <w:noProof/>
            <w:webHidden/>
          </w:rPr>
          <w:fldChar w:fldCharType="begin"/>
        </w:r>
        <w:r w:rsidR="00CD76CB">
          <w:rPr>
            <w:noProof/>
            <w:webHidden/>
          </w:rPr>
          <w:instrText xml:space="preserve"> PAGEREF _Toc55850360 \h </w:instrText>
        </w:r>
        <w:r w:rsidR="00CD76CB">
          <w:rPr>
            <w:noProof/>
            <w:webHidden/>
          </w:rPr>
        </w:r>
        <w:r w:rsidR="00CD76CB">
          <w:rPr>
            <w:noProof/>
            <w:webHidden/>
          </w:rPr>
          <w:fldChar w:fldCharType="separate"/>
        </w:r>
        <w:r w:rsidR="00CD76CB">
          <w:rPr>
            <w:noProof/>
            <w:webHidden/>
          </w:rPr>
          <w:t>30</w:t>
        </w:r>
        <w:r w:rsidR="00CD76CB">
          <w:rPr>
            <w:noProof/>
            <w:webHidden/>
          </w:rPr>
          <w:fldChar w:fldCharType="end"/>
        </w:r>
      </w:hyperlink>
    </w:p>
    <w:p w14:paraId="6FBB720F" w14:textId="48667DAE" w:rsidR="00CD76CB" w:rsidRDefault="00B44FC5">
      <w:pPr>
        <w:pStyle w:val="TOC1"/>
        <w:rPr>
          <w:rFonts w:asciiTheme="minorHAnsi" w:eastAsiaTheme="minorEastAsia" w:hAnsiTheme="minorHAnsi"/>
          <w:noProof/>
          <w:color w:val="auto"/>
          <w:lang w:eastAsia="en-AU"/>
        </w:rPr>
      </w:pPr>
      <w:hyperlink w:anchor="_Toc55850361" w:history="1">
        <w:r w:rsidR="00CD76CB" w:rsidRPr="001331B5">
          <w:rPr>
            <w:rStyle w:val="Hyperlink"/>
            <w:noProof/>
          </w:rPr>
          <w:t>Chapter 8 - SFIs and Proportionality</w:t>
        </w:r>
        <w:r w:rsidR="00CD76CB">
          <w:rPr>
            <w:noProof/>
            <w:webHidden/>
          </w:rPr>
          <w:tab/>
        </w:r>
        <w:r w:rsidR="00CD76CB">
          <w:rPr>
            <w:noProof/>
            <w:webHidden/>
          </w:rPr>
          <w:fldChar w:fldCharType="begin"/>
        </w:r>
        <w:r w:rsidR="00CD76CB">
          <w:rPr>
            <w:noProof/>
            <w:webHidden/>
          </w:rPr>
          <w:instrText xml:space="preserve"> PAGEREF _Toc55850361 \h </w:instrText>
        </w:r>
        <w:r w:rsidR="00CD76CB">
          <w:rPr>
            <w:noProof/>
            <w:webHidden/>
          </w:rPr>
        </w:r>
        <w:r w:rsidR="00CD76CB">
          <w:rPr>
            <w:noProof/>
            <w:webHidden/>
          </w:rPr>
          <w:fldChar w:fldCharType="separate"/>
        </w:r>
        <w:r w:rsidR="00CD76CB">
          <w:rPr>
            <w:noProof/>
            <w:webHidden/>
          </w:rPr>
          <w:t>33</w:t>
        </w:r>
        <w:r w:rsidR="00CD76CB">
          <w:rPr>
            <w:noProof/>
            <w:webHidden/>
          </w:rPr>
          <w:fldChar w:fldCharType="end"/>
        </w:r>
      </w:hyperlink>
    </w:p>
    <w:p w14:paraId="0513950D" w14:textId="1EF04951" w:rsidR="00CD76CB" w:rsidRDefault="00B44FC5">
      <w:pPr>
        <w:pStyle w:val="TOC1"/>
        <w:rPr>
          <w:rFonts w:asciiTheme="minorHAnsi" w:eastAsiaTheme="minorEastAsia" w:hAnsiTheme="minorHAnsi"/>
          <w:noProof/>
          <w:color w:val="auto"/>
          <w:lang w:eastAsia="en-AU"/>
        </w:rPr>
      </w:pPr>
      <w:hyperlink w:anchor="_Toc55850362" w:history="1">
        <w:r w:rsidR="00CD76CB" w:rsidRPr="001331B5">
          <w:rPr>
            <w:rStyle w:val="Hyperlink"/>
            <w:noProof/>
          </w:rPr>
          <w:t>Chapter 9 - Implementation of CPS 511</w:t>
        </w:r>
        <w:r w:rsidR="00CD76CB">
          <w:rPr>
            <w:noProof/>
            <w:webHidden/>
          </w:rPr>
          <w:tab/>
        </w:r>
        <w:r w:rsidR="00CD76CB">
          <w:rPr>
            <w:noProof/>
            <w:webHidden/>
          </w:rPr>
          <w:fldChar w:fldCharType="begin"/>
        </w:r>
        <w:r w:rsidR="00CD76CB">
          <w:rPr>
            <w:noProof/>
            <w:webHidden/>
          </w:rPr>
          <w:instrText xml:space="preserve"> PAGEREF _Toc55850362 \h </w:instrText>
        </w:r>
        <w:r w:rsidR="00CD76CB">
          <w:rPr>
            <w:noProof/>
            <w:webHidden/>
          </w:rPr>
        </w:r>
        <w:r w:rsidR="00CD76CB">
          <w:rPr>
            <w:noProof/>
            <w:webHidden/>
          </w:rPr>
          <w:fldChar w:fldCharType="separate"/>
        </w:r>
        <w:r w:rsidR="00CD76CB">
          <w:rPr>
            <w:noProof/>
            <w:webHidden/>
          </w:rPr>
          <w:t>35</w:t>
        </w:r>
        <w:r w:rsidR="00CD76CB">
          <w:rPr>
            <w:noProof/>
            <w:webHidden/>
          </w:rPr>
          <w:fldChar w:fldCharType="end"/>
        </w:r>
      </w:hyperlink>
    </w:p>
    <w:p w14:paraId="5B49C0E7" w14:textId="03395862" w:rsidR="00CD76CB" w:rsidRDefault="00B44FC5">
      <w:pPr>
        <w:pStyle w:val="TOC1"/>
        <w:rPr>
          <w:rFonts w:asciiTheme="minorHAnsi" w:eastAsiaTheme="minorEastAsia" w:hAnsiTheme="minorHAnsi"/>
          <w:noProof/>
          <w:color w:val="auto"/>
          <w:lang w:eastAsia="en-AU"/>
        </w:rPr>
      </w:pPr>
      <w:hyperlink w:anchor="_Toc55850363" w:history="1">
        <w:r w:rsidR="00CD76CB" w:rsidRPr="001331B5">
          <w:rPr>
            <w:rStyle w:val="Hyperlink"/>
            <w:noProof/>
          </w:rPr>
          <w:t>Chapter 10 - Reporting and Disclosure</w:t>
        </w:r>
        <w:r w:rsidR="00CD76CB">
          <w:rPr>
            <w:noProof/>
            <w:webHidden/>
          </w:rPr>
          <w:tab/>
        </w:r>
        <w:r w:rsidR="00CD76CB">
          <w:rPr>
            <w:noProof/>
            <w:webHidden/>
          </w:rPr>
          <w:fldChar w:fldCharType="begin"/>
        </w:r>
        <w:r w:rsidR="00CD76CB">
          <w:rPr>
            <w:noProof/>
            <w:webHidden/>
          </w:rPr>
          <w:instrText xml:space="preserve"> PAGEREF _Toc55850363 \h </w:instrText>
        </w:r>
        <w:r w:rsidR="00CD76CB">
          <w:rPr>
            <w:noProof/>
            <w:webHidden/>
          </w:rPr>
        </w:r>
        <w:r w:rsidR="00CD76CB">
          <w:rPr>
            <w:noProof/>
            <w:webHidden/>
          </w:rPr>
          <w:fldChar w:fldCharType="separate"/>
        </w:r>
        <w:r w:rsidR="00CD76CB">
          <w:rPr>
            <w:noProof/>
            <w:webHidden/>
          </w:rPr>
          <w:t>36</w:t>
        </w:r>
        <w:r w:rsidR="00CD76CB">
          <w:rPr>
            <w:noProof/>
            <w:webHidden/>
          </w:rPr>
          <w:fldChar w:fldCharType="end"/>
        </w:r>
      </w:hyperlink>
    </w:p>
    <w:p w14:paraId="377A4C10" w14:textId="4A0064AB" w:rsidR="00CD76CB" w:rsidRDefault="00B44FC5">
      <w:pPr>
        <w:pStyle w:val="TOC1"/>
        <w:rPr>
          <w:rFonts w:asciiTheme="minorHAnsi" w:eastAsiaTheme="minorEastAsia" w:hAnsiTheme="minorHAnsi"/>
          <w:noProof/>
          <w:color w:val="auto"/>
          <w:lang w:eastAsia="en-AU"/>
        </w:rPr>
      </w:pPr>
      <w:hyperlink w:anchor="_Toc55850364" w:history="1">
        <w:r w:rsidR="00CD76CB" w:rsidRPr="001331B5">
          <w:rPr>
            <w:rStyle w:val="Hyperlink"/>
            <w:noProof/>
          </w:rPr>
          <w:t>Chapter 11 - Consultation on revised CPS 511</w:t>
        </w:r>
        <w:r w:rsidR="00CD76CB">
          <w:rPr>
            <w:noProof/>
            <w:webHidden/>
          </w:rPr>
          <w:tab/>
        </w:r>
        <w:r w:rsidR="00CD76CB">
          <w:rPr>
            <w:noProof/>
            <w:webHidden/>
          </w:rPr>
          <w:fldChar w:fldCharType="begin"/>
        </w:r>
        <w:r w:rsidR="00CD76CB">
          <w:rPr>
            <w:noProof/>
            <w:webHidden/>
          </w:rPr>
          <w:instrText xml:space="preserve"> PAGEREF _Toc55850364 \h </w:instrText>
        </w:r>
        <w:r w:rsidR="00CD76CB">
          <w:rPr>
            <w:noProof/>
            <w:webHidden/>
          </w:rPr>
        </w:r>
        <w:r w:rsidR="00CD76CB">
          <w:rPr>
            <w:noProof/>
            <w:webHidden/>
          </w:rPr>
          <w:fldChar w:fldCharType="separate"/>
        </w:r>
        <w:r w:rsidR="00CD76CB">
          <w:rPr>
            <w:noProof/>
            <w:webHidden/>
          </w:rPr>
          <w:t>38</w:t>
        </w:r>
        <w:r w:rsidR="00CD76CB">
          <w:rPr>
            <w:noProof/>
            <w:webHidden/>
          </w:rPr>
          <w:fldChar w:fldCharType="end"/>
        </w:r>
      </w:hyperlink>
    </w:p>
    <w:p w14:paraId="0BF69DA8" w14:textId="77777777" w:rsidR="0016272E" w:rsidRPr="0016272E" w:rsidRDefault="00DC6124" w:rsidP="0016272E">
      <w:r>
        <w:rPr>
          <w:rFonts w:ascii="DIN OT Medium" w:hAnsi="DIN OT Medium"/>
          <w:noProof/>
          <w:lang w:val="en-US"/>
        </w:rPr>
        <w:fldChar w:fldCharType="end"/>
      </w:r>
    </w:p>
    <w:p w14:paraId="0F0AEBFC" w14:textId="7DF31459" w:rsidR="00AC1C12" w:rsidRDefault="00AC1C12" w:rsidP="00C120E8">
      <w:pPr>
        <w:pStyle w:val="Heading1"/>
      </w:pPr>
      <w:bookmarkStart w:id="1" w:name="_Toc26804332"/>
      <w:bookmarkStart w:id="2" w:name="_Toc30172108"/>
      <w:bookmarkStart w:id="3" w:name="_Toc53000769"/>
      <w:bookmarkStart w:id="4" w:name="_Toc55850351"/>
      <w:r>
        <w:lastRenderedPageBreak/>
        <w:t>Executive summary</w:t>
      </w:r>
      <w:bookmarkEnd w:id="1"/>
      <w:bookmarkEnd w:id="2"/>
      <w:bookmarkEnd w:id="3"/>
      <w:bookmarkEnd w:id="4"/>
    </w:p>
    <w:p w14:paraId="310BCDA2" w14:textId="25FF671D" w:rsidR="00517E55" w:rsidRDefault="00925493" w:rsidP="00517E55">
      <w:r>
        <w:t xml:space="preserve">An effective remuneration framework is an important component </w:t>
      </w:r>
      <w:r w:rsidR="00346024">
        <w:t>of</w:t>
      </w:r>
      <w:r>
        <w:t xml:space="preserve"> a resilient financial system; </w:t>
      </w:r>
      <w:r w:rsidR="00BC3078">
        <w:t>long-term financial soundness</w:t>
      </w:r>
      <w:r w:rsidR="00346024">
        <w:t xml:space="preserve"> requires </w:t>
      </w:r>
      <w:r w:rsidR="00022346">
        <w:t>prudent</w:t>
      </w:r>
      <w:r w:rsidR="00346024">
        <w:t xml:space="preserve"> incentive structure</w:t>
      </w:r>
      <w:r w:rsidR="00BC3078">
        <w:t>s</w:t>
      </w:r>
      <w:r w:rsidR="00346024">
        <w:t xml:space="preserve"> and clear accountabilit</w:t>
      </w:r>
      <w:r w:rsidR="00BC3078">
        <w:t>ies</w:t>
      </w:r>
      <w:r w:rsidR="00346024">
        <w:t xml:space="preserve"> for </w:t>
      </w:r>
      <w:r w:rsidR="002D5694">
        <w:t>outcomes</w:t>
      </w:r>
      <w:r w:rsidR="00346024">
        <w:t>. In introducing</w:t>
      </w:r>
      <w:r w:rsidR="00A77E77" w:rsidDel="002D5694">
        <w:t xml:space="preserve"> </w:t>
      </w:r>
      <w:r w:rsidR="002D5694">
        <w:t xml:space="preserve">an updated </w:t>
      </w:r>
      <w:r w:rsidR="00346024">
        <w:t xml:space="preserve">prudential standard for remuneration, </w:t>
      </w:r>
      <w:r w:rsidR="004931E0" w:rsidDel="007477CE">
        <w:t xml:space="preserve">APRA’s goal is to </w:t>
      </w:r>
      <w:r>
        <w:t>lift minimum standards of practice</w:t>
      </w:r>
      <w:r w:rsidR="007477CE">
        <w:t xml:space="preserve">, </w:t>
      </w:r>
      <w:r w:rsidR="00A77E77">
        <w:t xml:space="preserve">through </w:t>
      </w:r>
      <w:r w:rsidR="00E97CAF">
        <w:t>enhancing</w:t>
      </w:r>
      <w:r w:rsidR="00DB442B">
        <w:t xml:space="preserve"> board oversight, increasing the use of non-financial </w:t>
      </w:r>
      <w:r w:rsidR="00E62CAC">
        <w:t>measures</w:t>
      </w:r>
      <w:r w:rsidR="00517E55">
        <w:t xml:space="preserve"> </w:t>
      </w:r>
      <w:r w:rsidR="00DB442B">
        <w:t xml:space="preserve">in remuneration design and ensuring </w:t>
      </w:r>
      <w:r w:rsidR="00DB442B" w:rsidRPr="00DB442B">
        <w:t xml:space="preserve">there are appropriate financial consequences for </w:t>
      </w:r>
      <w:r>
        <w:t xml:space="preserve">poor </w:t>
      </w:r>
      <w:r w:rsidR="00DB442B" w:rsidRPr="00DB442B">
        <w:t>risk management.</w:t>
      </w:r>
      <w:r w:rsidR="00DB442B">
        <w:t xml:space="preserve"> </w:t>
      </w:r>
      <w:r w:rsidR="0071119C">
        <w:t xml:space="preserve">APRA’s approach is </w:t>
      </w:r>
      <w:r w:rsidR="00BC3078">
        <w:t>risk</w:t>
      </w:r>
      <w:r w:rsidR="0071119C">
        <w:t>-</w:t>
      </w:r>
      <w:r w:rsidR="0071119C" w:rsidRPr="003F7610">
        <w:t>based</w:t>
      </w:r>
      <w:r w:rsidR="006104AF">
        <w:t xml:space="preserve"> and proportionate</w:t>
      </w:r>
      <w:r w:rsidR="003F7610" w:rsidRPr="003F7610">
        <w:t>,</w:t>
      </w:r>
      <w:r w:rsidR="0071119C" w:rsidRPr="003F7610">
        <w:t xml:space="preserve"> </w:t>
      </w:r>
      <w:r w:rsidR="00BC3078">
        <w:t>with</w:t>
      </w:r>
      <w:r w:rsidR="00887DC9">
        <w:t xml:space="preserve"> </w:t>
      </w:r>
      <w:r w:rsidR="00887DC9" w:rsidRPr="003F7610">
        <w:t xml:space="preserve">more comprehensive requirements </w:t>
      </w:r>
      <w:r w:rsidR="00C36D81">
        <w:t>for</w:t>
      </w:r>
      <w:r w:rsidR="006104AF" w:rsidRPr="003F7610">
        <w:t xml:space="preserve"> </w:t>
      </w:r>
      <w:r w:rsidR="00887DC9" w:rsidRPr="003F7610">
        <w:t>larger and more complex regulated entities.</w:t>
      </w:r>
      <w:r w:rsidR="00887DC9">
        <w:t xml:space="preserve"> </w:t>
      </w:r>
    </w:p>
    <w:p w14:paraId="007E2C22" w14:textId="7F417C21" w:rsidR="002D5694" w:rsidRDefault="0071119C" w:rsidP="004B7F62">
      <w:r>
        <w:t>Strengthening prudential requirements for remuneration is a key priority for APRA</w:t>
      </w:r>
      <w:r w:rsidR="00925493">
        <w:t>,</w:t>
      </w:r>
      <w:r w:rsidR="00F87F8E" w:rsidRPr="00F87F8E">
        <w:t xml:space="preserve"> </w:t>
      </w:r>
      <w:r w:rsidR="00B47854">
        <w:t xml:space="preserve">within </w:t>
      </w:r>
      <w:r w:rsidR="00D8452D">
        <w:t>its</w:t>
      </w:r>
      <w:r w:rsidR="00B47854">
        <w:t xml:space="preserve"> broader </w:t>
      </w:r>
      <w:r w:rsidR="002D5694">
        <w:t xml:space="preserve">objective to enhance </w:t>
      </w:r>
      <w:r w:rsidR="00F87F8E" w:rsidRPr="00B43B5F">
        <w:t>governance, culture, remuneration and accountability</w:t>
      </w:r>
      <w:r w:rsidR="00B47854">
        <w:t xml:space="preserve"> across </w:t>
      </w:r>
      <w:r w:rsidR="00CC00D4">
        <w:t>all</w:t>
      </w:r>
      <w:r w:rsidR="00D8452D">
        <w:t xml:space="preserve"> </w:t>
      </w:r>
      <w:r w:rsidR="00B47854">
        <w:t>regulated industries</w:t>
      </w:r>
      <w:r>
        <w:t xml:space="preserve">. </w:t>
      </w:r>
      <w:r w:rsidR="003F7610">
        <w:t>The</w:t>
      </w:r>
      <w:r w:rsidR="00EF3F75" w:rsidDel="00E6045D">
        <w:t xml:space="preserve"> </w:t>
      </w:r>
      <w:r w:rsidR="00194D2A">
        <w:t>global financial crisis</w:t>
      </w:r>
      <w:r w:rsidR="003F7610">
        <w:t xml:space="preserve">, </w:t>
      </w:r>
      <w:r w:rsidR="00194D2A">
        <w:t>APRA</w:t>
      </w:r>
      <w:r w:rsidR="00346024">
        <w:t>’s supervisory findings</w:t>
      </w:r>
      <w:r w:rsidR="00194D2A">
        <w:t xml:space="preserve"> </w:t>
      </w:r>
      <w:r w:rsidR="003F7610">
        <w:t>and</w:t>
      </w:r>
      <w:r w:rsidR="00194D2A">
        <w:t xml:space="preserve"> the </w:t>
      </w:r>
      <w:r w:rsidR="002D5694">
        <w:t xml:space="preserve">recent </w:t>
      </w:r>
      <w:r w:rsidR="00194D2A">
        <w:t xml:space="preserve">Royal </w:t>
      </w:r>
      <w:r w:rsidR="00E62CAC">
        <w:t>Commission</w:t>
      </w:r>
      <w:r w:rsidR="00366A70">
        <w:rPr>
          <w:rStyle w:val="FootnoteReference"/>
        </w:rPr>
        <w:footnoteReference w:id="2"/>
      </w:r>
      <w:r w:rsidR="00194D2A">
        <w:t xml:space="preserve"> </w:t>
      </w:r>
      <w:r w:rsidR="003F7610">
        <w:t>have</w:t>
      </w:r>
      <w:r w:rsidR="00194D2A">
        <w:t xml:space="preserve"> </w:t>
      </w:r>
      <w:r w:rsidR="00C73EA7">
        <w:t xml:space="preserve">demonstrated </w:t>
      </w:r>
      <w:r w:rsidR="002D5694">
        <w:t xml:space="preserve">continued shortcoming in remuneration arrangements. In particular, senior </w:t>
      </w:r>
      <w:r w:rsidR="007E253D">
        <w:t>executives have</w:t>
      </w:r>
      <w:r w:rsidR="00BC3078">
        <w:t xml:space="preserve"> </w:t>
      </w:r>
      <w:r w:rsidR="007E253D">
        <w:t xml:space="preserve">been </w:t>
      </w:r>
      <w:r w:rsidR="00C73EA7">
        <w:t>financially</w:t>
      </w:r>
      <w:r w:rsidR="007E253D">
        <w:t xml:space="preserve"> re</w:t>
      </w:r>
      <w:r w:rsidR="00DD39E9">
        <w:t>w</w:t>
      </w:r>
      <w:r w:rsidR="007E253D">
        <w:t xml:space="preserve">arded, </w:t>
      </w:r>
      <w:r w:rsidR="004A5C73">
        <w:t>despite</w:t>
      </w:r>
      <w:r w:rsidR="00194D2A">
        <w:t xml:space="preserve"> </w:t>
      </w:r>
      <w:r w:rsidR="00C73EA7">
        <w:t>failings in risk management</w:t>
      </w:r>
      <w:r w:rsidR="00A91744">
        <w:t xml:space="preserve"> and poor community</w:t>
      </w:r>
      <w:r w:rsidR="00A77E77">
        <w:t xml:space="preserve"> outcomes</w:t>
      </w:r>
      <w:r w:rsidR="00DD39E9">
        <w:t>.</w:t>
      </w:r>
      <w:r w:rsidR="004C7911">
        <w:t xml:space="preserve"> </w:t>
      </w:r>
      <w:r w:rsidR="002D5694">
        <w:t>A revised regulatory framework, providing a foundation for entities to adopt a more</w:t>
      </w:r>
      <w:r w:rsidR="002E10FA">
        <w:t xml:space="preserve"> holistic view of executive per</w:t>
      </w:r>
      <w:r w:rsidR="002D5694">
        <w:t>f</w:t>
      </w:r>
      <w:r w:rsidR="002E10FA">
        <w:t>or</w:t>
      </w:r>
      <w:r w:rsidR="002D5694">
        <w:t xml:space="preserve">mance, is needed. </w:t>
      </w:r>
    </w:p>
    <w:p w14:paraId="2CDC8456" w14:textId="347FD1FB" w:rsidR="004B7F62" w:rsidRDefault="00CB4153" w:rsidP="004B7F62">
      <w:r>
        <w:t xml:space="preserve">As </w:t>
      </w:r>
      <w:r w:rsidR="003A073E">
        <w:t>the industry moves beyond the initial stages of COVID</w:t>
      </w:r>
      <w:r w:rsidR="003F4ADD">
        <w:t>-19</w:t>
      </w:r>
      <w:r w:rsidR="003A073E">
        <w:t xml:space="preserve"> stress, </w:t>
      </w:r>
      <w:r w:rsidR="00A77E77">
        <w:t xml:space="preserve">and the focus shifts to supporting growth, it is important that the examples of </w:t>
      </w:r>
      <w:r w:rsidR="002E10FA">
        <w:t xml:space="preserve">weak </w:t>
      </w:r>
      <w:r w:rsidR="00A77E77">
        <w:t xml:space="preserve">practices observed in earlier years are not repeated. </w:t>
      </w:r>
      <w:r w:rsidR="00661BD5">
        <w:t>To underpin prudent long-term growth outcomes, entities must broaden incentive structures away from a sole focus on short-term financial performance</w:t>
      </w:r>
      <w:r w:rsidR="00EE75A1">
        <w:t>.</w:t>
      </w:r>
      <w:r w:rsidR="004B7F62">
        <w:t xml:space="preserve"> </w:t>
      </w:r>
    </w:p>
    <w:p w14:paraId="19AF48E3" w14:textId="7F47A541" w:rsidR="002E10FA" w:rsidRDefault="002E10FA" w:rsidP="003F6238">
      <w:pPr>
        <w:pBdr>
          <w:top w:val="single" w:sz="4" w:space="1" w:color="auto"/>
          <w:left w:val="single" w:sz="4" w:space="4" w:color="auto"/>
          <w:bottom w:val="single" w:sz="4" w:space="1" w:color="auto"/>
          <w:right w:val="single" w:sz="4" w:space="4" w:color="auto"/>
        </w:pBdr>
        <w:shd w:val="clear" w:color="auto" w:fill="C2E3FF" w:themeFill="accent3" w:themeFillTint="33"/>
      </w:pPr>
      <w:r>
        <w:t xml:space="preserve">New prudential requirements for remuneration will be a key area of APRA’s supervisory focus in the period ahead. </w:t>
      </w:r>
      <w:r w:rsidRPr="00B1531F">
        <w:t>Successful implementation of revised CPS 511</w:t>
      </w:r>
      <w:r>
        <w:t xml:space="preserve"> across all industries is designed to deliver</w:t>
      </w:r>
      <w:r w:rsidRPr="00B1531F">
        <w:t>:</w:t>
      </w:r>
      <w:r w:rsidRPr="00C674B4">
        <w:t xml:space="preserve"> </w:t>
      </w:r>
    </w:p>
    <w:p w14:paraId="360C675C" w14:textId="77777777" w:rsidR="002E10FA" w:rsidRDefault="002E10FA" w:rsidP="003F6238">
      <w:pPr>
        <w:pStyle w:val="ListBullet"/>
        <w:numPr>
          <w:ilvl w:val="0"/>
          <w:numId w:val="5"/>
        </w:numPr>
        <w:pBdr>
          <w:top w:val="single" w:sz="4" w:space="1" w:color="auto"/>
          <w:left w:val="single" w:sz="4" w:space="4" w:color="auto"/>
          <w:bottom w:val="single" w:sz="4" w:space="1" w:color="auto"/>
          <w:right w:val="single" w:sz="4" w:space="4" w:color="auto"/>
        </w:pBdr>
        <w:shd w:val="clear" w:color="auto" w:fill="C2E3FF" w:themeFill="accent3" w:themeFillTint="33"/>
      </w:pPr>
      <w:r w:rsidRPr="00C674B4">
        <w:t xml:space="preserve">stronger </w:t>
      </w:r>
      <w:r w:rsidRPr="00E86EA5">
        <w:rPr>
          <w:b/>
        </w:rPr>
        <w:t>incentives</w:t>
      </w:r>
      <w:r w:rsidRPr="00C674B4">
        <w:t xml:space="preserve"> for individuals to proactively manage non-financial risks; </w:t>
      </w:r>
    </w:p>
    <w:p w14:paraId="588FF414" w14:textId="77777777" w:rsidR="002E10FA" w:rsidRDefault="002E10FA" w:rsidP="003F6238">
      <w:pPr>
        <w:pStyle w:val="ListBullet"/>
        <w:numPr>
          <w:ilvl w:val="0"/>
          <w:numId w:val="5"/>
        </w:numPr>
        <w:pBdr>
          <w:top w:val="single" w:sz="4" w:space="1" w:color="auto"/>
          <w:left w:val="single" w:sz="4" w:space="4" w:color="auto"/>
          <w:bottom w:val="single" w:sz="4" w:space="1" w:color="auto"/>
          <w:right w:val="single" w:sz="4" w:space="4" w:color="auto"/>
        </w:pBdr>
        <w:shd w:val="clear" w:color="auto" w:fill="C2E3FF" w:themeFill="accent3" w:themeFillTint="33"/>
      </w:pPr>
      <w:r w:rsidRPr="00023145">
        <w:t xml:space="preserve">appropriate financial </w:t>
      </w:r>
      <w:r w:rsidRPr="00E86EA5">
        <w:rPr>
          <w:b/>
        </w:rPr>
        <w:t>consequences</w:t>
      </w:r>
      <w:r w:rsidRPr="009A72CF">
        <w:t xml:space="preserve"> where material risk incidents have occurred; and</w:t>
      </w:r>
    </w:p>
    <w:p w14:paraId="276377CA" w14:textId="2A43D7AB" w:rsidR="002E10FA" w:rsidRPr="00804DFC" w:rsidRDefault="002E10FA" w:rsidP="003F6238">
      <w:pPr>
        <w:pStyle w:val="ListBullet"/>
        <w:numPr>
          <w:ilvl w:val="0"/>
          <w:numId w:val="5"/>
        </w:numPr>
        <w:pBdr>
          <w:top w:val="single" w:sz="4" w:space="1" w:color="auto"/>
          <w:left w:val="single" w:sz="4" w:space="4" w:color="auto"/>
          <w:bottom w:val="single" w:sz="4" w:space="1" w:color="auto"/>
          <w:right w:val="single" w:sz="4" w:space="4" w:color="auto"/>
        </w:pBdr>
        <w:shd w:val="clear" w:color="auto" w:fill="C2E3FF" w:themeFill="accent3" w:themeFillTint="33"/>
      </w:pPr>
      <w:r w:rsidRPr="00907537">
        <w:lastRenderedPageBreak/>
        <w:t xml:space="preserve">increased </w:t>
      </w:r>
      <w:r w:rsidRPr="00E86EA5">
        <w:rPr>
          <w:b/>
        </w:rPr>
        <w:t>transparency</w:t>
      </w:r>
      <w:r w:rsidRPr="00907537">
        <w:t xml:space="preserve"> to drive stronger board accountability for </w:t>
      </w:r>
      <w:r w:rsidRPr="00550EEF">
        <w:t>remuneration outcomes</w:t>
      </w:r>
      <w:r w:rsidRPr="00624AA0">
        <w:t>.</w:t>
      </w:r>
    </w:p>
    <w:p w14:paraId="37ECF7DD" w14:textId="77777777" w:rsidR="002E10FA" w:rsidRPr="002E10FA" w:rsidRDefault="002E10FA" w:rsidP="002E10FA">
      <w:pPr>
        <w:pStyle w:val="Heading5"/>
      </w:pPr>
      <w:r w:rsidRPr="002E10FA">
        <w:t>Proposed new requirements</w:t>
      </w:r>
    </w:p>
    <w:p w14:paraId="482C0302" w14:textId="67F7E40B" w:rsidR="00194D2A" w:rsidRDefault="00194D2A" w:rsidP="00194D2A">
      <w:r>
        <w:t xml:space="preserve">APRA </w:t>
      </w:r>
      <w:r w:rsidR="00BE5222">
        <w:t xml:space="preserve">initially </w:t>
      </w:r>
      <w:r>
        <w:t xml:space="preserve">consulted on a </w:t>
      </w:r>
      <w:r w:rsidR="00AB6420" w:rsidRPr="000D0D6C">
        <w:t xml:space="preserve">new </w:t>
      </w:r>
      <w:r>
        <w:t xml:space="preserve">draft prudential </w:t>
      </w:r>
      <w:r w:rsidR="003F7610" w:rsidRPr="000D0D6C">
        <w:t>standard</w:t>
      </w:r>
      <w:r>
        <w:t xml:space="preserve"> </w:t>
      </w:r>
      <w:r w:rsidR="00FD7F40">
        <w:t xml:space="preserve">for remuneration </w:t>
      </w:r>
      <w:r>
        <w:t xml:space="preserve">in July 2019. During the consultation, APRA hosted over 40 industry engagements and received 76 submissions. </w:t>
      </w:r>
      <w:r w:rsidR="00AB6420">
        <w:t xml:space="preserve">APRA </w:t>
      </w:r>
      <w:r w:rsidR="00AA2ED5">
        <w:t xml:space="preserve">received </w:t>
      </w:r>
      <w:r w:rsidR="00AA2ED5" w:rsidRPr="00A80ADF">
        <w:t>most</w:t>
      </w:r>
      <w:r w:rsidR="0071119C">
        <w:t xml:space="preserve"> </w:t>
      </w:r>
      <w:r w:rsidR="00AA2ED5">
        <w:t xml:space="preserve">feedback on the </w:t>
      </w:r>
      <w:r w:rsidR="00AB6420">
        <w:t>proposal</w:t>
      </w:r>
      <w:r w:rsidR="00AA2ED5">
        <w:t xml:space="preserve"> for a</w:t>
      </w:r>
      <w:r>
        <w:t xml:space="preserve"> 50 per cent limit on the use of financial performance measures </w:t>
      </w:r>
      <w:r w:rsidR="0084066F">
        <w:t>to</w:t>
      </w:r>
      <w:r>
        <w:t xml:space="preserve"> determin</w:t>
      </w:r>
      <w:r w:rsidR="0084066F">
        <w:t>e</w:t>
      </w:r>
      <w:r>
        <w:t xml:space="preserve"> remuneration outcomes</w:t>
      </w:r>
      <w:r w:rsidR="00AA2ED5">
        <w:t xml:space="preserve">. Industry </w:t>
      </w:r>
      <w:r w:rsidR="00AA2ED5" w:rsidDel="0071119C">
        <w:t xml:space="preserve">commonly </w:t>
      </w:r>
      <w:r w:rsidR="0084066F" w:rsidRPr="00A80ADF" w:rsidDel="0071119C">
        <w:t>described</w:t>
      </w:r>
      <w:r w:rsidR="0084066F">
        <w:t xml:space="preserve"> </w:t>
      </w:r>
      <w:r w:rsidR="00AA2ED5">
        <w:t xml:space="preserve">this proposal </w:t>
      </w:r>
      <w:r w:rsidR="00AA2ED5" w:rsidDel="0071119C">
        <w:t>a</w:t>
      </w:r>
      <w:r w:rsidR="0084066F" w:rsidDel="0071119C">
        <w:t>s</w:t>
      </w:r>
      <w:r w:rsidR="00E20EAA" w:rsidDel="0071119C">
        <w:t xml:space="preserve"> </w:t>
      </w:r>
      <w:r w:rsidR="00AA2ED5">
        <w:t>limit</w:t>
      </w:r>
      <w:r w:rsidR="00AA2ED5" w:rsidDel="0071119C">
        <w:t>ing</w:t>
      </w:r>
      <w:r w:rsidR="00AA2ED5">
        <w:t xml:space="preserve"> </w:t>
      </w:r>
      <w:r w:rsidR="00E20EAA">
        <w:t>flexibility</w:t>
      </w:r>
      <w:r w:rsidR="00AA2ED5">
        <w:t xml:space="preserve"> in remuneration design</w:t>
      </w:r>
      <w:r>
        <w:t xml:space="preserve">. </w:t>
      </w:r>
      <w:r w:rsidR="00AB6420">
        <w:t xml:space="preserve">Concerns were also raised about </w:t>
      </w:r>
      <w:r w:rsidR="0071119C" w:rsidRPr="00A80ADF">
        <w:t>the</w:t>
      </w:r>
      <w:r w:rsidR="0071119C">
        <w:t xml:space="preserve"> prescriptive nature of certain other requirements</w:t>
      </w:r>
      <w:r w:rsidR="00E20EAA">
        <w:t xml:space="preserve">, </w:t>
      </w:r>
      <w:r w:rsidR="00F37BDF">
        <w:t xml:space="preserve">with industry highlighting the </w:t>
      </w:r>
      <w:r w:rsidR="0071119C">
        <w:t xml:space="preserve">risk that </w:t>
      </w:r>
      <w:r>
        <w:t xml:space="preserve">the board’s role </w:t>
      </w:r>
      <w:r w:rsidR="0071119C">
        <w:t xml:space="preserve">could </w:t>
      </w:r>
      <w:r w:rsidR="0084066F" w:rsidRPr="00A80ADF">
        <w:t>shift</w:t>
      </w:r>
      <w:r w:rsidR="0084066F">
        <w:t xml:space="preserve"> away from</w:t>
      </w:r>
      <w:r w:rsidR="00E20EAA">
        <w:t xml:space="preserve"> oversight </w:t>
      </w:r>
      <w:r>
        <w:t xml:space="preserve">and </w:t>
      </w:r>
      <w:r w:rsidR="00E71BBF">
        <w:t xml:space="preserve">that overly long </w:t>
      </w:r>
      <w:r>
        <w:t>deferral periods</w:t>
      </w:r>
      <w:r w:rsidR="00E20EAA" w:rsidRPr="00E20EAA">
        <w:t xml:space="preserve"> </w:t>
      </w:r>
      <w:r w:rsidR="00E71BBF" w:rsidRPr="00A80ADF">
        <w:t>could</w:t>
      </w:r>
      <w:r w:rsidR="00E20EAA" w:rsidRPr="004931E0">
        <w:t xml:space="preserve"> </w:t>
      </w:r>
      <w:r w:rsidR="00E71BBF">
        <w:t xml:space="preserve">be </w:t>
      </w:r>
      <w:r w:rsidR="00E20EAA">
        <w:t>detrimental to</w:t>
      </w:r>
      <w:r w:rsidR="00E20EAA" w:rsidRPr="004931E0">
        <w:t xml:space="preserve"> attract</w:t>
      </w:r>
      <w:r w:rsidR="00E20EAA">
        <w:t>ing</w:t>
      </w:r>
      <w:r w:rsidR="00E20EAA" w:rsidRPr="004931E0">
        <w:t xml:space="preserve"> talent</w:t>
      </w:r>
      <w:r>
        <w:t>.</w:t>
      </w:r>
    </w:p>
    <w:p w14:paraId="5FDD87B2" w14:textId="7A9B9C01" w:rsidR="002E10FA" w:rsidRDefault="00BE5222" w:rsidP="002E10FA">
      <w:r>
        <w:t xml:space="preserve">In response to feedback, </w:t>
      </w:r>
      <w:r w:rsidR="002E10FA" w:rsidRPr="00A80ADF">
        <w:t>APRA has revised</w:t>
      </w:r>
      <w:r w:rsidR="002E10FA" w:rsidRPr="00A80ADF" w:rsidDel="00BE5222">
        <w:t xml:space="preserve"> </w:t>
      </w:r>
      <w:r>
        <w:t>its</w:t>
      </w:r>
      <w:r w:rsidRPr="00A80ADF">
        <w:t xml:space="preserve"> </w:t>
      </w:r>
      <w:r w:rsidR="002E10FA" w:rsidRPr="00A80ADF">
        <w:t xml:space="preserve">original set of proposals and is conducting a second consultation on a revised standard (revised CPS 511). </w:t>
      </w:r>
      <w:r w:rsidR="002E10FA">
        <w:t>The revised proposals will strengthen market practice and address the Royal Commission recommendations, through</w:t>
      </w:r>
      <w:r w:rsidR="002E10FA" w:rsidRPr="00A80ADF">
        <w:t xml:space="preserve"> </w:t>
      </w:r>
      <w:r w:rsidR="002E10FA">
        <w:t xml:space="preserve">more </w:t>
      </w:r>
      <w:r w:rsidR="002E10FA" w:rsidRPr="00A80ADF">
        <w:t xml:space="preserve">principles-based </w:t>
      </w:r>
      <w:r w:rsidR="002E10FA">
        <w:t xml:space="preserve">minimum requirements. Revised CPS 511 sets key requirements for sound remuneration practice, to ensure that an entity’s framework includes the components to promote effective risk management, sustainable performance and long-term soundness. With a more principles-based approach, boards have more flexibility to strengthen remuneration practices in a way that is appropriate </w:t>
      </w:r>
      <w:r w:rsidR="00D30702">
        <w:t>to</w:t>
      </w:r>
      <w:r w:rsidR="002E10FA">
        <w:t xml:space="preserve"> their business model and particular risks</w:t>
      </w:r>
      <w:r w:rsidR="002E10FA" w:rsidRPr="00A80ADF">
        <w:t>.</w:t>
      </w:r>
      <w:r w:rsidR="002E10FA">
        <w:t xml:space="preserve"> </w:t>
      </w:r>
    </w:p>
    <w:p w14:paraId="7F09917A" w14:textId="5EDACDCF" w:rsidR="006A35D3" w:rsidRDefault="00E11B41" w:rsidP="00BE5222">
      <w:r w:rsidRPr="00BE5222">
        <w:t xml:space="preserve">In revised CPS 511, APRA has </w:t>
      </w:r>
      <w:r w:rsidR="006A35D3">
        <w:t>maintained it</w:t>
      </w:r>
      <w:r w:rsidR="002F1E59">
        <w:t>s</w:t>
      </w:r>
      <w:r w:rsidR="006A35D3">
        <w:t xml:space="preserve"> focus on non-financial risks, by requiring entities to give material weight to these measures in remuneration design, rather than a prescriptive hard limit. </w:t>
      </w:r>
      <w:r w:rsidR="00F81BC3">
        <w:t>APRA</w:t>
      </w:r>
      <w:r w:rsidR="00BE2818">
        <w:t>’s</w:t>
      </w:r>
      <w:r w:rsidR="00F81BC3">
        <w:t xml:space="preserve"> </w:t>
      </w:r>
      <w:r w:rsidR="00BE2818">
        <w:t xml:space="preserve">revised </w:t>
      </w:r>
      <w:r w:rsidR="00F81BC3">
        <w:t>deferral requirements</w:t>
      </w:r>
      <w:r w:rsidR="00BE2818">
        <w:t xml:space="preserve"> remain strong</w:t>
      </w:r>
      <w:r w:rsidR="00F81BC3">
        <w:t xml:space="preserve"> relative to international peers, but </w:t>
      </w:r>
      <w:r w:rsidR="00BE2818">
        <w:t xml:space="preserve">have been marginally reduced so APRA-regulated entities are not at a competitive disadvantage. </w:t>
      </w:r>
      <w:r w:rsidR="00072307">
        <w:t xml:space="preserve">Boards </w:t>
      </w:r>
      <w:r w:rsidR="00DF5416">
        <w:t xml:space="preserve">remain accountable for remuneration outcomes </w:t>
      </w:r>
      <w:r w:rsidR="00982338">
        <w:t>but</w:t>
      </w:r>
      <w:r w:rsidR="00072307">
        <w:t xml:space="preserve"> will be required to provide stronger oversight on the effectiveness of remuneration arrangements</w:t>
      </w:r>
      <w:r w:rsidR="00DF5416">
        <w:t>.</w:t>
      </w:r>
      <w:r w:rsidR="00072307">
        <w:t xml:space="preserve"> </w:t>
      </w:r>
      <w:r w:rsidR="00537521">
        <w:t>C</w:t>
      </w:r>
      <w:r w:rsidR="00072307">
        <w:t>hanges have been made to reduce administrative burden</w:t>
      </w:r>
      <w:r w:rsidR="00314726">
        <w:t>.</w:t>
      </w:r>
      <w:r w:rsidR="004D5109">
        <w:t xml:space="preserve"> </w:t>
      </w:r>
    </w:p>
    <w:p w14:paraId="47D43B0A" w14:textId="09FE1154" w:rsidR="00247A5D" w:rsidRDefault="00247A5D" w:rsidP="00247A5D">
      <w:bookmarkStart w:id="5" w:name="_Hlk55200205"/>
      <w:r>
        <w:t>In responding to industry feedback, APRA has carefully considered options to minimise regulatory burden, particularly for smaller and less complex entities</w:t>
      </w:r>
      <w:bookmarkEnd w:id="5"/>
      <w:r>
        <w:t>. While</w:t>
      </w:r>
      <w:r w:rsidR="005334C6">
        <w:t xml:space="preserve"> </w:t>
      </w:r>
      <w:r w:rsidDel="005334C6">
        <w:t xml:space="preserve">draft </w:t>
      </w:r>
      <w:r>
        <w:t xml:space="preserve">CPS 511 </w:t>
      </w:r>
      <w:r w:rsidDel="005334C6">
        <w:t>included some elements of proportionality</w:t>
      </w:r>
      <w:r>
        <w:t xml:space="preserve">, </w:t>
      </w:r>
      <w:r w:rsidR="004378C8">
        <w:t>APRA has further reduced requirements of</w:t>
      </w:r>
      <w:r w:rsidR="00DC34D0">
        <w:t xml:space="preserve"> non-Significant Financial Institutions (</w:t>
      </w:r>
      <w:r w:rsidR="00035BE3">
        <w:t>non-</w:t>
      </w:r>
      <w:r w:rsidR="00DC34D0">
        <w:t>SFIs)</w:t>
      </w:r>
      <w:r w:rsidR="004378C8">
        <w:t xml:space="preserve"> in the revised standard</w:t>
      </w:r>
      <w:r>
        <w:t xml:space="preserve">. </w:t>
      </w:r>
      <w:r w:rsidR="00DC34D0">
        <w:t xml:space="preserve">Under revised CPS 511, </w:t>
      </w:r>
      <w:r w:rsidR="004378C8">
        <w:t xml:space="preserve">non-SFIs will not need to meet minimum deferral, clawback and review requirements. They will be subject to simpler </w:t>
      </w:r>
      <w:r w:rsidR="00832C2A">
        <w:t xml:space="preserve">overarching </w:t>
      </w:r>
      <w:r w:rsidR="004378C8">
        <w:lastRenderedPageBreak/>
        <w:t xml:space="preserve">remuneration design requirements. </w:t>
      </w:r>
      <w:r w:rsidR="00832C2A">
        <w:t>In certain areas</w:t>
      </w:r>
      <w:r w:rsidR="0083580E">
        <w:t xml:space="preserve">, the revised </w:t>
      </w:r>
      <w:r w:rsidR="00D550C7">
        <w:t xml:space="preserve">CPS 511 </w:t>
      </w:r>
      <w:r w:rsidR="0083580E">
        <w:t xml:space="preserve">proposals </w:t>
      </w:r>
      <w:r w:rsidR="00D550C7">
        <w:t>are less onerous than</w:t>
      </w:r>
      <w:r w:rsidR="0083580E">
        <w:t xml:space="preserve"> existing CPS 510 and SPS 510 requirements.</w:t>
      </w:r>
    </w:p>
    <w:p w14:paraId="329E2EC8" w14:textId="0B1663CE" w:rsidR="00CE084B" w:rsidRDefault="00DC34D0" w:rsidP="00CE084B">
      <w:r>
        <w:t>F</w:t>
      </w:r>
      <w:r w:rsidR="00EA50ED">
        <w:t xml:space="preserve">or </w:t>
      </w:r>
      <w:r w:rsidR="00D550C7">
        <w:t>the largest and most complex entities</w:t>
      </w:r>
      <w:r w:rsidR="00035BE3">
        <w:t>, Significant Financial Institutions</w:t>
      </w:r>
      <w:r w:rsidR="00D550C7">
        <w:t xml:space="preserve"> (</w:t>
      </w:r>
      <w:r w:rsidR="00EA50ED">
        <w:t>SFIs</w:t>
      </w:r>
      <w:r w:rsidR="00D550C7">
        <w:t xml:space="preserve">), </w:t>
      </w:r>
      <w:r w:rsidR="0027709F">
        <w:t>the</w:t>
      </w:r>
      <w:r w:rsidR="00F27A39">
        <w:t xml:space="preserve"> c</w:t>
      </w:r>
      <w:r w:rsidR="00F27A39" w:rsidRPr="00A80ADF">
        <w:t>ore elements of revised CPS 511</w:t>
      </w:r>
      <w:r w:rsidR="00652B32">
        <w:t xml:space="preserve"> </w:t>
      </w:r>
      <w:r w:rsidR="004378C8">
        <w:t>are illustrated below</w:t>
      </w:r>
      <w:r w:rsidR="006C3B5E">
        <w:t xml:space="preserve">, </w:t>
      </w:r>
      <w:r w:rsidR="0027709F">
        <w:t>representing the strongest areas of reform relative to current market practice</w:t>
      </w:r>
      <w:r w:rsidR="00E42B87" w:rsidRPr="00A80ADF">
        <w:t>.</w:t>
      </w:r>
      <w:r w:rsidR="00D550C7">
        <w:t xml:space="preserve"> </w:t>
      </w:r>
      <w:r w:rsidR="009A2B02" w:rsidRPr="009A2B02">
        <w:rPr>
          <w:noProof/>
          <w:lang w:eastAsia="en-AU"/>
        </w:rPr>
        <w:t>Taken together, the</w:t>
      </w:r>
      <w:r w:rsidR="00EA50ED">
        <w:rPr>
          <w:noProof/>
          <w:lang w:eastAsia="en-AU"/>
        </w:rPr>
        <w:t>se core</w:t>
      </w:r>
      <w:r w:rsidR="009A2B02" w:rsidRPr="009A2B02">
        <w:rPr>
          <w:noProof/>
          <w:lang w:eastAsia="en-AU"/>
        </w:rPr>
        <w:t xml:space="preserve"> measures will</w:t>
      </w:r>
      <w:r w:rsidR="009A2B02">
        <w:rPr>
          <w:noProof/>
          <w:lang w:eastAsia="en-AU"/>
        </w:rPr>
        <w:t xml:space="preserve"> </w:t>
      </w:r>
      <w:r w:rsidR="006C3B5E">
        <w:rPr>
          <w:noProof/>
          <w:lang w:eastAsia="en-AU"/>
        </w:rPr>
        <w:t>require</w:t>
      </w:r>
      <w:r w:rsidR="009A2B02" w:rsidDel="00F27A39">
        <w:rPr>
          <w:noProof/>
          <w:lang w:eastAsia="en-AU"/>
        </w:rPr>
        <w:t xml:space="preserve"> </w:t>
      </w:r>
      <w:r w:rsidR="00EA50ED" w:rsidDel="00F27A39">
        <w:rPr>
          <w:noProof/>
          <w:lang w:eastAsia="en-AU"/>
        </w:rPr>
        <w:t xml:space="preserve">SFI </w:t>
      </w:r>
      <w:r w:rsidR="009A2B02" w:rsidDel="00DC34D0">
        <w:rPr>
          <w:noProof/>
          <w:lang w:eastAsia="en-AU"/>
        </w:rPr>
        <w:t xml:space="preserve">boards </w:t>
      </w:r>
      <w:r w:rsidR="006C3B5E">
        <w:rPr>
          <w:noProof/>
          <w:lang w:eastAsia="en-AU"/>
        </w:rPr>
        <w:t>to strengthen</w:t>
      </w:r>
      <w:r w:rsidR="00C639EE">
        <w:rPr>
          <w:noProof/>
          <w:lang w:eastAsia="en-AU"/>
        </w:rPr>
        <w:t xml:space="preserve"> incentiv</w:t>
      </w:r>
      <w:r w:rsidR="006C3B5E">
        <w:rPr>
          <w:noProof/>
          <w:lang w:eastAsia="en-AU"/>
        </w:rPr>
        <w:t>es to</w:t>
      </w:r>
      <w:r w:rsidR="00F27A39">
        <w:rPr>
          <w:noProof/>
          <w:lang w:eastAsia="en-AU"/>
        </w:rPr>
        <w:t xml:space="preserve"> </w:t>
      </w:r>
      <w:r w:rsidR="001E771A" w:rsidDel="00F27A39">
        <w:rPr>
          <w:noProof/>
          <w:lang w:eastAsia="en-AU"/>
        </w:rPr>
        <w:t>manage</w:t>
      </w:r>
      <w:r w:rsidR="00BB75E2" w:rsidDel="00F27A39">
        <w:rPr>
          <w:noProof/>
          <w:lang w:eastAsia="en-AU"/>
        </w:rPr>
        <w:t xml:space="preserve"> </w:t>
      </w:r>
      <w:r w:rsidR="00C639EE">
        <w:rPr>
          <w:noProof/>
          <w:lang w:eastAsia="en-AU"/>
        </w:rPr>
        <w:t>non-financial risks</w:t>
      </w:r>
      <w:r w:rsidR="00C639EE" w:rsidDel="00DC34D0">
        <w:rPr>
          <w:noProof/>
          <w:lang w:eastAsia="en-AU"/>
        </w:rPr>
        <w:t xml:space="preserve">, </w:t>
      </w:r>
      <w:r w:rsidR="009A2B02" w:rsidDel="00DC34D0">
        <w:rPr>
          <w:noProof/>
          <w:lang w:eastAsia="en-AU"/>
        </w:rPr>
        <w:t>regular</w:t>
      </w:r>
      <w:r w:rsidR="001E771A" w:rsidDel="00DC34D0">
        <w:rPr>
          <w:noProof/>
          <w:lang w:eastAsia="en-AU"/>
        </w:rPr>
        <w:t>ly</w:t>
      </w:r>
      <w:r w:rsidR="009A2B02" w:rsidDel="00DC34D0">
        <w:rPr>
          <w:noProof/>
          <w:lang w:eastAsia="en-AU"/>
        </w:rPr>
        <w:t xml:space="preserve"> assess </w:t>
      </w:r>
      <w:r w:rsidR="001E771A" w:rsidDel="00DC34D0">
        <w:rPr>
          <w:noProof/>
          <w:lang w:eastAsia="en-AU"/>
        </w:rPr>
        <w:t xml:space="preserve">for </w:t>
      </w:r>
      <w:r w:rsidR="00C639EE" w:rsidDel="00DC34D0">
        <w:rPr>
          <w:noProof/>
          <w:lang w:eastAsia="en-AU"/>
        </w:rPr>
        <w:t xml:space="preserve">risk management </w:t>
      </w:r>
      <w:r w:rsidR="001E771A" w:rsidDel="00DC34D0">
        <w:rPr>
          <w:noProof/>
          <w:lang w:eastAsia="en-AU"/>
        </w:rPr>
        <w:t xml:space="preserve">failings </w:t>
      </w:r>
      <w:r w:rsidR="009A2B02" w:rsidDel="00DC34D0">
        <w:rPr>
          <w:noProof/>
          <w:lang w:eastAsia="en-AU"/>
        </w:rPr>
        <w:t xml:space="preserve">and have </w:t>
      </w:r>
      <w:r w:rsidR="009A2B02" w:rsidDel="00F27A39">
        <w:rPr>
          <w:noProof/>
          <w:lang w:eastAsia="en-AU"/>
        </w:rPr>
        <w:t>defer</w:t>
      </w:r>
      <w:r w:rsidR="009A2B02" w:rsidDel="00DC34D0">
        <w:rPr>
          <w:noProof/>
          <w:lang w:eastAsia="en-AU"/>
        </w:rPr>
        <w:t>ral</w:t>
      </w:r>
      <w:r w:rsidR="009A2B02" w:rsidDel="00F27A39">
        <w:rPr>
          <w:noProof/>
          <w:lang w:eastAsia="en-AU"/>
        </w:rPr>
        <w:t xml:space="preserve"> </w:t>
      </w:r>
      <w:r w:rsidR="009A2B02" w:rsidDel="00DC34D0">
        <w:rPr>
          <w:noProof/>
          <w:lang w:eastAsia="en-AU"/>
        </w:rPr>
        <w:t xml:space="preserve">arrangements that </w:t>
      </w:r>
      <w:r w:rsidR="006C3B5E">
        <w:rPr>
          <w:noProof/>
          <w:lang w:eastAsia="en-AU"/>
        </w:rPr>
        <w:t>allow b</w:t>
      </w:r>
      <w:r w:rsidR="00D550C7">
        <w:rPr>
          <w:noProof/>
          <w:lang w:eastAsia="en-AU"/>
        </w:rPr>
        <w:t>oards</w:t>
      </w:r>
      <w:r w:rsidR="009A2B02" w:rsidDel="00DC34D0">
        <w:rPr>
          <w:noProof/>
          <w:lang w:eastAsia="en-AU"/>
        </w:rPr>
        <w:t xml:space="preserve"> to reduce remuneration </w:t>
      </w:r>
      <w:r w:rsidR="00982A64" w:rsidDel="00DC34D0">
        <w:rPr>
          <w:noProof/>
          <w:lang w:eastAsia="en-AU"/>
        </w:rPr>
        <w:t>for poor risk outcomes</w:t>
      </w:r>
      <w:r w:rsidR="00982A64" w:rsidDel="00F27A39">
        <w:rPr>
          <w:noProof/>
          <w:lang w:eastAsia="en-AU"/>
        </w:rPr>
        <w:t>.</w:t>
      </w:r>
      <w:r w:rsidR="00E760CD" w:rsidDel="00F27A39">
        <w:rPr>
          <w:lang w:eastAsia="en-AU"/>
        </w:rPr>
        <w:t xml:space="preserve"> </w:t>
      </w:r>
      <w:r w:rsidR="00314726">
        <w:rPr>
          <w:lang w:eastAsia="en-AU"/>
        </w:rPr>
        <w:t>These</w:t>
      </w:r>
      <w:r w:rsidR="00345C0D">
        <w:rPr>
          <w:lang w:eastAsia="en-AU"/>
        </w:rPr>
        <w:t xml:space="preserve"> measures </w:t>
      </w:r>
      <w:r w:rsidR="00314726">
        <w:rPr>
          <w:lang w:eastAsia="en-AU"/>
        </w:rPr>
        <w:t xml:space="preserve">will be reinforced </w:t>
      </w:r>
      <w:r w:rsidR="00345C0D">
        <w:rPr>
          <w:lang w:eastAsia="en-AU"/>
        </w:rPr>
        <w:t xml:space="preserve">with </w:t>
      </w:r>
      <w:r w:rsidR="00314726">
        <w:rPr>
          <w:lang w:eastAsia="en-AU"/>
        </w:rPr>
        <w:t xml:space="preserve">stronger market discipline and </w:t>
      </w:r>
      <w:r w:rsidR="00345C0D">
        <w:rPr>
          <w:lang w:eastAsia="en-AU"/>
        </w:rPr>
        <w:t xml:space="preserve">heightened supervision. </w:t>
      </w:r>
      <w:r w:rsidR="00A80ADF" w:rsidRPr="00A80ADF">
        <w:t xml:space="preserve">While many regulated entities have </w:t>
      </w:r>
      <w:r w:rsidR="00A80ADF" w:rsidRPr="00A80ADF" w:rsidDel="0083580E">
        <w:t xml:space="preserve">already </w:t>
      </w:r>
      <w:r w:rsidR="00A80ADF" w:rsidRPr="00A80ADF">
        <w:t xml:space="preserve">made progress to improve remuneration frameworks, further change is required to </w:t>
      </w:r>
      <w:r w:rsidR="001E771A">
        <w:t>entrench</w:t>
      </w:r>
      <w:r w:rsidR="001E771A" w:rsidRPr="00A80ADF">
        <w:t xml:space="preserve"> </w:t>
      </w:r>
      <w:r w:rsidR="00A80ADF" w:rsidRPr="00A80ADF">
        <w:t>the minimum standards set out in revised CPS 511.</w:t>
      </w:r>
      <w:r w:rsidR="007E46DD" w:rsidRPr="007E46DD">
        <w:t xml:space="preserve"> </w:t>
      </w:r>
    </w:p>
    <w:p w14:paraId="2918EE83" w14:textId="77777777" w:rsidR="00840F20" w:rsidRDefault="00840F20" w:rsidP="00310E9A">
      <w:pPr>
        <w:widowControl w:val="0"/>
      </w:pPr>
      <w:r>
        <w:rPr>
          <w:noProof/>
          <w:lang w:eastAsia="en-AU"/>
        </w:rPr>
        <w:drawing>
          <wp:inline distT="0" distB="0" distL="0" distR="0" wp14:anchorId="1B5D0623" wp14:editId="5AC12416">
            <wp:extent cx="6192000" cy="270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000" cy="2707200"/>
                    </a:xfrm>
                    <a:prstGeom prst="rect">
                      <a:avLst/>
                    </a:prstGeom>
                    <a:noFill/>
                  </pic:spPr>
                </pic:pic>
              </a:graphicData>
            </a:graphic>
          </wp:inline>
        </w:drawing>
      </w:r>
    </w:p>
    <w:p w14:paraId="0491F05D" w14:textId="1D6BB148" w:rsidR="00854069" w:rsidRDefault="00194D2A" w:rsidP="00194D2A">
      <w:r w:rsidRPr="00194D2A">
        <w:rPr>
          <w:b/>
        </w:rPr>
        <w:t>Governance</w:t>
      </w:r>
      <w:r w:rsidR="005A72AD">
        <w:rPr>
          <w:b/>
        </w:rPr>
        <w:t>:</w:t>
      </w:r>
      <w:r>
        <w:t xml:space="preserve"> </w:t>
      </w:r>
      <w:r w:rsidR="00854069">
        <w:t xml:space="preserve"> </w:t>
      </w:r>
      <w:r w:rsidR="0031267E">
        <w:t>R</w:t>
      </w:r>
      <w:r w:rsidR="00D67085">
        <w:t>evised CPS 511 will</w:t>
      </w:r>
      <w:r w:rsidR="006A11D6">
        <w:t xml:space="preserve"> lift expectations of </w:t>
      </w:r>
      <w:r w:rsidR="00E34CE3">
        <w:t xml:space="preserve">SFI </w:t>
      </w:r>
      <w:r w:rsidR="006A11D6">
        <w:t>board</w:t>
      </w:r>
      <w:r w:rsidR="00E34CE3">
        <w:t>s</w:t>
      </w:r>
      <w:r w:rsidR="006A11D6">
        <w:t xml:space="preserve"> and introduc</w:t>
      </w:r>
      <w:r w:rsidR="00D67085">
        <w:t>e</w:t>
      </w:r>
      <w:r w:rsidR="006A11D6">
        <w:t xml:space="preserve"> new review requirements to enhance board oversight</w:t>
      </w:r>
      <w:r w:rsidR="00DB3B4D">
        <w:t xml:space="preserve"> of the remu</w:t>
      </w:r>
      <w:r w:rsidR="006A11D6">
        <w:t>n</w:t>
      </w:r>
      <w:r w:rsidR="00DB3B4D">
        <w:t>er</w:t>
      </w:r>
      <w:r w:rsidR="006A11D6">
        <w:t xml:space="preserve">ation framework. </w:t>
      </w:r>
      <w:r w:rsidR="004E22BF" w:rsidRPr="0003330D">
        <w:t xml:space="preserve"> </w:t>
      </w:r>
      <w:r w:rsidR="000B0435">
        <w:t>To meet APRA’s requirements</w:t>
      </w:r>
      <w:r w:rsidR="004E22BF" w:rsidRPr="0003330D">
        <w:t xml:space="preserve">, boards will </w:t>
      </w:r>
      <w:r w:rsidR="000B0435">
        <w:t xml:space="preserve">need to </w:t>
      </w:r>
      <w:r w:rsidR="004E22BF" w:rsidRPr="0003330D">
        <w:t>be more engaged on remuneration</w:t>
      </w:r>
      <w:r w:rsidR="000B0435">
        <w:t xml:space="preserve"> decisions and outcomes</w:t>
      </w:r>
      <w:r w:rsidR="004E22BF" w:rsidRPr="0003330D">
        <w:t>.</w:t>
      </w:r>
    </w:p>
    <w:p w14:paraId="6DBED49B" w14:textId="5D251FD3" w:rsidR="00194D2A" w:rsidRDefault="00FF4D07" w:rsidP="00194D2A">
      <w:r>
        <w:rPr>
          <w:b/>
        </w:rPr>
        <w:t>Non</w:t>
      </w:r>
      <w:r w:rsidR="00194D2A" w:rsidRPr="00194D2A">
        <w:rPr>
          <w:b/>
        </w:rPr>
        <w:t>-financial measures</w:t>
      </w:r>
      <w:r w:rsidR="00194D2A">
        <w:t xml:space="preserve">: </w:t>
      </w:r>
      <w:r w:rsidR="00E34CE3">
        <w:t>SFI b</w:t>
      </w:r>
      <w:r w:rsidR="009770BD">
        <w:t>o</w:t>
      </w:r>
      <w:r w:rsidR="00032687">
        <w:t>ard</w:t>
      </w:r>
      <w:r w:rsidR="00F84B27">
        <w:t>s</w:t>
      </w:r>
      <w:r w:rsidR="00032687">
        <w:t xml:space="preserve"> will </w:t>
      </w:r>
      <w:r w:rsidR="00F84B27">
        <w:t>be</w:t>
      </w:r>
      <w:r w:rsidR="00032687">
        <w:t xml:space="preserve"> </w:t>
      </w:r>
      <w:r w:rsidR="00F84B27">
        <w:t>r</w:t>
      </w:r>
      <w:r w:rsidR="00032687">
        <w:t>equ</w:t>
      </w:r>
      <w:r w:rsidR="00BC0674">
        <w:t>i</w:t>
      </w:r>
      <w:r w:rsidR="00032687">
        <w:t xml:space="preserve">red </w:t>
      </w:r>
      <w:r w:rsidR="00106E36">
        <w:t xml:space="preserve">to ensure incentives </w:t>
      </w:r>
      <w:r w:rsidR="00194D2A">
        <w:t xml:space="preserve">give </w:t>
      </w:r>
      <w:r w:rsidR="009C5E10">
        <w:t xml:space="preserve">material </w:t>
      </w:r>
      <w:r w:rsidR="00106E36">
        <w:t xml:space="preserve">weight </w:t>
      </w:r>
      <w:r w:rsidR="00194D2A">
        <w:t xml:space="preserve">to non-financial </w:t>
      </w:r>
      <w:r w:rsidR="00106E36">
        <w:t>measures</w:t>
      </w:r>
      <w:r w:rsidR="00EA7B75">
        <w:t xml:space="preserve"> </w:t>
      </w:r>
      <w:r w:rsidR="007973E7">
        <w:t>to</w:t>
      </w:r>
      <w:r w:rsidR="00194D2A">
        <w:t xml:space="preserve"> </w:t>
      </w:r>
      <w:r w:rsidR="00106E36">
        <w:t xml:space="preserve">encourage a more </w:t>
      </w:r>
      <w:r w:rsidR="00AA6242">
        <w:t xml:space="preserve">balanced </w:t>
      </w:r>
      <w:r w:rsidR="00106E36">
        <w:t>approach to risk management</w:t>
      </w:r>
      <w:r w:rsidR="007973E7">
        <w:t xml:space="preserve"> in the pursuit of financial performance</w:t>
      </w:r>
      <w:r w:rsidR="00194D2A">
        <w:t>.</w:t>
      </w:r>
      <w:r w:rsidR="009C5E10">
        <w:t xml:space="preserve"> </w:t>
      </w:r>
      <w:r w:rsidR="00D4248A">
        <w:t>Short-term and long-term incentive</w:t>
      </w:r>
      <w:r w:rsidR="00DD39E9">
        <w:t xml:space="preserve"> arrangements</w:t>
      </w:r>
      <w:r w:rsidR="00D4248A">
        <w:t xml:space="preserve"> that have predominantly relied on financial </w:t>
      </w:r>
      <w:r w:rsidR="005D4A2F">
        <w:t>objectives</w:t>
      </w:r>
      <w:r w:rsidR="00D4248A">
        <w:t xml:space="preserve"> must </w:t>
      </w:r>
      <w:r w:rsidR="00186143">
        <w:t xml:space="preserve">now </w:t>
      </w:r>
      <w:r w:rsidR="00DD39E9">
        <w:t>incorporate</w:t>
      </w:r>
      <w:r w:rsidR="005D4A2F">
        <w:t xml:space="preserve"> non-financial measures</w:t>
      </w:r>
      <w:r w:rsidR="00D4248A">
        <w:t xml:space="preserve">. </w:t>
      </w:r>
      <w:r w:rsidR="008B4A8A">
        <w:t xml:space="preserve">Of all the </w:t>
      </w:r>
      <w:r w:rsidR="00A177B3">
        <w:t xml:space="preserve">core </w:t>
      </w:r>
      <w:r w:rsidR="008B4A8A">
        <w:t>pr</w:t>
      </w:r>
      <w:r w:rsidR="00A177B3">
        <w:t>o</w:t>
      </w:r>
      <w:r w:rsidR="008B4A8A">
        <w:t>posals in revised CPS 511</w:t>
      </w:r>
      <w:r w:rsidR="00A177B3" w:rsidRPr="00A177B3">
        <w:t xml:space="preserve"> </w:t>
      </w:r>
      <w:r w:rsidR="00A177B3">
        <w:t>illustrated above</w:t>
      </w:r>
      <w:r w:rsidR="008B4A8A">
        <w:t>, t</w:t>
      </w:r>
      <w:r w:rsidR="00EA7B75">
        <w:t xml:space="preserve">his will represent </w:t>
      </w:r>
      <w:r w:rsidR="008B4A8A">
        <w:t xml:space="preserve">the greatest </w:t>
      </w:r>
      <w:r w:rsidR="00EA7B75">
        <w:t xml:space="preserve">change from </w:t>
      </w:r>
      <w:r w:rsidR="00E30731">
        <w:t>current</w:t>
      </w:r>
      <w:r w:rsidR="006C3B5E">
        <w:t xml:space="preserve"> practices</w:t>
      </w:r>
      <w:r w:rsidR="00EA7B75">
        <w:t>.</w:t>
      </w:r>
      <w:r w:rsidR="00B97174">
        <w:t xml:space="preserve"> </w:t>
      </w:r>
      <w:r w:rsidR="00A177B3">
        <w:t xml:space="preserve">While </w:t>
      </w:r>
      <w:r w:rsidR="00B97174">
        <w:t xml:space="preserve">APRA </w:t>
      </w:r>
      <w:r w:rsidR="000B0435">
        <w:t>will</w:t>
      </w:r>
      <w:r w:rsidR="00B97174" w:rsidDel="002D09B4">
        <w:t xml:space="preserve"> </w:t>
      </w:r>
      <w:r w:rsidR="002D09B4">
        <w:t xml:space="preserve">require </w:t>
      </w:r>
      <w:r w:rsidR="006C3B5E">
        <w:t xml:space="preserve">these </w:t>
      </w:r>
      <w:r w:rsidR="00B97174">
        <w:t>design principles</w:t>
      </w:r>
      <w:r w:rsidR="00A177B3">
        <w:t xml:space="preserve">, </w:t>
      </w:r>
      <w:r w:rsidR="00B97174">
        <w:t xml:space="preserve">entities </w:t>
      </w:r>
      <w:r w:rsidR="00A177B3">
        <w:t xml:space="preserve">will have </w:t>
      </w:r>
      <w:r w:rsidR="008B62D3">
        <w:t xml:space="preserve">the </w:t>
      </w:r>
      <w:r w:rsidR="00B97174">
        <w:t xml:space="preserve">flexibility </w:t>
      </w:r>
      <w:r w:rsidR="00020B15">
        <w:t>to</w:t>
      </w:r>
      <w:r w:rsidR="00B97174">
        <w:t xml:space="preserve"> design </w:t>
      </w:r>
      <w:r w:rsidR="00A177B3">
        <w:t>incentives</w:t>
      </w:r>
      <w:r w:rsidR="00B97174">
        <w:t xml:space="preserve"> to align with their business strategies. </w:t>
      </w:r>
    </w:p>
    <w:p w14:paraId="4CEF40AF" w14:textId="2D7F1F69" w:rsidR="00194D2A" w:rsidRDefault="00106E36" w:rsidP="00194D2A">
      <w:r>
        <w:rPr>
          <w:b/>
        </w:rPr>
        <w:lastRenderedPageBreak/>
        <w:t>Risk adjustment</w:t>
      </w:r>
      <w:r w:rsidR="00194D2A">
        <w:t>:</w:t>
      </w:r>
      <w:r w:rsidR="00E23991" w:rsidDel="00EA7B75">
        <w:t xml:space="preserve"> </w:t>
      </w:r>
      <w:r w:rsidR="0027709F">
        <w:t>E</w:t>
      </w:r>
      <w:r w:rsidR="00693F5D">
        <w:t xml:space="preserve">ntities will be </w:t>
      </w:r>
      <w:r w:rsidR="00EA7B75">
        <w:t>require</w:t>
      </w:r>
      <w:r w:rsidR="00693F5D">
        <w:t>d</w:t>
      </w:r>
      <w:r w:rsidR="00EA7B75">
        <w:t xml:space="preserve"> </w:t>
      </w:r>
      <w:r w:rsidR="00693F5D">
        <w:t xml:space="preserve">to </w:t>
      </w:r>
      <w:r w:rsidR="00DF5416">
        <w:t>have a process</w:t>
      </w:r>
      <w:r w:rsidR="00EA7B75">
        <w:t xml:space="preserve"> </w:t>
      </w:r>
      <w:r w:rsidR="00693F5D">
        <w:t xml:space="preserve">to </w:t>
      </w:r>
      <w:r w:rsidR="00DD291E">
        <w:t>adjust</w:t>
      </w:r>
      <w:r w:rsidR="00693F5D">
        <w:t xml:space="preserve"> remuneration outcomes of individuals</w:t>
      </w:r>
      <w:r w:rsidR="00194D2A">
        <w:t xml:space="preserve">, to zero if appropriate, where </w:t>
      </w:r>
      <w:r w:rsidR="003009C5">
        <w:t>they</w:t>
      </w:r>
      <w:r w:rsidR="00194D2A">
        <w:t xml:space="preserve"> are found to be responsible for risk and conduct incidents</w:t>
      </w:r>
      <w:r w:rsidR="00194D2A" w:rsidRPr="0003330D">
        <w:t xml:space="preserve">. </w:t>
      </w:r>
      <w:r w:rsidR="003365FC">
        <w:t>E</w:t>
      </w:r>
      <w:r w:rsidR="00194D2A">
        <w:t xml:space="preserve">xisting practices, typically </w:t>
      </w:r>
      <w:r w:rsidR="00DD39E9">
        <w:t xml:space="preserve">implemented </w:t>
      </w:r>
      <w:r w:rsidR="00194D2A">
        <w:t xml:space="preserve">through modifiers, </w:t>
      </w:r>
      <w:r w:rsidR="00EA7B75">
        <w:t xml:space="preserve">will need to </w:t>
      </w:r>
      <w:r w:rsidR="00194D2A">
        <w:t>be tightened to ensure effective and consistent application.</w:t>
      </w:r>
      <w:r w:rsidR="00693F5D" w:rsidRPr="00693F5D" w:rsidDel="00EA7B75">
        <w:t xml:space="preserve"> </w:t>
      </w:r>
      <w:r w:rsidR="00641562">
        <w:t xml:space="preserve">This will ensure that entities </w:t>
      </w:r>
      <w:r w:rsidR="0027709F">
        <w:t>no longer</w:t>
      </w:r>
      <w:r w:rsidR="00641562">
        <w:t xml:space="preserve"> reward</w:t>
      </w:r>
      <w:r w:rsidR="00693F5D" w:rsidRPr="00BC0674" w:rsidDel="00EA7B75">
        <w:t xml:space="preserve"> executives for financial performance, </w:t>
      </w:r>
      <w:r w:rsidR="00641562">
        <w:t>if there are</w:t>
      </w:r>
      <w:r w:rsidR="00693F5D" w:rsidRPr="00BC0674" w:rsidDel="00EA7B75">
        <w:t xml:space="preserve"> </w:t>
      </w:r>
      <w:r w:rsidR="00641562">
        <w:t xml:space="preserve">significant </w:t>
      </w:r>
      <w:r w:rsidR="00693F5D" w:rsidRPr="00BC0674" w:rsidDel="00EA7B75">
        <w:t xml:space="preserve">failings in </w:t>
      </w:r>
      <w:r w:rsidR="00641562">
        <w:t xml:space="preserve">non-financial </w:t>
      </w:r>
      <w:r w:rsidR="00693F5D" w:rsidDel="00EA7B75">
        <w:t>risk management</w:t>
      </w:r>
      <w:r w:rsidR="006C3B5E">
        <w:t>.</w:t>
      </w:r>
    </w:p>
    <w:p w14:paraId="11915584" w14:textId="783FCEC3" w:rsidR="00EA396B" w:rsidRPr="005127B7" w:rsidRDefault="00E117E8" w:rsidP="00641562">
      <w:pPr>
        <w:rPr>
          <w:color w:val="auto"/>
        </w:rPr>
      </w:pPr>
      <w:r w:rsidRPr="00641562">
        <w:rPr>
          <w:b/>
        </w:rPr>
        <w:t>D</w:t>
      </w:r>
      <w:r w:rsidR="00194D2A" w:rsidRPr="00641562">
        <w:rPr>
          <w:b/>
        </w:rPr>
        <w:t>eferral</w:t>
      </w:r>
      <w:r w:rsidRPr="00641562">
        <w:t>:</w:t>
      </w:r>
      <w:r w:rsidR="00261D19" w:rsidRPr="00641562">
        <w:t xml:space="preserve"> </w:t>
      </w:r>
      <w:r w:rsidR="00B061A5" w:rsidRPr="00641562">
        <w:t>SFI b</w:t>
      </w:r>
      <w:r w:rsidR="00F3451A" w:rsidRPr="00641562">
        <w:t>oards across all industries will be required to lengthen minimum four-year deferral period</w:t>
      </w:r>
      <w:r w:rsidR="00DA3F51" w:rsidRPr="00641562">
        <w:t>s</w:t>
      </w:r>
      <w:r w:rsidR="00F3451A" w:rsidRPr="00641562">
        <w:t xml:space="preserve"> set by the </w:t>
      </w:r>
      <w:r w:rsidR="003F4ADD">
        <w:t>Banking Executive Accountability Regime (</w:t>
      </w:r>
      <w:r w:rsidR="00F3451A" w:rsidRPr="00641562">
        <w:t>BEAR</w:t>
      </w:r>
      <w:r w:rsidR="003F4ADD">
        <w:t>)</w:t>
      </w:r>
      <w:r w:rsidR="00F3451A" w:rsidRPr="00641562">
        <w:t xml:space="preserve"> and proposed under the Government’s Financial Accountability Regime (FAR). </w:t>
      </w:r>
      <w:r w:rsidR="001645F2" w:rsidDel="00E65A00">
        <w:t xml:space="preserve"> </w:t>
      </w:r>
      <w:r w:rsidR="00E65A00">
        <w:t xml:space="preserve">In line with </w:t>
      </w:r>
      <w:r w:rsidR="008951D8">
        <w:t>Financial Stability Board (</w:t>
      </w:r>
      <w:r w:rsidR="00E65A00">
        <w:t>FSB</w:t>
      </w:r>
      <w:r w:rsidR="008951D8">
        <w:t>)’s</w:t>
      </w:r>
      <w:r w:rsidR="008951D8" w:rsidRPr="008951D8">
        <w:rPr>
          <w:i/>
        </w:rPr>
        <w:t xml:space="preserve"> </w:t>
      </w:r>
      <w:r w:rsidR="008951D8" w:rsidRPr="008859B2">
        <w:rPr>
          <w:i/>
        </w:rPr>
        <w:t>Principles of Sound Compensation Practices</w:t>
      </w:r>
      <w:r w:rsidR="00E65A00">
        <w:t xml:space="preserve">, the longer deferral periods </w:t>
      </w:r>
      <w:r w:rsidR="001645F2">
        <w:t xml:space="preserve">will </w:t>
      </w:r>
      <w:r w:rsidR="00C1268B">
        <w:t>strengthen</w:t>
      </w:r>
      <w:r w:rsidR="000D62B5">
        <w:t xml:space="preserve"> incentive</w:t>
      </w:r>
      <w:r w:rsidR="00C1268B">
        <w:t>s</w:t>
      </w:r>
      <w:r w:rsidR="000D62B5">
        <w:t xml:space="preserve"> to focus on the long-term</w:t>
      </w:r>
      <w:r w:rsidR="00C1268B">
        <w:t>,</w:t>
      </w:r>
      <w:r w:rsidR="001645F2">
        <w:t xml:space="preserve"> and </w:t>
      </w:r>
      <w:r w:rsidR="000D62B5">
        <w:t>pro-rata vesting will allow</w:t>
      </w:r>
      <w:r w:rsidR="001645F2" w:rsidRPr="00641562">
        <w:t xml:space="preserve"> for </w:t>
      </w:r>
      <w:r w:rsidR="000D62B5">
        <w:t>a gradual distribution</w:t>
      </w:r>
      <w:r w:rsidR="00E65A00">
        <w:t xml:space="preserve"> </w:t>
      </w:r>
      <w:r w:rsidR="000D62B5">
        <w:t>of payments</w:t>
      </w:r>
      <w:r w:rsidR="001645F2">
        <w:t>.</w:t>
      </w:r>
      <w:r w:rsidR="00086997">
        <w:t xml:space="preserve"> </w:t>
      </w:r>
      <w:r w:rsidR="00F3451A" w:rsidRPr="00641562">
        <w:t xml:space="preserve">The revised deferral periods are 6 years for a </w:t>
      </w:r>
      <w:r w:rsidR="003F4ADD">
        <w:t>Chief Executive Officer (</w:t>
      </w:r>
      <w:r w:rsidR="00F3451A" w:rsidRPr="00641562">
        <w:t>CEO</w:t>
      </w:r>
      <w:r w:rsidR="003F4ADD">
        <w:t>)</w:t>
      </w:r>
      <w:r w:rsidR="00F3451A" w:rsidRPr="00641562">
        <w:t>, 5 years for a senior manager and executive director and 4 years for a highly-paid material risk-taker</w:t>
      </w:r>
      <w:r w:rsidR="003F4ADD">
        <w:t xml:space="preserve"> (HPMRT)</w:t>
      </w:r>
      <w:r w:rsidR="00F3451A" w:rsidRPr="00641562">
        <w:t xml:space="preserve">. </w:t>
      </w:r>
      <w:r w:rsidR="00A84395" w:rsidRPr="00641562">
        <w:t>P</w:t>
      </w:r>
      <w:r w:rsidR="00F3451A" w:rsidRPr="00641562">
        <w:t>ro-rata vesting</w:t>
      </w:r>
      <w:r w:rsidR="00F3451A" w:rsidRPr="00641562" w:rsidDel="00023B16">
        <w:t xml:space="preserve"> </w:t>
      </w:r>
      <w:r w:rsidR="00023B16">
        <w:t>allows</w:t>
      </w:r>
      <w:r w:rsidR="00023B16" w:rsidRPr="00641562">
        <w:t xml:space="preserve"> </w:t>
      </w:r>
      <w:r w:rsidR="00F3451A" w:rsidRPr="00641562">
        <w:t xml:space="preserve">the payment of deferred </w:t>
      </w:r>
      <w:r w:rsidR="00A84395" w:rsidRPr="00641562">
        <w:t>amounts</w:t>
      </w:r>
      <w:r w:rsidR="00F3451A" w:rsidRPr="00641562">
        <w:t xml:space="preserve"> to commence </w:t>
      </w:r>
      <w:r w:rsidR="00E3624F" w:rsidRPr="00641562">
        <w:t>from</w:t>
      </w:r>
      <w:r w:rsidR="00F3451A" w:rsidRPr="00641562">
        <w:t xml:space="preserve"> year 4 for a CEO, senior manager and executive director and </w:t>
      </w:r>
      <w:r w:rsidR="00E3624F" w:rsidRPr="00641562">
        <w:t>from</w:t>
      </w:r>
      <w:r w:rsidR="00F3451A" w:rsidRPr="00641562">
        <w:t xml:space="preserve"> year 2 for a HPMRT. </w:t>
      </w:r>
    </w:p>
    <w:p w14:paraId="0F8A5790" w14:textId="31E80989" w:rsidR="00590AC6" w:rsidRPr="00D1450D" w:rsidRDefault="00590AC6" w:rsidP="00194D2A">
      <w:pPr>
        <w:rPr>
          <w:b/>
        </w:rPr>
      </w:pPr>
      <w:r w:rsidRPr="00D1450D">
        <w:rPr>
          <w:b/>
        </w:rPr>
        <w:t>Disclosure:</w:t>
      </w:r>
      <w:r>
        <w:rPr>
          <w:b/>
        </w:rPr>
        <w:t xml:space="preserve"> </w:t>
      </w:r>
      <w:r w:rsidR="00AF0548" w:rsidRPr="00C120E8">
        <w:t>Wit</w:t>
      </w:r>
      <w:r w:rsidR="00B71009">
        <w:t xml:space="preserve">h </w:t>
      </w:r>
      <w:r w:rsidR="007A2671">
        <w:t xml:space="preserve">the </w:t>
      </w:r>
      <w:r w:rsidR="00B71009" w:rsidDel="00BE03B6">
        <w:t>revised CPS 511</w:t>
      </w:r>
      <w:r w:rsidR="00BE03B6">
        <w:t xml:space="preserve"> </w:t>
      </w:r>
      <w:r w:rsidR="00A42EAD">
        <w:t>se</w:t>
      </w:r>
      <w:r w:rsidR="0003330D">
        <w:t>t</w:t>
      </w:r>
      <w:r w:rsidR="00A42EAD">
        <w:t>ting minimum standards that are principles-based</w:t>
      </w:r>
      <w:r w:rsidR="00BE03B6">
        <w:t xml:space="preserve">, </w:t>
      </w:r>
      <w:r w:rsidR="003A6B4F">
        <w:t xml:space="preserve">there is a </w:t>
      </w:r>
      <w:r w:rsidR="007A2671">
        <w:t xml:space="preserve">corresponding </w:t>
      </w:r>
      <w:r w:rsidR="003A6B4F">
        <w:t>need for greater transparency</w:t>
      </w:r>
      <w:r w:rsidR="00BE03B6">
        <w:t xml:space="preserve">. </w:t>
      </w:r>
      <w:r w:rsidR="003A6B4F">
        <w:t xml:space="preserve">To reinforce accountability, </w:t>
      </w:r>
      <w:r w:rsidR="00B71009">
        <w:t>APRA</w:t>
      </w:r>
      <w:r w:rsidR="00D247B5" w:rsidDel="007A2671">
        <w:t xml:space="preserve"> </w:t>
      </w:r>
      <w:r w:rsidR="007A2671">
        <w:t xml:space="preserve">proposes to </w:t>
      </w:r>
      <w:r w:rsidR="00D247B5">
        <w:t>require</w:t>
      </w:r>
      <w:r w:rsidR="00983E9E">
        <w:t xml:space="preserve"> </w:t>
      </w:r>
      <w:r w:rsidR="00B71009">
        <w:t xml:space="preserve">entities </w:t>
      </w:r>
      <w:r w:rsidR="00D247B5">
        <w:t xml:space="preserve">to </w:t>
      </w:r>
      <w:r w:rsidR="002133AE">
        <w:t xml:space="preserve">demonstrate </w:t>
      </w:r>
      <w:r w:rsidR="00BB75E2">
        <w:t xml:space="preserve">publicly </w:t>
      </w:r>
      <w:r w:rsidR="007733BB">
        <w:t xml:space="preserve">how they are satisfying the </w:t>
      </w:r>
      <w:r w:rsidR="00983E9E">
        <w:t>key</w:t>
      </w:r>
      <w:r w:rsidR="007733BB">
        <w:t xml:space="preserve"> principles in the standard. </w:t>
      </w:r>
      <w:r w:rsidR="00D247B5">
        <w:t xml:space="preserve">APRA </w:t>
      </w:r>
      <w:r w:rsidR="00983E9E">
        <w:t>plans to</w:t>
      </w:r>
      <w:r w:rsidR="00D247B5">
        <w:t xml:space="preserve"> enhance disclosure requirements </w:t>
      </w:r>
      <w:r w:rsidR="000F3EB8">
        <w:t xml:space="preserve">and is considering </w:t>
      </w:r>
      <w:r w:rsidR="008C50CB">
        <w:t>propos</w:t>
      </w:r>
      <w:r w:rsidR="000F3EB8">
        <w:t>als</w:t>
      </w:r>
      <w:r w:rsidR="008C50CB">
        <w:t xml:space="preserve"> that</w:t>
      </w:r>
      <w:r w:rsidR="0010249F">
        <w:t xml:space="preserve"> </w:t>
      </w:r>
      <w:r w:rsidR="00983E9E">
        <w:t>would</w:t>
      </w:r>
      <w:r w:rsidR="007733BB">
        <w:t xml:space="preserve"> </w:t>
      </w:r>
      <w:r w:rsidR="000F3EB8">
        <w:t xml:space="preserve">have entities </w:t>
      </w:r>
      <w:r w:rsidR="0010249F">
        <w:t xml:space="preserve">publish </w:t>
      </w:r>
      <w:r w:rsidR="00887A3B">
        <w:t xml:space="preserve">aggregated </w:t>
      </w:r>
      <w:r w:rsidR="00341AF1">
        <w:t xml:space="preserve">details of remuneration outcomes and </w:t>
      </w:r>
      <w:r w:rsidR="00404E85">
        <w:t>adjustments</w:t>
      </w:r>
      <w:r w:rsidR="00341AF1">
        <w:t xml:space="preserve"> </w:t>
      </w:r>
      <w:r w:rsidR="00C10C09">
        <w:t>for material risk incidents</w:t>
      </w:r>
      <w:r w:rsidR="00341AF1">
        <w:t xml:space="preserve">. </w:t>
      </w:r>
      <w:r w:rsidR="00631ACD" w:rsidRPr="0003330D" w:rsidDel="003A6B4F">
        <w:t>These are inten</w:t>
      </w:r>
      <w:r w:rsidR="005161A1" w:rsidRPr="0003330D" w:rsidDel="003A6B4F">
        <w:t>d</w:t>
      </w:r>
      <w:r w:rsidR="00631ACD" w:rsidRPr="0003330D" w:rsidDel="003A6B4F">
        <w:t xml:space="preserve">ed to </w:t>
      </w:r>
      <w:r w:rsidR="00CD5EAA" w:rsidRPr="0003330D" w:rsidDel="003A6B4F">
        <w:t xml:space="preserve">complement </w:t>
      </w:r>
      <w:r w:rsidR="00631ACD" w:rsidRPr="0003330D" w:rsidDel="003A6B4F">
        <w:rPr>
          <w:i/>
        </w:rPr>
        <w:t>Corporations Act 2001</w:t>
      </w:r>
      <w:r w:rsidR="00631ACD" w:rsidRPr="0003330D" w:rsidDel="003A6B4F">
        <w:t xml:space="preserve"> requirements</w:t>
      </w:r>
      <w:r w:rsidR="00CD5EAA" w:rsidDel="003A6B4F">
        <w:t>.</w:t>
      </w:r>
      <w:r w:rsidR="00482173" w:rsidDel="003A6B4F">
        <w:t xml:space="preserve"> </w:t>
      </w:r>
      <w:r w:rsidR="005161A1">
        <w:t>C</w:t>
      </w:r>
      <w:r w:rsidR="00C12415">
        <w:t xml:space="preserve">onsultation on </w:t>
      </w:r>
      <w:r w:rsidR="00C12415" w:rsidRPr="00580AB0">
        <w:t>disclosure</w:t>
      </w:r>
      <w:r w:rsidR="00C12415">
        <w:t xml:space="preserve"> proposals will commence </w:t>
      </w:r>
      <w:r w:rsidR="00C017D6">
        <w:t>in 2021</w:t>
      </w:r>
      <w:r w:rsidR="00C12415">
        <w:t>.</w:t>
      </w:r>
    </w:p>
    <w:p w14:paraId="494DE20A" w14:textId="2DC2AA5B" w:rsidR="00194D2A" w:rsidRDefault="00D34B17" w:rsidP="00194D2A">
      <w:r>
        <w:t>The</w:t>
      </w:r>
      <w:r w:rsidR="00ED53C7">
        <w:t xml:space="preserve">se core </w:t>
      </w:r>
      <w:r>
        <w:t xml:space="preserve">elements of revised CPS 511 </w:t>
      </w:r>
      <w:r w:rsidR="00ED53C7">
        <w:t>are</w:t>
      </w:r>
      <w:r w:rsidR="00E34CE3">
        <w:t xml:space="preserve"> </w:t>
      </w:r>
      <w:r>
        <w:t>mutually reinforc</w:t>
      </w:r>
      <w:r w:rsidR="00ED53C7">
        <w:t xml:space="preserve">ing. Stronger incentives to manage non-financial risks </w:t>
      </w:r>
      <w:r w:rsidR="00BB75E2">
        <w:t xml:space="preserve">proactively </w:t>
      </w:r>
      <w:r w:rsidR="00ED53C7">
        <w:t>are only effective if there are appropriate consequences where risks have not been prudently managed. Boards need to be more engaged in aligning incentives and ensuring appropriate remuneration outcomes</w:t>
      </w:r>
      <w:r w:rsidR="002B0144">
        <w:t>, and need to demonstrate this publicly</w:t>
      </w:r>
      <w:r w:rsidR="00ED53C7">
        <w:t xml:space="preserve">. </w:t>
      </w:r>
      <w:r w:rsidDel="00ED53C7">
        <w:t xml:space="preserve"> </w:t>
      </w:r>
    </w:p>
    <w:p w14:paraId="65B4A32F" w14:textId="77777777" w:rsidR="007A2671" w:rsidRDefault="007A2671" w:rsidP="007A2671">
      <w:pPr>
        <w:pStyle w:val="Heading5"/>
      </w:pPr>
      <w:r>
        <w:t>Implementation timetable</w:t>
      </w:r>
    </w:p>
    <w:p w14:paraId="4BE57259" w14:textId="7A3CB697" w:rsidR="00194D2A" w:rsidDel="00E52379" w:rsidRDefault="00203EDF" w:rsidP="00194D2A">
      <w:r>
        <w:t>To provide</w:t>
      </w:r>
      <w:r w:rsidR="00BB227E">
        <w:t xml:space="preserve"> </w:t>
      </w:r>
      <w:r>
        <w:t xml:space="preserve">entities </w:t>
      </w:r>
      <w:r w:rsidR="00AC7EB1">
        <w:t xml:space="preserve">with </w:t>
      </w:r>
      <w:r>
        <w:t xml:space="preserve">additional </w:t>
      </w:r>
      <w:r w:rsidR="00BB227E">
        <w:t>time to transition to the new requirements</w:t>
      </w:r>
      <w:r>
        <w:t>, a</w:t>
      </w:r>
      <w:r w:rsidDel="00E52379">
        <w:t xml:space="preserve"> phased implementation of the final standard is proposed</w:t>
      </w:r>
      <w:r w:rsidR="00BB227E">
        <w:t>.</w:t>
      </w:r>
      <w:r w:rsidR="00B61C4F" w:rsidDel="00E52379">
        <w:t xml:space="preserve"> </w:t>
      </w:r>
      <w:r w:rsidR="00AC7EB1">
        <w:t>Larger and more complex entities will be expected to comply with the new requirements in</w:t>
      </w:r>
      <w:r w:rsidR="00194D2A" w:rsidDel="00E52379">
        <w:t xml:space="preserve"> 2023, </w:t>
      </w:r>
      <w:r w:rsidR="00AC7EB1">
        <w:t xml:space="preserve">while smaller entities (non-SFIs) will not need to </w:t>
      </w:r>
      <w:r w:rsidR="0027709F">
        <w:t>comply until</w:t>
      </w:r>
      <w:r w:rsidR="00AC7EB1">
        <w:t xml:space="preserve"> </w:t>
      </w:r>
      <w:r w:rsidR="00194D2A" w:rsidDel="00E52379">
        <w:t xml:space="preserve">2024. </w:t>
      </w:r>
    </w:p>
    <w:p w14:paraId="3C609C92" w14:textId="0387992F" w:rsidR="00194D2A" w:rsidRDefault="00194D2A" w:rsidP="00194D2A">
      <w:r w:rsidRPr="00B1312C">
        <w:lastRenderedPageBreak/>
        <w:t xml:space="preserve">APRA intends to finalise CPS 511 in </w:t>
      </w:r>
      <w:r w:rsidR="00DD39E9" w:rsidRPr="00B1312C">
        <w:t>the second quarter</w:t>
      </w:r>
      <w:r w:rsidRPr="00B1312C">
        <w:t xml:space="preserve"> of 2021. APRA requests industry feedback on revised CPS 511</w:t>
      </w:r>
      <w:r>
        <w:t>, giving focus to the revised proposal to limit financial performance measures, with a three-month consultation perio</w:t>
      </w:r>
      <w:r w:rsidR="00A957BB">
        <w:t xml:space="preserve">d ending on </w:t>
      </w:r>
      <w:r w:rsidR="00A2676C">
        <w:t>12</w:t>
      </w:r>
      <w:r w:rsidR="00A957BB">
        <w:t xml:space="preserve"> February 2021.</w:t>
      </w:r>
    </w:p>
    <w:p w14:paraId="61635784" w14:textId="77777777" w:rsidR="00DD3FB9" w:rsidRDefault="00F52005" w:rsidP="00C567F9">
      <w:r>
        <w:t>APRA will also consult on</w:t>
      </w:r>
      <w:r w:rsidR="00A60BF1">
        <w:t xml:space="preserve"> a new prudential practice guide in </w:t>
      </w:r>
      <w:r>
        <w:t xml:space="preserve">early </w:t>
      </w:r>
      <w:r w:rsidR="00A60BF1">
        <w:t>2021 and commence consultation on draft reporting and disclosure requirements by the fourth quarter of 2021</w:t>
      </w:r>
      <w:r>
        <w:t xml:space="preserve">. </w:t>
      </w:r>
      <w:r w:rsidR="00DD3FB9">
        <w:t>As previously foreshadowed, a review of the effectiveness of CPS 511 is intended four years from its effective date to ensure the standard is delivering on intent.</w:t>
      </w:r>
    </w:p>
    <w:p w14:paraId="3B2151EC" w14:textId="581D752C" w:rsidR="008E5E6B" w:rsidRDefault="00004CB2" w:rsidP="00C567F9">
      <w:r w:rsidRPr="00004CB2">
        <w:rPr>
          <w:rFonts w:cs="Arial"/>
        </w:rPr>
        <w:t xml:space="preserve">In </w:t>
      </w:r>
      <w:r w:rsidR="009D1765">
        <w:rPr>
          <w:rFonts w:cs="Arial"/>
        </w:rPr>
        <w:t>revising</w:t>
      </w:r>
      <w:r w:rsidR="009D1765" w:rsidRPr="00004CB2">
        <w:rPr>
          <w:rFonts w:cs="Arial"/>
        </w:rPr>
        <w:t xml:space="preserve"> </w:t>
      </w:r>
      <w:r w:rsidRPr="00004CB2">
        <w:rPr>
          <w:rFonts w:cs="Arial"/>
        </w:rPr>
        <w:t xml:space="preserve">CPS 511, APRA has collaborated with the Australian Securities and Investment Commission (ASIC). </w:t>
      </w:r>
      <w:r w:rsidR="00194D2A">
        <w:t xml:space="preserve">The findings of ASIC’s </w:t>
      </w:r>
      <w:r>
        <w:t xml:space="preserve">corporate governance reviews reinforce the need for reform </w:t>
      </w:r>
      <w:r w:rsidR="00833B15">
        <w:t xml:space="preserve">and </w:t>
      </w:r>
      <w:r w:rsidRPr="00004CB2">
        <w:t xml:space="preserve">many key </w:t>
      </w:r>
      <w:r w:rsidR="00C01B7E">
        <w:t>CPS 511</w:t>
      </w:r>
      <w:r w:rsidRPr="00004CB2">
        <w:t xml:space="preserve"> requirements align with ASIC’s findings.</w:t>
      </w:r>
      <w:r w:rsidR="00274F43">
        <w:t xml:space="preserve"> </w:t>
      </w:r>
      <w:r w:rsidR="006606DB">
        <w:t>W</w:t>
      </w:r>
      <w:r w:rsidRPr="006606DB">
        <w:t>ith</w:t>
      </w:r>
      <w:r w:rsidRPr="006606DB" w:rsidDel="007A2671">
        <w:t xml:space="preserve"> </w:t>
      </w:r>
      <w:r w:rsidR="007A2671" w:rsidRPr="006606DB">
        <w:t xml:space="preserve">respect to the </w:t>
      </w:r>
      <w:r w:rsidRPr="006606DB">
        <w:t>FAR</w:t>
      </w:r>
      <w:r w:rsidR="007A2671" w:rsidRPr="006606DB">
        <w:t>,</w:t>
      </w:r>
      <w:r w:rsidRPr="006606DB">
        <w:t xml:space="preserve"> </w:t>
      </w:r>
      <w:r w:rsidR="006606DB" w:rsidRPr="006606DB">
        <w:t>APRA is continuing to work closely with the Treasury to ensure there is appropriate alignment with CPS 511 and to support an entity’s implementation of both.</w:t>
      </w:r>
    </w:p>
    <w:p w14:paraId="18D4CC6E" w14:textId="77777777" w:rsidR="006D6037" w:rsidRDefault="006D6037" w:rsidP="00275727">
      <w:pPr>
        <w:pStyle w:val="Heading2Numbers"/>
        <w:tabs>
          <w:tab w:val="clear" w:pos="2268"/>
          <w:tab w:val="left" w:pos="7401"/>
        </w:tabs>
      </w:pPr>
      <w:r>
        <w:t>Structure of this paper</w:t>
      </w:r>
      <w:r w:rsidR="008245CC">
        <w:tab/>
      </w:r>
    </w:p>
    <w:p w14:paraId="36B35CBF" w14:textId="77777777" w:rsidR="006D6037" w:rsidRDefault="006D6037" w:rsidP="00194D2A">
      <w:r>
        <w:t xml:space="preserve">The introductory chapter of this paper provides </w:t>
      </w:r>
      <w:r w:rsidR="008144FC">
        <w:t>a summary of the proposals in</w:t>
      </w:r>
      <w:r w:rsidR="005C68E3">
        <w:rPr>
          <w:color w:val="auto"/>
        </w:rPr>
        <w:t xml:space="preserve"> </w:t>
      </w:r>
      <w:r>
        <w:rPr>
          <w:color w:val="auto"/>
        </w:rPr>
        <w:t>revised CPS 511. When referring to later chapters:</w:t>
      </w:r>
    </w:p>
    <w:p w14:paraId="19F9DB7D" w14:textId="77777777" w:rsidR="006D6037" w:rsidRPr="009B4B68" w:rsidRDefault="006D6037" w:rsidP="009B4B68">
      <w:pPr>
        <w:pStyle w:val="ListBullet"/>
        <w:numPr>
          <w:ilvl w:val="0"/>
          <w:numId w:val="5"/>
        </w:numPr>
      </w:pPr>
      <w:r w:rsidRPr="009B4B68">
        <w:t xml:space="preserve">Chapter 1 to chapter </w:t>
      </w:r>
      <w:r w:rsidR="008144FC" w:rsidRPr="009B4B68">
        <w:t>7</w:t>
      </w:r>
      <w:r w:rsidRPr="009B4B68">
        <w:t xml:space="preserve"> outline the technical feedback from industry, and how APRA has responded in revised CPS 511;</w:t>
      </w:r>
    </w:p>
    <w:p w14:paraId="2166048F" w14:textId="77777777" w:rsidR="006D6037" w:rsidRPr="009B4B68" w:rsidRDefault="006D6037" w:rsidP="009B4B68">
      <w:pPr>
        <w:pStyle w:val="ListBullet"/>
        <w:numPr>
          <w:ilvl w:val="0"/>
          <w:numId w:val="5"/>
        </w:numPr>
      </w:pPr>
      <w:r w:rsidRPr="009B4B68">
        <w:t xml:space="preserve">Chapter </w:t>
      </w:r>
      <w:r w:rsidR="008144FC" w:rsidRPr="009B4B68">
        <w:t>8</w:t>
      </w:r>
      <w:r w:rsidRPr="009B4B68">
        <w:t xml:space="preserve"> outlines APRA’s proposal for greater proportionality in revised CPS 511</w:t>
      </w:r>
      <w:r w:rsidR="00626D1E" w:rsidRPr="009B4B68">
        <w:t xml:space="preserve">, which </w:t>
      </w:r>
      <w:r w:rsidR="00685FDA" w:rsidRPr="009B4B68">
        <w:t xml:space="preserve">will </w:t>
      </w:r>
      <w:r w:rsidR="00626D1E" w:rsidRPr="009B4B68">
        <w:t>be</w:t>
      </w:r>
      <w:r w:rsidR="00685FDA" w:rsidRPr="009B4B68">
        <w:t xml:space="preserve"> relevant to smaller entities as it gives clarity on the </w:t>
      </w:r>
      <w:r w:rsidR="008144FC" w:rsidRPr="009B4B68">
        <w:t xml:space="preserve">reduced </w:t>
      </w:r>
      <w:r w:rsidR="00685FDA" w:rsidRPr="009B4B68">
        <w:t>requireme</w:t>
      </w:r>
      <w:r w:rsidR="00626D1E" w:rsidRPr="009B4B68">
        <w:t>nts</w:t>
      </w:r>
      <w:r w:rsidR="00685FDA" w:rsidRPr="009B4B68">
        <w:t xml:space="preserve"> </w:t>
      </w:r>
      <w:r w:rsidR="00626D1E" w:rsidRPr="009B4B68">
        <w:t>being imposed</w:t>
      </w:r>
      <w:r w:rsidRPr="009B4B68">
        <w:t>;</w:t>
      </w:r>
    </w:p>
    <w:p w14:paraId="61C993A0" w14:textId="77777777" w:rsidR="006D6037" w:rsidRPr="009B4B68" w:rsidRDefault="006D6037" w:rsidP="009B4B68">
      <w:pPr>
        <w:pStyle w:val="ListBullet"/>
        <w:numPr>
          <w:ilvl w:val="0"/>
          <w:numId w:val="5"/>
        </w:numPr>
      </w:pPr>
      <w:r w:rsidRPr="009B4B68">
        <w:t xml:space="preserve">Chapter </w:t>
      </w:r>
      <w:r w:rsidR="008144FC" w:rsidRPr="009B4B68">
        <w:t>9</w:t>
      </w:r>
      <w:r w:rsidRPr="009B4B68">
        <w:t xml:space="preserve"> sets out APRA’s approach for a phased implementation of CPS 511;</w:t>
      </w:r>
      <w:r w:rsidR="001766D1" w:rsidRPr="009B4B68">
        <w:t xml:space="preserve"> and</w:t>
      </w:r>
    </w:p>
    <w:p w14:paraId="0D314B60" w14:textId="77777777" w:rsidR="006D6037" w:rsidRPr="00C567F9" w:rsidRDefault="006D6037" w:rsidP="009B4B68">
      <w:pPr>
        <w:pStyle w:val="ListBullet"/>
        <w:numPr>
          <w:ilvl w:val="0"/>
          <w:numId w:val="5"/>
        </w:numPr>
      </w:pPr>
      <w:r w:rsidRPr="009B4B68">
        <w:t xml:space="preserve">Chapter </w:t>
      </w:r>
      <w:r w:rsidR="008144FC" w:rsidRPr="009B4B68">
        <w:t>10</w:t>
      </w:r>
      <w:r w:rsidRPr="009B4B68">
        <w:t xml:space="preserve"> provides initial ideas on disclosure proposals.</w:t>
      </w:r>
    </w:p>
    <w:p w14:paraId="37256B15" w14:textId="6386C284" w:rsidR="00AC1C12" w:rsidRDefault="00AC1C12" w:rsidP="00AC1C12">
      <w:pPr>
        <w:pStyle w:val="Heading1"/>
      </w:pPr>
      <w:bookmarkStart w:id="6" w:name="_Toc26804333"/>
      <w:bookmarkStart w:id="7" w:name="_Toc30172109"/>
      <w:bookmarkStart w:id="8" w:name="_Toc53000770"/>
      <w:bookmarkStart w:id="9" w:name="_Toc55850352"/>
      <w:r>
        <w:lastRenderedPageBreak/>
        <w:t>Glossary</w:t>
      </w:r>
      <w:bookmarkEnd w:id="6"/>
      <w:bookmarkEnd w:id="7"/>
      <w:bookmarkEnd w:id="8"/>
      <w:bookmarkEnd w:id="9"/>
    </w:p>
    <w:tbl>
      <w:tblPr>
        <w:tblStyle w:val="TableOption2"/>
        <w:tblW w:w="0" w:type="auto"/>
        <w:tblLook w:val="0480" w:firstRow="0" w:lastRow="0" w:firstColumn="1" w:lastColumn="0" w:noHBand="0" w:noVBand="1"/>
      </w:tblPr>
      <w:tblGrid>
        <w:gridCol w:w="1501"/>
        <w:gridCol w:w="7525"/>
      </w:tblGrid>
      <w:tr w:rsidR="001A73B5" w14:paraId="62371129" w14:textId="77777777" w:rsidTr="0076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189C9DD" w14:textId="77777777" w:rsidR="001A73B5" w:rsidRPr="001A73B5" w:rsidRDefault="001A73B5" w:rsidP="001A73B5">
            <w:pPr>
              <w:rPr>
                <w:b/>
              </w:rPr>
            </w:pPr>
            <w:r w:rsidRPr="001A73B5">
              <w:rPr>
                <w:b/>
              </w:rPr>
              <w:t xml:space="preserve">ADI </w:t>
            </w:r>
          </w:p>
        </w:tc>
        <w:tc>
          <w:tcPr>
            <w:tcW w:w="0" w:type="dxa"/>
          </w:tcPr>
          <w:p w14:paraId="0E11F6D5" w14:textId="77777777" w:rsidR="001A73B5" w:rsidRDefault="001A73B5" w:rsidP="001A73B5">
            <w:pPr>
              <w:cnfStyle w:val="000000100000" w:firstRow="0" w:lastRow="0" w:firstColumn="0" w:lastColumn="0" w:oddVBand="0" w:evenVBand="0" w:oddHBand="1" w:evenHBand="0" w:firstRowFirstColumn="0" w:firstRowLastColumn="0" w:lastRowFirstColumn="0" w:lastRowLastColumn="0"/>
            </w:pPr>
            <w:r w:rsidRPr="00065614">
              <w:t xml:space="preserve">Authorised deposit-taking institution </w:t>
            </w:r>
          </w:p>
        </w:tc>
      </w:tr>
      <w:tr w:rsidR="001A73B5" w14:paraId="61152AD3" w14:textId="77777777" w:rsidTr="00764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59A2C2E" w14:textId="77777777" w:rsidR="001A73B5" w:rsidRPr="001A73B5" w:rsidRDefault="001A73B5" w:rsidP="001A73B5">
            <w:pPr>
              <w:rPr>
                <w:b/>
              </w:rPr>
            </w:pPr>
            <w:r w:rsidRPr="001A73B5">
              <w:rPr>
                <w:b/>
              </w:rPr>
              <w:t xml:space="preserve">BEAR </w:t>
            </w:r>
          </w:p>
        </w:tc>
        <w:tc>
          <w:tcPr>
            <w:tcW w:w="0" w:type="dxa"/>
          </w:tcPr>
          <w:p w14:paraId="369DDC32" w14:textId="77777777" w:rsidR="001A73B5" w:rsidRDefault="001A73B5" w:rsidP="001A73B5">
            <w:pPr>
              <w:cnfStyle w:val="000000010000" w:firstRow="0" w:lastRow="0" w:firstColumn="0" w:lastColumn="0" w:oddVBand="0" w:evenVBand="0" w:oddHBand="0" w:evenHBand="1" w:firstRowFirstColumn="0" w:firstRowLastColumn="0" w:lastRowFirstColumn="0" w:lastRowLastColumn="0"/>
            </w:pPr>
            <w:r w:rsidRPr="00065614">
              <w:t xml:space="preserve">Banking Executive Accountability Regime set out in Part IIAA of the Banking Act 1959. </w:t>
            </w:r>
          </w:p>
        </w:tc>
      </w:tr>
      <w:tr w:rsidR="001A73B5" w14:paraId="1D62137E" w14:textId="77777777" w:rsidTr="0076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418D77E" w14:textId="77777777" w:rsidR="001A73B5" w:rsidRPr="001A73B5" w:rsidRDefault="001A73B5" w:rsidP="001A73B5">
            <w:pPr>
              <w:rPr>
                <w:b/>
              </w:rPr>
            </w:pPr>
            <w:r w:rsidRPr="001A73B5">
              <w:rPr>
                <w:b/>
              </w:rPr>
              <w:t xml:space="preserve">Board </w:t>
            </w:r>
          </w:p>
        </w:tc>
        <w:tc>
          <w:tcPr>
            <w:tcW w:w="0" w:type="dxa"/>
          </w:tcPr>
          <w:p w14:paraId="480FB365" w14:textId="77777777" w:rsidR="001A73B5" w:rsidRPr="00630098" w:rsidRDefault="001A73B5" w:rsidP="001A73B5">
            <w:pPr>
              <w:cnfStyle w:val="000000100000" w:firstRow="0" w:lastRow="0" w:firstColumn="0" w:lastColumn="0" w:oddVBand="0" w:evenVBand="0" w:oddHBand="1" w:evenHBand="0" w:firstRowFirstColumn="0" w:firstRowLastColumn="0" w:lastRowFirstColumn="0" w:lastRowLastColumn="0"/>
            </w:pPr>
            <w:r w:rsidRPr="00630098">
              <w:t xml:space="preserve">The board of directors, or a group of individual trustees in the case of a RSE licensee. </w:t>
            </w:r>
          </w:p>
        </w:tc>
      </w:tr>
      <w:tr w:rsidR="009B4B68" w14:paraId="613D07CB" w14:textId="77777777" w:rsidTr="00764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BC7D0CE" w14:textId="4DE744F9" w:rsidR="009B4B68" w:rsidRPr="001A73B5" w:rsidRDefault="009B4B68" w:rsidP="001A73B5">
            <w:pPr>
              <w:rPr>
                <w:b/>
              </w:rPr>
            </w:pPr>
            <w:r>
              <w:rPr>
                <w:b/>
              </w:rPr>
              <w:t>CEO</w:t>
            </w:r>
          </w:p>
        </w:tc>
        <w:tc>
          <w:tcPr>
            <w:tcW w:w="0" w:type="dxa"/>
          </w:tcPr>
          <w:p w14:paraId="3BA26D04" w14:textId="05B90233" w:rsidR="009B4B68" w:rsidRPr="00630098" w:rsidRDefault="009B4B68" w:rsidP="001A73B5">
            <w:pPr>
              <w:cnfStyle w:val="000000010000" w:firstRow="0" w:lastRow="0" w:firstColumn="0" w:lastColumn="0" w:oddVBand="0" w:evenVBand="0" w:oddHBand="0" w:evenHBand="1" w:firstRowFirstColumn="0" w:firstRowLastColumn="0" w:lastRowFirstColumn="0" w:lastRowLastColumn="0"/>
            </w:pPr>
            <w:r>
              <w:t>Chief Executive Officer</w:t>
            </w:r>
            <w:r w:rsidR="00A56325">
              <w:t>.</w:t>
            </w:r>
          </w:p>
        </w:tc>
      </w:tr>
      <w:tr w:rsidR="001A73B5" w14:paraId="03704873" w14:textId="77777777" w:rsidTr="0076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6928E88" w14:textId="77777777" w:rsidR="001A73B5" w:rsidRPr="001507FB" w:rsidRDefault="001A73B5" w:rsidP="001A73B5">
            <w:r w:rsidRPr="001507FB">
              <w:t xml:space="preserve">Clawback </w:t>
            </w:r>
          </w:p>
        </w:tc>
        <w:tc>
          <w:tcPr>
            <w:tcW w:w="0" w:type="dxa"/>
          </w:tcPr>
          <w:p w14:paraId="4F72D55E" w14:textId="01556337" w:rsidR="001A73B5" w:rsidRPr="001507FB" w:rsidRDefault="00F3764A" w:rsidP="001A73B5">
            <w:pPr>
              <w:cnfStyle w:val="000000100000" w:firstRow="0" w:lastRow="0" w:firstColumn="0" w:lastColumn="0" w:oddVBand="0" w:evenVBand="0" w:oddHBand="1" w:evenHBand="0" w:firstRowFirstColumn="0" w:firstRowLastColumn="0" w:lastRowFirstColumn="0" w:lastRowLastColumn="0"/>
            </w:pPr>
            <w:r>
              <w:t>T</w:t>
            </w:r>
            <w:r w:rsidRPr="00F3764A">
              <w:t xml:space="preserve">he recovery of an amount corresponding to some or all variable remuneration subject to recovery that has been paid or vested to a </w:t>
            </w:r>
            <w:r w:rsidR="001A73B5" w:rsidRPr="001507FB" w:rsidDel="00F3764A">
              <w:t>person</w:t>
            </w:r>
            <w:r w:rsidR="001A73B5" w:rsidRPr="001507FB">
              <w:t xml:space="preserve">. </w:t>
            </w:r>
          </w:p>
        </w:tc>
      </w:tr>
      <w:tr w:rsidR="001A73B5" w14:paraId="4B2FC16D" w14:textId="77777777" w:rsidTr="00764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5981A54" w14:textId="77777777" w:rsidR="001A73B5" w:rsidRPr="001507FB" w:rsidRDefault="001A73B5" w:rsidP="001A73B5">
            <w:r w:rsidRPr="001507FB">
              <w:t xml:space="preserve">Conduct risk </w:t>
            </w:r>
          </w:p>
        </w:tc>
        <w:tc>
          <w:tcPr>
            <w:tcW w:w="0" w:type="dxa"/>
          </w:tcPr>
          <w:p w14:paraId="2C3F9630" w14:textId="002607BE" w:rsidR="00F3764A" w:rsidRDefault="001A73B5" w:rsidP="00F3764A">
            <w:pPr>
              <w:cnfStyle w:val="000000010000" w:firstRow="0" w:lastRow="0" w:firstColumn="0" w:lastColumn="0" w:oddVBand="0" w:evenVBand="0" w:oddHBand="0" w:evenHBand="1" w:firstRowFirstColumn="0" w:firstRowLastColumn="0" w:lastRowFirstColumn="0" w:lastRowLastColumn="0"/>
            </w:pPr>
            <w:r w:rsidRPr="001507FB">
              <w:t xml:space="preserve">The </w:t>
            </w:r>
            <w:r w:rsidR="00F3764A">
              <w:t>risk associated with action or inaction by a person covered by an entity’s remuneration policy that does not meet applicable:</w:t>
            </w:r>
          </w:p>
          <w:p w14:paraId="1E718BE7" w14:textId="77777777" w:rsidR="00F3764A" w:rsidRDefault="00F3764A" w:rsidP="00F3764A">
            <w:pPr>
              <w:cnfStyle w:val="000000010000" w:firstRow="0" w:lastRow="0" w:firstColumn="0" w:lastColumn="0" w:oddVBand="0" w:evenVBand="0" w:oddHBand="0" w:evenHBand="1" w:firstRowFirstColumn="0" w:firstRowLastColumn="0" w:lastRowFirstColumn="0" w:lastRowLastColumn="0"/>
            </w:pPr>
            <w:r>
              <w:t>(i)</w:t>
            </w:r>
            <w:r>
              <w:tab/>
              <w:t>legal and prudential obligations;</w:t>
            </w:r>
          </w:p>
          <w:p w14:paraId="0510D5F1" w14:textId="77777777" w:rsidR="00F3764A" w:rsidRDefault="00F3764A" w:rsidP="00F3764A">
            <w:pPr>
              <w:cnfStyle w:val="000000010000" w:firstRow="0" w:lastRow="0" w:firstColumn="0" w:lastColumn="0" w:oddVBand="0" w:evenVBand="0" w:oddHBand="0" w:evenHBand="1" w:firstRowFirstColumn="0" w:firstRowLastColumn="0" w:lastRowFirstColumn="0" w:lastRowLastColumn="0"/>
            </w:pPr>
            <w:r>
              <w:t>(ii)</w:t>
            </w:r>
            <w:r>
              <w:tab/>
              <w:t>requirements or standards of a recognised professional body; or</w:t>
            </w:r>
          </w:p>
          <w:p w14:paraId="3736C4FC" w14:textId="55CCBBE4" w:rsidR="001A73B5" w:rsidRPr="001507FB" w:rsidRDefault="00F3764A" w:rsidP="001A73B5">
            <w:pPr>
              <w:cnfStyle w:val="000000010000" w:firstRow="0" w:lastRow="0" w:firstColumn="0" w:lastColumn="0" w:oddVBand="0" w:evenVBand="0" w:oddHBand="0" w:evenHBand="1" w:firstRowFirstColumn="0" w:firstRowLastColumn="0" w:lastRowFirstColumn="0" w:lastRowLastColumn="0"/>
            </w:pPr>
            <w:r>
              <w:t>(iii)</w:t>
            </w:r>
            <w:r>
              <w:tab/>
              <w:t>policies and procedures covering conduct and ethical standards set out by an entity</w:t>
            </w:r>
            <w:r w:rsidR="001A73B5" w:rsidRPr="001507FB">
              <w:t>.</w:t>
            </w:r>
          </w:p>
        </w:tc>
      </w:tr>
      <w:tr w:rsidR="001A73B5" w14:paraId="23CBEF59" w14:textId="77777777" w:rsidTr="0076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21C5030" w14:textId="77777777" w:rsidR="001A73B5" w:rsidRPr="001507FB" w:rsidRDefault="001A73B5" w:rsidP="001A73B5">
            <w:r w:rsidRPr="001507FB">
              <w:t xml:space="preserve">Deferral period </w:t>
            </w:r>
          </w:p>
        </w:tc>
        <w:tc>
          <w:tcPr>
            <w:tcW w:w="0" w:type="dxa"/>
          </w:tcPr>
          <w:p w14:paraId="133CEFE5" w14:textId="7F198161" w:rsidR="001A73B5" w:rsidRPr="001507FB" w:rsidRDefault="00F3764A" w:rsidP="001A73B5">
            <w:pPr>
              <w:cnfStyle w:val="000000100000" w:firstRow="0" w:lastRow="0" w:firstColumn="0" w:lastColumn="0" w:oddVBand="0" w:evenVBand="0" w:oddHBand="1" w:evenHBand="0" w:firstRowFirstColumn="0" w:firstRowLastColumn="0" w:lastRowFirstColumn="0" w:lastRowLastColumn="0"/>
            </w:pPr>
            <w:r>
              <w:t>I</w:t>
            </w:r>
            <w:r w:rsidRPr="00F3764A">
              <w:t>nclude</w:t>
            </w:r>
            <w:r>
              <w:t>s</w:t>
            </w:r>
            <w:r w:rsidRPr="00F3764A">
              <w:t xml:space="preserve"> the period over which performance is assessed and only where the measures of performance are forward-looking. The deferral period must also include any required service, retention and holding periods</w:t>
            </w:r>
            <w:r w:rsidR="001A73B5" w:rsidRPr="001507FB">
              <w:t xml:space="preserve">. </w:t>
            </w:r>
          </w:p>
        </w:tc>
      </w:tr>
      <w:tr w:rsidR="001A73B5" w14:paraId="603B0672" w14:textId="77777777" w:rsidTr="00764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1A9FAED" w14:textId="77777777" w:rsidR="001A73B5" w:rsidRPr="001507FB" w:rsidRDefault="001A73B5" w:rsidP="001A73B5">
            <w:r w:rsidRPr="001A73B5">
              <w:t>Executive director</w:t>
            </w:r>
          </w:p>
        </w:tc>
        <w:tc>
          <w:tcPr>
            <w:tcW w:w="0" w:type="dxa"/>
          </w:tcPr>
          <w:p w14:paraId="510C4EE2" w14:textId="1C6BF575" w:rsidR="001A73B5" w:rsidRPr="001507FB" w:rsidRDefault="009039F1" w:rsidP="001A73B5">
            <w:pPr>
              <w:cnfStyle w:val="000000010000" w:firstRow="0" w:lastRow="0" w:firstColumn="0" w:lastColumn="0" w:oddVBand="0" w:evenVBand="0" w:oddHBand="0" w:evenHBand="1" w:firstRowFirstColumn="0" w:firstRowLastColumn="0" w:lastRowFirstColumn="0" w:lastRowLastColumn="0"/>
            </w:pPr>
            <w:r w:rsidRPr="009039F1">
              <w:t>M</w:t>
            </w:r>
            <w:r w:rsidR="00F3764A" w:rsidRPr="009039F1">
              <w:t xml:space="preserve">eans a </w:t>
            </w:r>
            <w:r w:rsidR="00F3764A" w:rsidRPr="00270A09">
              <w:t>director</w:t>
            </w:r>
            <w:r w:rsidR="00F3764A" w:rsidRPr="009039F1">
              <w:t xml:space="preserve"> that is not a non-executive director</w:t>
            </w:r>
            <w:r w:rsidRPr="009039F1">
              <w:t xml:space="preserve">, where director is defined in </w:t>
            </w:r>
            <w:r>
              <w:t xml:space="preserve">ARPA’s definitional standards. </w:t>
            </w:r>
          </w:p>
        </w:tc>
      </w:tr>
      <w:tr w:rsidR="001A73B5" w14:paraId="5A0C7507" w14:textId="77777777" w:rsidTr="0076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3733528" w14:textId="1C201F49" w:rsidR="001A73B5" w:rsidRPr="002F06E7" w:rsidRDefault="001A73B5" w:rsidP="001A73B5">
            <w:r w:rsidRPr="002F06E7">
              <w:t xml:space="preserve">Highly paid material risk takers </w:t>
            </w:r>
          </w:p>
        </w:tc>
        <w:tc>
          <w:tcPr>
            <w:tcW w:w="0" w:type="dxa"/>
          </w:tcPr>
          <w:p w14:paraId="05CB0F09" w14:textId="27ED3293" w:rsidR="001A73B5" w:rsidRPr="002F06E7" w:rsidRDefault="009039F1" w:rsidP="001A73B5">
            <w:pPr>
              <w:cnfStyle w:val="000000100000" w:firstRow="0" w:lastRow="0" w:firstColumn="0" w:lastColumn="0" w:oddVBand="0" w:evenVBand="0" w:oddHBand="1" w:evenHBand="0" w:firstRowFirstColumn="0" w:firstRowLastColumn="0" w:lastRowFirstColumn="0" w:lastRowLastColumn="0"/>
            </w:pPr>
            <w:r>
              <w:t>M</w:t>
            </w:r>
            <w:r w:rsidRPr="009039F1">
              <w:t>aterial risk-taker</w:t>
            </w:r>
            <w:r>
              <w:t>s</w:t>
            </w:r>
            <w:r w:rsidRPr="009039F1">
              <w:t xml:space="preserve"> whose total fixed remuneration (which includes salary, superannuation, allowances and benefits) plus actual variable remuneration is equal to or greater than 1 million AUD in a financial year of the entity</w:t>
            </w:r>
            <w:r w:rsidR="001A73B5" w:rsidRPr="002F06E7">
              <w:t>.</w:t>
            </w:r>
          </w:p>
        </w:tc>
      </w:tr>
      <w:tr w:rsidR="001A73B5" w14:paraId="43052556" w14:textId="77777777" w:rsidTr="00764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AF2868E" w14:textId="77777777" w:rsidR="001A73B5" w:rsidRPr="002F06E7" w:rsidRDefault="001A73B5" w:rsidP="001A73B5">
            <w:r w:rsidRPr="002F06E7">
              <w:t xml:space="preserve">In-period adjustment </w:t>
            </w:r>
          </w:p>
        </w:tc>
        <w:tc>
          <w:tcPr>
            <w:tcW w:w="0" w:type="dxa"/>
          </w:tcPr>
          <w:p w14:paraId="3520B67A" w14:textId="5EE4DBD1" w:rsidR="001A73B5" w:rsidRPr="002F06E7" w:rsidRDefault="001A73B5" w:rsidP="001A73B5">
            <w:pPr>
              <w:cnfStyle w:val="000000010000" w:firstRow="0" w:lastRow="0" w:firstColumn="0" w:lastColumn="0" w:oddVBand="0" w:evenVBand="0" w:oddHBand="0" w:evenHBand="1" w:firstRowFirstColumn="0" w:firstRowLastColumn="0" w:lastRowFirstColumn="0" w:lastRowLastColumn="0"/>
            </w:pPr>
            <w:r w:rsidRPr="002F06E7">
              <w:t xml:space="preserve">An adjustment made to variable remuneration during the period set for measuring the performance </w:t>
            </w:r>
            <w:r w:rsidR="009039F1">
              <w:t>under</w:t>
            </w:r>
            <w:r w:rsidR="009039F1" w:rsidRPr="002F06E7">
              <w:t xml:space="preserve"> </w:t>
            </w:r>
            <w:r w:rsidRPr="002F06E7">
              <w:t xml:space="preserve">a variable remuneration arrangement. </w:t>
            </w:r>
          </w:p>
        </w:tc>
      </w:tr>
      <w:tr w:rsidR="001A73B5" w14:paraId="707A5BCF" w14:textId="77777777" w:rsidTr="0076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77624DE" w14:textId="77777777" w:rsidR="001A73B5" w:rsidRPr="002F06E7" w:rsidRDefault="001A73B5" w:rsidP="001A73B5">
            <w:r w:rsidRPr="002F06E7">
              <w:t xml:space="preserve">Long-term incentive </w:t>
            </w:r>
          </w:p>
        </w:tc>
        <w:tc>
          <w:tcPr>
            <w:tcW w:w="0" w:type="dxa"/>
          </w:tcPr>
          <w:p w14:paraId="4A711D35" w14:textId="77777777" w:rsidR="001A73B5" w:rsidRPr="002F06E7" w:rsidRDefault="001A73B5" w:rsidP="001A73B5">
            <w:pPr>
              <w:cnfStyle w:val="000000100000" w:firstRow="0" w:lastRow="0" w:firstColumn="0" w:lastColumn="0" w:oddVBand="0" w:evenVBand="0" w:oddHBand="1" w:evenHBand="0" w:firstRowFirstColumn="0" w:firstRowLastColumn="0" w:lastRowFirstColumn="0" w:lastRowLastColumn="0"/>
            </w:pPr>
            <w:r w:rsidRPr="002F06E7">
              <w:t xml:space="preserve">The amount of a person’s variable remuneration that is subjected to a performance period which spans a specified number of years following the inception of the variable remuneration component. </w:t>
            </w:r>
          </w:p>
        </w:tc>
      </w:tr>
      <w:tr w:rsidR="001A73B5" w14:paraId="5DC2C4D3" w14:textId="77777777" w:rsidTr="00764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1210112" w14:textId="77777777" w:rsidR="001A73B5" w:rsidRPr="002F06E7" w:rsidRDefault="001A73B5" w:rsidP="001A73B5">
            <w:r w:rsidRPr="002F06E7">
              <w:t xml:space="preserve">Malus </w:t>
            </w:r>
          </w:p>
        </w:tc>
        <w:tc>
          <w:tcPr>
            <w:tcW w:w="0" w:type="dxa"/>
          </w:tcPr>
          <w:p w14:paraId="0A32E689" w14:textId="77777777" w:rsidR="001A73B5" w:rsidRDefault="001A73B5" w:rsidP="001A73B5">
            <w:pPr>
              <w:cnfStyle w:val="000000010000" w:firstRow="0" w:lastRow="0" w:firstColumn="0" w:lastColumn="0" w:oddVBand="0" w:evenVBand="0" w:oddHBand="0" w:evenHBand="1" w:firstRowFirstColumn="0" w:firstRowLastColumn="0" w:lastRowFirstColumn="0" w:lastRowLastColumn="0"/>
            </w:pPr>
            <w:r w:rsidRPr="002F06E7">
              <w:t xml:space="preserve">An adjustment to reduce the value of all or part of deferred variable remuneration before it has vested. </w:t>
            </w:r>
          </w:p>
        </w:tc>
      </w:tr>
      <w:tr w:rsidR="001A73B5" w14:paraId="688AE5DE" w14:textId="77777777" w:rsidTr="0076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405AF31" w14:textId="77777777" w:rsidR="001A73B5" w:rsidRPr="00D550F8" w:rsidRDefault="001A73B5" w:rsidP="001A73B5">
            <w:r w:rsidRPr="00D550F8">
              <w:t xml:space="preserve">Material risk taker </w:t>
            </w:r>
          </w:p>
        </w:tc>
        <w:tc>
          <w:tcPr>
            <w:tcW w:w="0" w:type="dxa"/>
          </w:tcPr>
          <w:p w14:paraId="391EAACA" w14:textId="0CD1C376" w:rsidR="001A73B5" w:rsidRPr="00D550F8" w:rsidRDefault="001A73B5" w:rsidP="001A73B5">
            <w:pPr>
              <w:cnfStyle w:val="000000100000" w:firstRow="0" w:lastRow="0" w:firstColumn="0" w:lastColumn="0" w:oddVBand="0" w:evenVBand="0" w:oddHBand="1" w:evenHBand="0" w:firstRowFirstColumn="0" w:firstRowLastColumn="0" w:lastRowFirstColumn="0" w:lastRowLastColumn="0"/>
            </w:pPr>
            <w:r w:rsidRPr="00D550F8">
              <w:t xml:space="preserve">A person whose activities have a material potential impact on the entity’s risk profile, performance, long-term soundness or for a RSE licensee, impact </w:t>
            </w:r>
            <w:r w:rsidRPr="00D550F8">
              <w:lastRenderedPageBreak/>
              <w:t xml:space="preserve">on </w:t>
            </w:r>
            <w:r w:rsidR="009039F1" w:rsidRPr="009039F1">
              <w:t>performs its duties and exercises its powers in the best financial interests of the beneficiaries</w:t>
            </w:r>
            <w:r w:rsidRPr="00D550F8">
              <w:t xml:space="preserve">. </w:t>
            </w:r>
          </w:p>
        </w:tc>
      </w:tr>
      <w:tr w:rsidR="004B59C8" w14:paraId="2B555303" w14:textId="77777777" w:rsidTr="00764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D5AC7E0" w14:textId="5758809D" w:rsidR="004B59C8" w:rsidRPr="00D550F8" w:rsidRDefault="004B59C8" w:rsidP="001A73B5">
            <w:r>
              <w:lastRenderedPageBreak/>
              <w:t>PHI</w:t>
            </w:r>
          </w:p>
        </w:tc>
        <w:tc>
          <w:tcPr>
            <w:tcW w:w="0" w:type="dxa"/>
          </w:tcPr>
          <w:p w14:paraId="7EB2C5A5" w14:textId="794AE0A5" w:rsidR="004B59C8" w:rsidRPr="00D550F8" w:rsidRDefault="004B59C8" w:rsidP="001A73B5">
            <w:pPr>
              <w:cnfStyle w:val="000000010000" w:firstRow="0" w:lastRow="0" w:firstColumn="0" w:lastColumn="0" w:oddVBand="0" w:evenVBand="0" w:oddHBand="0" w:evenHBand="1" w:firstRowFirstColumn="0" w:firstRowLastColumn="0" w:lastRowFirstColumn="0" w:lastRowLastColumn="0"/>
            </w:pPr>
            <w:r>
              <w:t>Private health insurer.</w:t>
            </w:r>
          </w:p>
        </w:tc>
      </w:tr>
      <w:tr w:rsidR="001A73B5" w14:paraId="7607C042" w14:textId="77777777" w:rsidTr="0076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0E8461D" w14:textId="77777777" w:rsidR="001A73B5" w:rsidRPr="00327C4A" w:rsidRDefault="001A73B5" w:rsidP="001A73B5">
            <w:r w:rsidRPr="00327C4A">
              <w:t xml:space="preserve">RSE </w:t>
            </w:r>
          </w:p>
        </w:tc>
        <w:tc>
          <w:tcPr>
            <w:tcW w:w="0" w:type="dxa"/>
          </w:tcPr>
          <w:p w14:paraId="39D6870D" w14:textId="77777777" w:rsidR="001A73B5" w:rsidRPr="00327C4A" w:rsidRDefault="001A73B5" w:rsidP="001A73B5">
            <w:pPr>
              <w:cnfStyle w:val="000000100000" w:firstRow="0" w:lastRow="0" w:firstColumn="0" w:lastColumn="0" w:oddVBand="0" w:evenVBand="0" w:oddHBand="1" w:evenHBand="0" w:firstRowFirstColumn="0" w:firstRowLastColumn="0" w:lastRowFirstColumn="0" w:lastRowLastColumn="0"/>
            </w:pPr>
            <w:r w:rsidRPr="00327C4A">
              <w:t xml:space="preserve">Registrable superannuation entity. </w:t>
            </w:r>
          </w:p>
        </w:tc>
      </w:tr>
      <w:tr w:rsidR="001A73B5" w14:paraId="3F57018B" w14:textId="77777777" w:rsidTr="00764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2678935" w14:textId="77777777" w:rsidR="001A73B5" w:rsidRDefault="001A73B5" w:rsidP="001A73B5">
            <w:r>
              <w:t xml:space="preserve">Remuneration arrangement </w:t>
            </w:r>
          </w:p>
          <w:p w14:paraId="79077903" w14:textId="77777777" w:rsidR="001A73B5" w:rsidRPr="00327C4A" w:rsidRDefault="001A73B5" w:rsidP="001A73B5">
            <w:r>
              <w:tab/>
            </w:r>
          </w:p>
        </w:tc>
        <w:tc>
          <w:tcPr>
            <w:tcW w:w="0" w:type="dxa"/>
          </w:tcPr>
          <w:p w14:paraId="2EBA6239" w14:textId="77777777" w:rsidR="001A73B5" w:rsidRPr="00327C4A" w:rsidRDefault="001A73B5" w:rsidP="001A73B5">
            <w:pPr>
              <w:cnfStyle w:val="000000010000" w:firstRow="0" w:lastRow="0" w:firstColumn="0" w:lastColumn="0" w:oddVBand="0" w:evenVBand="0" w:oddHBand="0" w:evenHBand="1" w:firstRowFirstColumn="0" w:firstRowLastColumn="0" w:lastRowFirstColumn="0" w:lastRowLastColumn="0"/>
            </w:pPr>
            <w:r>
              <w:t>An arrangement that includes measures of performance, the mix of forms of remuneration (such as fixed and variable components, and cash and equity-related benefits) and the timing of eligibility to receive payments. All forms of remuneration are captured by this Prudential Standard, regardless of where, or from whom, the remuneration is sourced.</w:t>
            </w:r>
          </w:p>
        </w:tc>
      </w:tr>
      <w:tr w:rsidR="009039F1" w14:paraId="452AE0AF" w14:textId="77777777" w:rsidTr="00925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ADE641D" w14:textId="4DBABEFE" w:rsidR="009039F1" w:rsidRDefault="009039F1" w:rsidP="001A73B5">
            <w:r>
              <w:t>Remuneration framework</w:t>
            </w:r>
          </w:p>
        </w:tc>
        <w:tc>
          <w:tcPr>
            <w:tcW w:w="7552" w:type="dxa"/>
          </w:tcPr>
          <w:p w14:paraId="40B39A15" w14:textId="41F0CB79" w:rsidR="009039F1" w:rsidRDefault="009039F1" w:rsidP="001A73B5">
            <w:pPr>
              <w:cnfStyle w:val="000000100000" w:firstRow="0" w:lastRow="0" w:firstColumn="0" w:lastColumn="0" w:oddVBand="0" w:evenVBand="0" w:oddHBand="1" w:evenHBand="0" w:firstRowFirstColumn="0" w:firstRowLastColumn="0" w:lastRowFirstColumn="0" w:lastRowLastColumn="0"/>
            </w:pPr>
            <w:r>
              <w:t>T</w:t>
            </w:r>
            <w:r w:rsidRPr="009039F1">
              <w:t>he totality of systems, structures, policies, processes and people within an entity that identify, measure, evaluate, monitor, report and control or mitigate all internal and external sources of risks relating to remuneration</w:t>
            </w:r>
            <w:r>
              <w:t>.</w:t>
            </w:r>
          </w:p>
        </w:tc>
      </w:tr>
      <w:tr w:rsidR="001A73B5" w14:paraId="3F59B1B5" w14:textId="77777777" w:rsidTr="00764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2F6E0F2" w14:textId="0C84CC7C" w:rsidR="001A73B5" w:rsidRDefault="001A73B5" w:rsidP="00294DFF">
            <w:r>
              <w:t xml:space="preserve">Senior manager </w:t>
            </w:r>
            <w:r>
              <w:tab/>
            </w:r>
          </w:p>
        </w:tc>
        <w:tc>
          <w:tcPr>
            <w:tcW w:w="0" w:type="dxa"/>
          </w:tcPr>
          <w:p w14:paraId="142089F8" w14:textId="192E07BF" w:rsidR="001A73B5" w:rsidRDefault="001A73B5" w:rsidP="001A73B5">
            <w:pPr>
              <w:cnfStyle w:val="000000010000" w:firstRow="0" w:lastRow="0" w:firstColumn="0" w:lastColumn="0" w:oddVBand="0" w:evenVBand="0" w:oddHBand="0" w:evenHBand="1" w:firstRowFirstColumn="0" w:firstRowLastColumn="0" w:lastRowFirstColumn="0" w:lastRowLastColumn="0"/>
            </w:pPr>
            <w:r>
              <w:t xml:space="preserve">A person </w:t>
            </w:r>
            <w:r w:rsidR="005D0A83">
              <w:t>as defined in the Industry Acts, or in relation to an RSE licensee, has the meaning given in Prudential Standard SPS 520 Fit and Proper.</w:t>
            </w:r>
          </w:p>
        </w:tc>
      </w:tr>
      <w:tr w:rsidR="001A73B5" w14:paraId="6F17964C" w14:textId="77777777" w:rsidTr="0076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F033296" w14:textId="77777777" w:rsidR="001A73B5" w:rsidRDefault="001A73B5" w:rsidP="001A73B5">
            <w:r>
              <w:t xml:space="preserve">Short-term incentive </w:t>
            </w:r>
          </w:p>
          <w:p w14:paraId="68B8896B" w14:textId="77777777" w:rsidR="001A73B5" w:rsidRDefault="001A73B5" w:rsidP="001A73B5"/>
        </w:tc>
        <w:tc>
          <w:tcPr>
            <w:tcW w:w="0" w:type="dxa"/>
          </w:tcPr>
          <w:p w14:paraId="0A7CC17D" w14:textId="77777777" w:rsidR="001A73B5" w:rsidRDefault="001A73B5" w:rsidP="001A73B5">
            <w:pPr>
              <w:cnfStyle w:val="000000100000" w:firstRow="0" w:lastRow="0" w:firstColumn="0" w:lastColumn="0" w:oddVBand="0" w:evenVBand="0" w:oddHBand="1" w:evenHBand="0" w:firstRowFirstColumn="0" w:firstRowLastColumn="0" w:lastRowFirstColumn="0" w:lastRowLastColumn="0"/>
            </w:pPr>
            <w:r>
              <w:t>The amount of a person’s variable remuneration that is subjected to a performance period which is the financial year immediately preceding the inception of the variable remuneration component.</w:t>
            </w:r>
          </w:p>
        </w:tc>
      </w:tr>
      <w:tr w:rsidR="001A73B5" w14:paraId="2177BB2B" w14:textId="77777777" w:rsidTr="00764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6EDE328" w14:textId="16AAE1F1" w:rsidR="001A73B5" w:rsidRDefault="001A73B5" w:rsidP="001A73B5">
            <w:r>
              <w:t xml:space="preserve">Significant financial institution </w:t>
            </w:r>
          </w:p>
        </w:tc>
        <w:tc>
          <w:tcPr>
            <w:tcW w:w="0" w:type="dxa"/>
          </w:tcPr>
          <w:p w14:paraId="1F3077FC" w14:textId="0D53FD03" w:rsidR="001A73B5" w:rsidRDefault="005D0A83" w:rsidP="001A73B5">
            <w:pPr>
              <w:cnfStyle w:val="000000010000" w:firstRow="0" w:lastRow="0" w:firstColumn="0" w:lastColumn="0" w:oddVBand="0" w:evenVBand="0" w:oddHBand="0" w:evenHBand="1" w:firstRowFirstColumn="0" w:firstRowLastColumn="0" w:lastRowFirstColumn="0" w:lastRowLastColumn="0"/>
            </w:pPr>
            <w:r>
              <w:t>Where an</w:t>
            </w:r>
            <w:r w:rsidR="001A73B5">
              <w:t xml:space="preserve"> </w:t>
            </w:r>
            <w:r>
              <w:t>APRA-regulated entity is of a certain asset size as specified by APRA from time to time, has complexity in operations or remuneration practices, is a member of a group or as otherwise determined by APRA.</w:t>
            </w:r>
          </w:p>
        </w:tc>
      </w:tr>
      <w:tr w:rsidR="001A73B5" w14:paraId="15E89E75" w14:textId="77777777" w:rsidTr="0076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9541214" w14:textId="77777777" w:rsidR="001A73B5" w:rsidRDefault="001A73B5" w:rsidP="001A73B5">
            <w:r>
              <w:t>Specified role</w:t>
            </w:r>
          </w:p>
        </w:tc>
        <w:tc>
          <w:tcPr>
            <w:tcW w:w="0" w:type="dxa"/>
          </w:tcPr>
          <w:p w14:paraId="7946383E" w14:textId="77812A67" w:rsidR="001A73B5" w:rsidRDefault="001A73B5" w:rsidP="001A73B5">
            <w:pPr>
              <w:cnfStyle w:val="000000100000" w:firstRow="0" w:lastRow="0" w:firstColumn="0" w:lastColumn="0" w:oddVBand="0" w:evenVBand="0" w:oddHBand="1" w:evenHBand="0" w:firstRowFirstColumn="0" w:firstRowLastColumn="0" w:lastRowFirstColumn="0" w:lastRowLastColumn="0"/>
            </w:pPr>
            <w:r>
              <w:t xml:space="preserve">A person in the category of senior manager, </w:t>
            </w:r>
            <w:r w:rsidR="005D0A83">
              <w:t xml:space="preserve">executive director, </w:t>
            </w:r>
            <w:r>
              <w:t>material risk taker (including highly paid material risk takers) and risk and financial control personnel.</w:t>
            </w:r>
          </w:p>
        </w:tc>
      </w:tr>
      <w:tr w:rsidR="001A73B5" w14:paraId="40C03AC5" w14:textId="77777777" w:rsidTr="00764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F91C96B" w14:textId="77777777" w:rsidR="001A73B5" w:rsidRDefault="00727CCE" w:rsidP="001A73B5">
            <w:r>
              <w:t>Variable remuneration</w:t>
            </w:r>
          </w:p>
        </w:tc>
        <w:tc>
          <w:tcPr>
            <w:tcW w:w="0" w:type="dxa"/>
          </w:tcPr>
          <w:p w14:paraId="56E8EC5B" w14:textId="402AEFA9" w:rsidR="001A73B5" w:rsidRDefault="00727CCE" w:rsidP="001A73B5">
            <w:pPr>
              <w:cnfStyle w:val="000000010000" w:firstRow="0" w:lastRow="0" w:firstColumn="0" w:lastColumn="0" w:oddVBand="0" w:evenVBand="0" w:oddHBand="0" w:evenHBand="1" w:firstRowFirstColumn="0" w:firstRowLastColumn="0" w:lastRowFirstColumn="0" w:lastRowLastColumn="0"/>
            </w:pPr>
            <w:r>
              <w:t>The amount of a person’s total remuneration that is conditional on objectives</w:t>
            </w:r>
            <w:r w:rsidR="00256EC8">
              <w:t xml:space="preserve"> </w:t>
            </w:r>
            <w:r w:rsidR="00256EC8" w:rsidRPr="00256EC8">
              <w:t>which include performance criteria, service requirements or the passage of time</w:t>
            </w:r>
            <w:r>
              <w:t>.</w:t>
            </w:r>
          </w:p>
        </w:tc>
      </w:tr>
      <w:tr w:rsidR="001A73B5" w14:paraId="4667DD29" w14:textId="77777777" w:rsidTr="0076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99B7DFF" w14:textId="4A38EA21" w:rsidR="001A73B5" w:rsidRDefault="00727CCE" w:rsidP="001A73B5">
            <w:r>
              <w:t xml:space="preserve">Vesting </w:t>
            </w:r>
          </w:p>
        </w:tc>
        <w:tc>
          <w:tcPr>
            <w:tcW w:w="0" w:type="dxa"/>
          </w:tcPr>
          <w:p w14:paraId="4D3D5EBA" w14:textId="14449744" w:rsidR="001A73B5" w:rsidRDefault="00727CCE" w:rsidP="001A73B5">
            <w:pPr>
              <w:cnfStyle w:val="000000100000" w:firstRow="0" w:lastRow="0" w:firstColumn="0" w:lastColumn="0" w:oddVBand="0" w:evenVBand="0" w:oddHBand="1" w:evenHBand="0" w:firstRowFirstColumn="0" w:firstRowLastColumn="0" w:lastRowFirstColumn="0" w:lastRowLastColumn="0"/>
            </w:pPr>
            <w:r>
              <w:t>The process by which the person becomes the legal owner of the variable remuneration.</w:t>
            </w:r>
          </w:p>
        </w:tc>
      </w:tr>
    </w:tbl>
    <w:p w14:paraId="199C54B3" w14:textId="77777777" w:rsidR="001A73B5" w:rsidRPr="001A73B5" w:rsidRDefault="001A73B5" w:rsidP="001A73B5"/>
    <w:p w14:paraId="1D6A1299" w14:textId="7DEBE5FC" w:rsidR="00AC1C12" w:rsidRDefault="00913E11" w:rsidP="00976F29">
      <w:pPr>
        <w:pStyle w:val="Heading1Numbers"/>
      </w:pPr>
      <w:bookmarkStart w:id="10" w:name="_Toc53000771"/>
      <w:bookmarkStart w:id="11" w:name="_Toc55850353"/>
      <w:r>
        <w:lastRenderedPageBreak/>
        <w:t>Revised proposals</w:t>
      </w:r>
      <w:bookmarkEnd w:id="10"/>
      <w:bookmarkEnd w:id="11"/>
    </w:p>
    <w:p w14:paraId="09583A92" w14:textId="266BC58D" w:rsidR="000F6A98" w:rsidRDefault="000F6A98" w:rsidP="00194D2A">
      <w:pPr>
        <w:pStyle w:val="Heading2Numbers"/>
        <w:tabs>
          <w:tab w:val="clear" w:pos="2268"/>
        </w:tabs>
      </w:pPr>
      <w:r>
        <w:t>Background</w:t>
      </w:r>
    </w:p>
    <w:p w14:paraId="18CBB55A" w14:textId="783088BC" w:rsidR="00624AA0" w:rsidRPr="00040B81" w:rsidRDefault="00624AA0" w:rsidP="009A72CF">
      <w:r w:rsidRPr="009B3CC8">
        <w:rPr>
          <w:color w:val="auto"/>
        </w:rPr>
        <w:t>The current prudential framework for remuneration</w:t>
      </w:r>
      <w:r w:rsidRPr="009B3CC8">
        <w:rPr>
          <w:rStyle w:val="FootnoteReference"/>
          <w:color w:val="auto"/>
        </w:rPr>
        <w:footnoteReference w:id="3"/>
      </w:r>
      <w:r>
        <w:rPr>
          <w:color w:val="auto"/>
        </w:rPr>
        <w:t xml:space="preserve"> </w:t>
      </w:r>
      <w:r w:rsidRPr="009B3CC8">
        <w:rPr>
          <w:color w:val="auto"/>
        </w:rPr>
        <w:t xml:space="preserve">was developed in 2010, following G20 reforms stemming from the global financial crisis that sought to address inappropriate risk taking incentivised by poorly designed remuneration practices. </w:t>
      </w:r>
      <w:r>
        <w:rPr>
          <w:color w:val="auto"/>
        </w:rPr>
        <w:t xml:space="preserve">More recently, </w:t>
      </w:r>
      <w:r w:rsidRPr="009B3CC8">
        <w:rPr>
          <w:color w:val="auto"/>
        </w:rPr>
        <w:t xml:space="preserve">findings from various APRA reviews </w:t>
      </w:r>
      <w:r>
        <w:rPr>
          <w:color w:val="auto"/>
        </w:rPr>
        <w:t xml:space="preserve">and </w:t>
      </w:r>
      <w:r>
        <w:t>t</w:t>
      </w:r>
      <w:r w:rsidRPr="00040B81">
        <w:t>he Royal Commission into Misconduct in the Banking, Superannuation and Financial Services Industry</w:t>
      </w:r>
      <w:r w:rsidRPr="00040B81">
        <w:rPr>
          <w:rStyle w:val="FootnoteReference"/>
        </w:rPr>
        <w:footnoteReference w:id="4"/>
      </w:r>
      <w:r w:rsidRPr="00040B81">
        <w:t xml:space="preserve"> (Royal Commission) </w:t>
      </w:r>
      <w:r>
        <w:t xml:space="preserve">have demonstrated the need for further reform. In particular, experience has shown significant </w:t>
      </w:r>
      <w:r w:rsidRPr="00040B81">
        <w:t>financial and non-financial risks</w:t>
      </w:r>
      <w:r>
        <w:t xml:space="preserve"> can crystallise when </w:t>
      </w:r>
      <w:r w:rsidRPr="00040B81">
        <w:t xml:space="preserve">the interests of </w:t>
      </w:r>
      <w:r>
        <w:t>stakeholders, such as shareholders, customers</w:t>
      </w:r>
      <w:r w:rsidRPr="00040B81">
        <w:t xml:space="preserve"> and executives</w:t>
      </w:r>
      <w:r>
        <w:t>, are misaligned</w:t>
      </w:r>
      <w:r w:rsidRPr="00040B81">
        <w:t xml:space="preserve">. </w:t>
      </w:r>
    </w:p>
    <w:p w14:paraId="429BA4DE" w14:textId="77777777" w:rsidR="00E857DE" w:rsidRDefault="00E857DE" w:rsidP="00194D2A">
      <w:pPr>
        <w:pStyle w:val="Heading2Numbers"/>
        <w:tabs>
          <w:tab w:val="clear" w:pos="2268"/>
        </w:tabs>
      </w:pPr>
      <w:r>
        <w:t xml:space="preserve">Revised CPS 511 and second consultation </w:t>
      </w:r>
    </w:p>
    <w:p w14:paraId="7D749C0D" w14:textId="587A1036" w:rsidR="00025ED0" w:rsidRDefault="001001CE" w:rsidP="00D40414">
      <w:pPr>
        <w:pStyle w:val="ListNumber"/>
        <w:numPr>
          <w:ilvl w:val="0"/>
          <w:numId w:val="0"/>
        </w:numPr>
      </w:pPr>
      <w:r>
        <w:t xml:space="preserve">In July 2019, </w:t>
      </w:r>
      <w:r w:rsidR="00DB44F5">
        <w:t xml:space="preserve">APRA released draft </w:t>
      </w:r>
      <w:r w:rsidR="00D40414">
        <w:t xml:space="preserve">CPS 511 </w:t>
      </w:r>
      <w:r w:rsidR="00DB44F5">
        <w:t xml:space="preserve">for consultation. Following significant stakeholder engagement, APRA is now consulting on a revised CPS 511, which reflects a more principles-based approach to lifting minimum standards. </w:t>
      </w:r>
      <w:r w:rsidR="00D40414">
        <w:t>Importantly the revised set of proposals address the recommendations of the Royal Commission</w:t>
      </w:r>
      <w:r w:rsidR="00D40414" w:rsidRPr="007D6279">
        <w:t xml:space="preserve"> </w:t>
      </w:r>
      <w:r w:rsidR="00D40414">
        <w:t xml:space="preserve">and align to the Financial Stability Board’s (FSB) </w:t>
      </w:r>
      <w:r w:rsidR="00D40414" w:rsidRPr="008859B2">
        <w:rPr>
          <w:i/>
        </w:rPr>
        <w:t xml:space="preserve">Principles </w:t>
      </w:r>
      <w:r w:rsidR="008859B2" w:rsidRPr="008859B2">
        <w:rPr>
          <w:i/>
        </w:rPr>
        <w:t>of</w:t>
      </w:r>
      <w:r w:rsidR="00D40414" w:rsidRPr="008859B2">
        <w:rPr>
          <w:i/>
        </w:rPr>
        <w:t xml:space="preserve"> Sound Compensation Practices</w:t>
      </w:r>
      <w:r w:rsidR="00D40414">
        <w:t>.</w:t>
      </w:r>
      <w:r w:rsidR="008859B2">
        <w:rPr>
          <w:rStyle w:val="FootnoteReference"/>
        </w:rPr>
        <w:footnoteReference w:id="5"/>
      </w:r>
      <w:r w:rsidR="00D40414" w:rsidRPr="00D40414">
        <w:t xml:space="preserve"> </w:t>
      </w:r>
    </w:p>
    <w:p w14:paraId="6075B00D" w14:textId="2AEBD4C0" w:rsidR="008C090E" w:rsidRDefault="00D40414" w:rsidP="008C090E">
      <w:r>
        <w:t>T</w:t>
      </w:r>
      <w:r w:rsidRPr="00C567F9">
        <w:t xml:space="preserve">able </w:t>
      </w:r>
      <w:r>
        <w:t xml:space="preserve">1 </w:t>
      </w:r>
      <w:r w:rsidRPr="00C567F9">
        <w:t xml:space="preserve">below </w:t>
      </w:r>
      <w:r>
        <w:t xml:space="preserve">sets out the revised </w:t>
      </w:r>
      <w:r w:rsidR="00025ED0">
        <w:t xml:space="preserve">CPS 511 </w:t>
      </w:r>
      <w:r>
        <w:t xml:space="preserve">proposals, against the original draft proposals, and </w:t>
      </w:r>
      <w:r w:rsidR="00025ED0">
        <w:t xml:space="preserve">explains </w:t>
      </w:r>
      <w:r>
        <w:t>the principles that have driven the changes</w:t>
      </w:r>
      <w:r w:rsidRPr="00C567F9">
        <w:t>.</w:t>
      </w:r>
      <w:r w:rsidR="00333CF2">
        <w:t xml:space="preserve"> </w:t>
      </w:r>
      <w:r w:rsidR="009A4839">
        <w:t>Compared to the draft proposals, APRA has taken a more principles-based approach, including to limiting the use of financial metrics in variable remuneration. The revised proposals will also introduce longer minimum deferral periods</w:t>
      </w:r>
      <w:r w:rsidR="00FE444B">
        <w:t xml:space="preserve"> for SFIs</w:t>
      </w:r>
      <w:r w:rsidR="009A4839">
        <w:t xml:space="preserve">, though </w:t>
      </w:r>
      <w:r w:rsidR="00FE444B">
        <w:t xml:space="preserve">these are </w:t>
      </w:r>
      <w:r w:rsidR="009A4839">
        <w:lastRenderedPageBreak/>
        <w:t xml:space="preserve">marginally shorter than originally proposed. </w:t>
      </w:r>
      <w:r w:rsidR="00FE444B">
        <w:t xml:space="preserve">There will be a further </w:t>
      </w:r>
      <w:r w:rsidR="00333CF2">
        <w:t>reduction in regulatory burden</w:t>
      </w:r>
      <w:r w:rsidR="00FE444B">
        <w:t xml:space="preserve"> for non-SFIs which, under the revised proposals, are </w:t>
      </w:r>
      <w:r w:rsidR="00C611AE">
        <w:t>not required to comply with deferral and clawback requirements</w:t>
      </w:r>
      <w:r w:rsidR="00FE444B">
        <w:t xml:space="preserve"> or review requirements</w:t>
      </w:r>
      <w:r w:rsidR="000F7B89">
        <w:t xml:space="preserve">. </w:t>
      </w:r>
      <w:r w:rsidR="00C05763">
        <w:t>R</w:t>
      </w:r>
      <w:r w:rsidR="003C06F6">
        <w:t xml:space="preserve">evised CPS 511 </w:t>
      </w:r>
      <w:r w:rsidR="00C05763">
        <w:t>is less onerous than existing CPS 510 and SPS 510 in certain areas, such as</w:t>
      </w:r>
      <w:r w:rsidR="00C05763" w:rsidRPr="00C05763">
        <w:t xml:space="preserve"> </w:t>
      </w:r>
      <w:r w:rsidR="00C05763">
        <w:t xml:space="preserve">there is no </w:t>
      </w:r>
      <w:r w:rsidR="00FE3748">
        <w:t xml:space="preserve">longer a </w:t>
      </w:r>
      <w:r w:rsidR="00C05763">
        <w:t xml:space="preserve">requirement </w:t>
      </w:r>
      <w:r w:rsidR="006C4906">
        <w:t xml:space="preserve">for non-SFIs </w:t>
      </w:r>
      <w:r w:rsidR="00C05763">
        <w:t>to have a board remu</w:t>
      </w:r>
      <w:r w:rsidR="00FE3748">
        <w:t>nera</w:t>
      </w:r>
      <w:r w:rsidR="00C05763">
        <w:t xml:space="preserve">tion committee. This </w:t>
      </w:r>
      <w:r w:rsidR="006C4906">
        <w:t>will</w:t>
      </w:r>
      <w:r w:rsidR="00C05763">
        <w:t xml:space="preserve"> minimise the impact of these proposals.</w:t>
      </w:r>
    </w:p>
    <w:p w14:paraId="5076F17C" w14:textId="7F564C1D" w:rsidR="00FE444B" w:rsidRDefault="00FE444B" w:rsidP="005016DB">
      <w:r>
        <w:t xml:space="preserve">Revised CPS 511 retains a consistent set of minimum requirements across all APRA-regulated industries. However, the more principles-based approach to CPS 511 allows entities greater flexibility to address requirements to </w:t>
      </w:r>
      <w:r w:rsidR="00790E2E">
        <w:t>each entity’s</w:t>
      </w:r>
      <w:r>
        <w:t xml:space="preserve"> own particular risks and circumstances. </w:t>
      </w:r>
    </w:p>
    <w:p w14:paraId="2F275103" w14:textId="006A9581" w:rsidR="009136BD" w:rsidRPr="00B97414" w:rsidRDefault="009136BD" w:rsidP="009136BD">
      <w:pPr>
        <w:rPr>
          <w:b/>
        </w:rPr>
      </w:pPr>
      <w:r w:rsidRPr="009F2CAC">
        <w:rPr>
          <w:b/>
        </w:rPr>
        <w:t xml:space="preserve">Table </w:t>
      </w:r>
      <w:r w:rsidR="00C255B7" w:rsidRPr="009F2CAC">
        <w:rPr>
          <w:b/>
        </w:rPr>
        <w:t>1</w:t>
      </w:r>
      <w:r w:rsidRPr="009F2CAC">
        <w:rPr>
          <w:b/>
        </w:rPr>
        <w:t>. Amendments to consultation proposals</w:t>
      </w:r>
      <w:r>
        <w:rPr>
          <w:b/>
        </w:rPr>
        <w:t xml:space="preserve"> </w:t>
      </w:r>
    </w:p>
    <w:tbl>
      <w:tblPr>
        <w:tblStyle w:val="TableGrid"/>
        <w:tblW w:w="9493" w:type="dxa"/>
        <w:tblLook w:val="04A0" w:firstRow="1" w:lastRow="0" w:firstColumn="1" w:lastColumn="0" w:noHBand="0" w:noVBand="1"/>
      </w:tblPr>
      <w:tblGrid>
        <w:gridCol w:w="2562"/>
        <w:gridCol w:w="1661"/>
        <w:gridCol w:w="1814"/>
        <w:gridCol w:w="1757"/>
        <w:gridCol w:w="1699"/>
      </w:tblGrid>
      <w:tr w:rsidR="000D5BD1" w:rsidRPr="00906C7E" w14:paraId="44123CA8" w14:textId="77777777" w:rsidTr="00DB0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tcPr>
          <w:p w14:paraId="49363EFA" w14:textId="77777777" w:rsidR="000D5BD1" w:rsidRPr="005E21D8" w:rsidRDefault="000D5BD1" w:rsidP="00C152A3">
            <w:pPr>
              <w:rPr>
                <w:b/>
                <w:szCs w:val="20"/>
              </w:rPr>
            </w:pPr>
          </w:p>
        </w:tc>
        <w:tc>
          <w:tcPr>
            <w:tcW w:w="1661" w:type="dxa"/>
          </w:tcPr>
          <w:p w14:paraId="411ADB88" w14:textId="7FEDA799" w:rsidR="000D5BD1" w:rsidRPr="005E21D8" w:rsidRDefault="000D5BD1" w:rsidP="00C152A3">
            <w:pPr>
              <w:jc w:val="center"/>
              <w:cnfStyle w:val="100000000000" w:firstRow="1" w:lastRow="0" w:firstColumn="0" w:lastColumn="0" w:oddVBand="0" w:evenVBand="0" w:oddHBand="0" w:evenHBand="0" w:firstRowFirstColumn="0" w:firstRowLastColumn="0" w:lastRowFirstColumn="0" w:lastRowLastColumn="0"/>
              <w:rPr>
                <w:b/>
                <w:szCs w:val="20"/>
              </w:rPr>
            </w:pPr>
            <w:r w:rsidRPr="005E21D8">
              <w:rPr>
                <w:b/>
                <w:szCs w:val="20"/>
              </w:rPr>
              <w:t>Original draft CPS 511</w:t>
            </w:r>
            <w:r>
              <w:rPr>
                <w:b/>
                <w:szCs w:val="20"/>
              </w:rPr>
              <w:t xml:space="preserve"> </w:t>
            </w:r>
          </w:p>
        </w:tc>
        <w:tc>
          <w:tcPr>
            <w:tcW w:w="1814" w:type="dxa"/>
          </w:tcPr>
          <w:p w14:paraId="3E64BAA9" w14:textId="2802CEA4" w:rsidR="000D5BD1" w:rsidRPr="005E21D8" w:rsidRDefault="000D5BD1" w:rsidP="00C152A3">
            <w:pPr>
              <w:jc w:val="center"/>
              <w:cnfStyle w:val="100000000000" w:firstRow="1" w:lastRow="0" w:firstColumn="0" w:lastColumn="0" w:oddVBand="0" w:evenVBand="0" w:oddHBand="0" w:evenHBand="0" w:firstRowFirstColumn="0" w:firstRowLastColumn="0" w:lastRowFirstColumn="0" w:lastRowLastColumn="0"/>
              <w:rPr>
                <w:b/>
                <w:szCs w:val="20"/>
              </w:rPr>
            </w:pPr>
            <w:r w:rsidRPr="005E21D8">
              <w:rPr>
                <w:b/>
                <w:szCs w:val="20"/>
              </w:rPr>
              <w:t>Revised CPS 511</w:t>
            </w:r>
            <w:r w:rsidR="003A500F">
              <w:rPr>
                <w:b/>
                <w:szCs w:val="20"/>
              </w:rPr>
              <w:t>:</w:t>
            </w:r>
            <w:r>
              <w:rPr>
                <w:b/>
                <w:szCs w:val="20"/>
              </w:rPr>
              <w:t xml:space="preserve"> SFIs</w:t>
            </w:r>
          </w:p>
        </w:tc>
        <w:tc>
          <w:tcPr>
            <w:tcW w:w="1757" w:type="dxa"/>
          </w:tcPr>
          <w:p w14:paraId="3959BF76" w14:textId="6E57AA9D" w:rsidR="000D5BD1" w:rsidRPr="005E21D8" w:rsidRDefault="000D5BD1" w:rsidP="00C152A3">
            <w:pPr>
              <w:jc w:val="center"/>
              <w:cnfStyle w:val="100000000000" w:firstRow="1" w:lastRow="0" w:firstColumn="0" w:lastColumn="0" w:oddVBand="0" w:evenVBand="0" w:oddHBand="0" w:evenHBand="0" w:firstRowFirstColumn="0" w:firstRowLastColumn="0" w:lastRowFirstColumn="0" w:lastRowLastColumn="0"/>
              <w:rPr>
                <w:b/>
                <w:szCs w:val="20"/>
              </w:rPr>
            </w:pPr>
            <w:r w:rsidRPr="005E21D8">
              <w:rPr>
                <w:b/>
                <w:szCs w:val="20"/>
              </w:rPr>
              <w:t>Revised CPS 511</w:t>
            </w:r>
            <w:r w:rsidR="003A500F">
              <w:rPr>
                <w:b/>
                <w:szCs w:val="20"/>
              </w:rPr>
              <w:t>:</w:t>
            </w:r>
            <w:r>
              <w:rPr>
                <w:b/>
                <w:szCs w:val="20"/>
              </w:rPr>
              <w:t xml:space="preserve"> </w:t>
            </w:r>
            <w:r w:rsidR="003A500F">
              <w:rPr>
                <w:b/>
                <w:szCs w:val="20"/>
              </w:rPr>
              <w:t>n</w:t>
            </w:r>
            <w:r>
              <w:rPr>
                <w:b/>
                <w:szCs w:val="20"/>
              </w:rPr>
              <w:t>on-SFIs</w:t>
            </w:r>
          </w:p>
        </w:tc>
        <w:tc>
          <w:tcPr>
            <w:tcW w:w="1699" w:type="dxa"/>
          </w:tcPr>
          <w:p w14:paraId="4312D215" w14:textId="77777777" w:rsidR="000D5BD1" w:rsidRPr="005E21D8" w:rsidRDefault="000D5BD1" w:rsidP="00C152A3">
            <w:pPr>
              <w:jc w:val="center"/>
              <w:cnfStyle w:val="100000000000" w:firstRow="1" w:lastRow="0" w:firstColumn="0" w:lastColumn="0" w:oddVBand="0" w:evenVBand="0" w:oddHBand="0" w:evenHBand="0" w:firstRowFirstColumn="0" w:firstRowLastColumn="0" w:lastRowFirstColumn="0" w:lastRowLastColumn="0"/>
              <w:rPr>
                <w:b/>
                <w:szCs w:val="20"/>
              </w:rPr>
            </w:pPr>
            <w:r w:rsidRPr="005E21D8">
              <w:rPr>
                <w:b/>
                <w:szCs w:val="20"/>
              </w:rPr>
              <w:t>Reason for change</w:t>
            </w:r>
          </w:p>
        </w:tc>
      </w:tr>
      <w:tr w:rsidR="000D5BD1" w:rsidRPr="00906C7E" w14:paraId="323BDC0E" w14:textId="77777777" w:rsidTr="00DB0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AEC7FE" w:themeFill="accent1" w:themeFillTint="33"/>
          </w:tcPr>
          <w:p w14:paraId="64A3BA66" w14:textId="77777777" w:rsidR="000D5BD1" w:rsidRPr="005E21D8" w:rsidRDefault="000D5BD1" w:rsidP="00C152A3">
            <w:pPr>
              <w:rPr>
                <w:szCs w:val="20"/>
              </w:rPr>
            </w:pPr>
            <w:r w:rsidRPr="005E21D8">
              <w:rPr>
                <w:szCs w:val="20"/>
              </w:rPr>
              <w:t>Board oversight</w:t>
            </w:r>
          </w:p>
        </w:tc>
        <w:tc>
          <w:tcPr>
            <w:tcW w:w="1661" w:type="dxa"/>
            <w:shd w:val="clear" w:color="auto" w:fill="AEC7FE" w:themeFill="accent1" w:themeFillTint="33"/>
          </w:tcPr>
          <w:p w14:paraId="7832B976"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c>
          <w:tcPr>
            <w:tcW w:w="1814" w:type="dxa"/>
            <w:shd w:val="clear" w:color="auto" w:fill="AEC7FE" w:themeFill="accent1" w:themeFillTint="33"/>
          </w:tcPr>
          <w:p w14:paraId="4D01DEF9"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c>
          <w:tcPr>
            <w:tcW w:w="1757" w:type="dxa"/>
            <w:shd w:val="clear" w:color="auto" w:fill="AEC7FE" w:themeFill="accent1" w:themeFillTint="33"/>
          </w:tcPr>
          <w:p w14:paraId="5BD3E114"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c>
          <w:tcPr>
            <w:tcW w:w="1699" w:type="dxa"/>
            <w:shd w:val="clear" w:color="auto" w:fill="AEC7FE" w:themeFill="accent1" w:themeFillTint="33"/>
          </w:tcPr>
          <w:p w14:paraId="6A6EA84F"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r>
      <w:tr w:rsidR="000D5BD1" w:rsidRPr="00906C7E" w14:paraId="4767B4AF" w14:textId="77777777" w:rsidTr="00DB0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3D75DA81" w14:textId="77777777" w:rsidR="000D5BD1" w:rsidRPr="005E21D8" w:rsidRDefault="000D5BD1" w:rsidP="00C152A3">
            <w:pPr>
              <w:rPr>
                <w:szCs w:val="20"/>
              </w:rPr>
            </w:pPr>
            <w:r w:rsidRPr="005E21D8">
              <w:rPr>
                <w:szCs w:val="20"/>
              </w:rPr>
              <w:t>Oversee framework and policy</w:t>
            </w:r>
          </w:p>
        </w:tc>
        <w:tc>
          <w:tcPr>
            <w:tcW w:w="1661" w:type="dxa"/>
            <w:shd w:val="clear" w:color="auto" w:fill="F2F2F2" w:themeFill="background1" w:themeFillShade="F2"/>
          </w:tcPr>
          <w:p w14:paraId="6D4C6366" w14:textId="77777777" w:rsidR="000D5BD1" w:rsidRPr="005E21D8" w:rsidRDefault="000D5BD1"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tc>
        <w:tc>
          <w:tcPr>
            <w:tcW w:w="1814" w:type="dxa"/>
            <w:shd w:val="clear" w:color="auto" w:fill="F2F2F2" w:themeFill="background1" w:themeFillShade="F2"/>
          </w:tcPr>
          <w:p w14:paraId="268E2669" w14:textId="77777777" w:rsidR="000D5BD1" w:rsidRPr="005E21D8" w:rsidRDefault="000D5BD1"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tc>
        <w:tc>
          <w:tcPr>
            <w:tcW w:w="1757" w:type="dxa"/>
            <w:shd w:val="clear" w:color="auto" w:fill="F2F2F2" w:themeFill="background1" w:themeFillShade="F2"/>
          </w:tcPr>
          <w:p w14:paraId="308539FB" w14:textId="77777777" w:rsidR="00DB0250" w:rsidRDefault="000D5BD1" w:rsidP="00DB0250">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r>
              <w:rPr>
                <w:szCs w:val="20"/>
              </w:rPr>
              <w:t xml:space="preserve"> </w:t>
            </w:r>
          </w:p>
          <w:p w14:paraId="3664426B" w14:textId="4CB03482" w:rsidR="000D5BD1" w:rsidRPr="005E21D8" w:rsidRDefault="00DB0250" w:rsidP="00DB0250">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Streamlined</w:t>
            </w:r>
            <w:r w:rsidR="000D5BD1" w:rsidRPr="005E21D8">
              <w:rPr>
                <w:szCs w:val="20"/>
              </w:rPr>
              <w:t xml:space="preserve"> </w:t>
            </w:r>
          </w:p>
        </w:tc>
        <w:tc>
          <w:tcPr>
            <w:tcW w:w="1699" w:type="dxa"/>
            <w:vMerge w:val="restart"/>
            <w:shd w:val="clear" w:color="auto" w:fill="F2F2F2" w:themeFill="background1" w:themeFillShade="F2"/>
          </w:tcPr>
          <w:p w14:paraId="3F54C628" w14:textId="77777777" w:rsidR="000D5BD1" w:rsidRPr="005E21D8" w:rsidRDefault="000D5BD1" w:rsidP="00C152A3">
            <w:pPr>
              <w:cnfStyle w:val="000000010000" w:firstRow="0" w:lastRow="0" w:firstColumn="0" w:lastColumn="0" w:oddVBand="0" w:evenVBand="0" w:oddHBand="0" w:evenHBand="1" w:firstRowFirstColumn="0" w:firstRowLastColumn="0" w:lastRowFirstColumn="0" w:lastRowLastColumn="0"/>
              <w:rPr>
                <w:szCs w:val="20"/>
              </w:rPr>
            </w:pPr>
          </w:p>
          <w:p w14:paraId="3242CAB8" w14:textId="352309A0" w:rsidR="000D5BD1" w:rsidRPr="005E21D8" w:rsidRDefault="00DB44F5" w:rsidP="00B97414">
            <w:pPr>
              <w:pStyle w:val="CommentText"/>
              <w:cnfStyle w:val="000000010000" w:firstRow="0" w:lastRow="0" w:firstColumn="0" w:lastColumn="0" w:oddVBand="0" w:evenVBand="0" w:oddHBand="0" w:evenHBand="1" w:firstRowFirstColumn="0" w:firstRowLastColumn="0" w:lastRowFirstColumn="0" w:lastRowLastColumn="0"/>
              <w:rPr>
                <w:szCs w:val="20"/>
              </w:rPr>
            </w:pPr>
            <w:r>
              <w:rPr>
                <w:szCs w:val="20"/>
              </w:rPr>
              <w:t>To r</w:t>
            </w:r>
            <w:r w:rsidR="000D5BD1" w:rsidRPr="005E21D8">
              <w:rPr>
                <w:szCs w:val="20"/>
              </w:rPr>
              <w:t>educe operational burden</w:t>
            </w:r>
            <w:r>
              <w:rPr>
                <w:szCs w:val="20"/>
              </w:rPr>
              <w:t xml:space="preserve"> and</w:t>
            </w:r>
            <w:r w:rsidR="000D5BD1" w:rsidRPr="005E21D8">
              <w:rPr>
                <w:szCs w:val="20"/>
              </w:rPr>
              <w:t xml:space="preserve"> ensure </w:t>
            </w:r>
            <w:r>
              <w:rPr>
                <w:szCs w:val="20"/>
              </w:rPr>
              <w:t xml:space="preserve">effective </w:t>
            </w:r>
            <w:r w:rsidR="000D5BD1" w:rsidRPr="005E21D8">
              <w:rPr>
                <w:szCs w:val="20"/>
              </w:rPr>
              <w:t>oversight</w:t>
            </w:r>
            <w:r w:rsidR="00B97414">
              <w:rPr>
                <w:szCs w:val="20"/>
              </w:rPr>
              <w:t xml:space="preserve"> </w:t>
            </w:r>
          </w:p>
        </w:tc>
      </w:tr>
      <w:tr w:rsidR="000D5BD1" w:rsidRPr="00906C7E" w14:paraId="6BBE6D2E" w14:textId="77777777" w:rsidTr="002F6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708B6E1F" w14:textId="77777777" w:rsidR="000D5BD1" w:rsidRPr="005E21D8" w:rsidRDefault="000D5BD1" w:rsidP="00C152A3">
            <w:pPr>
              <w:rPr>
                <w:szCs w:val="20"/>
              </w:rPr>
            </w:pPr>
            <w:r w:rsidRPr="005E21D8">
              <w:rPr>
                <w:szCs w:val="20"/>
              </w:rPr>
              <w:t>Ensure risk outcomes reflected in remuneration</w:t>
            </w:r>
          </w:p>
        </w:tc>
        <w:tc>
          <w:tcPr>
            <w:tcW w:w="1661" w:type="dxa"/>
            <w:shd w:val="clear" w:color="auto" w:fill="F2F2F2" w:themeFill="background1" w:themeFillShade="F2"/>
          </w:tcPr>
          <w:p w14:paraId="300C7F38" w14:textId="77777777" w:rsidR="000D5BD1" w:rsidRPr="005E21D8" w:rsidRDefault="000D5BD1" w:rsidP="000D5BD1">
            <w:pPr>
              <w:numPr>
                <w:ilvl w:val="0"/>
                <w:numId w:val="50"/>
              </w:numPr>
              <w:jc w:val="center"/>
              <w:cnfStyle w:val="000000100000" w:firstRow="0" w:lastRow="0" w:firstColumn="0" w:lastColumn="0" w:oddVBand="0" w:evenVBand="0" w:oddHBand="1" w:evenHBand="0" w:firstRowFirstColumn="0" w:firstRowLastColumn="0" w:lastRowFirstColumn="0" w:lastRowLastColumn="0"/>
              <w:rPr>
                <w:szCs w:val="20"/>
              </w:rPr>
            </w:pPr>
          </w:p>
        </w:tc>
        <w:tc>
          <w:tcPr>
            <w:tcW w:w="1814" w:type="dxa"/>
            <w:shd w:val="clear" w:color="auto" w:fill="F2F2F2" w:themeFill="background1" w:themeFillShade="F2"/>
          </w:tcPr>
          <w:p w14:paraId="6A7946CE" w14:textId="77777777" w:rsidR="000D5BD1" w:rsidRPr="005E21D8" w:rsidRDefault="000D5BD1" w:rsidP="000D5BD1">
            <w:pPr>
              <w:numPr>
                <w:ilvl w:val="0"/>
                <w:numId w:val="50"/>
              </w:numPr>
              <w:jc w:val="center"/>
              <w:cnfStyle w:val="000000100000" w:firstRow="0" w:lastRow="0" w:firstColumn="0" w:lastColumn="0" w:oddVBand="0" w:evenVBand="0" w:oddHBand="1" w:evenHBand="0" w:firstRowFirstColumn="0" w:firstRowLastColumn="0" w:lastRowFirstColumn="0" w:lastRowLastColumn="0"/>
              <w:rPr>
                <w:szCs w:val="20"/>
              </w:rPr>
            </w:pPr>
          </w:p>
          <w:p w14:paraId="499E4745" w14:textId="71609270" w:rsidR="000D5BD1" w:rsidRPr="005E21D8" w:rsidRDefault="000D5BD1" w:rsidP="00C152A3">
            <w:pPr>
              <w:jc w:val="center"/>
              <w:cnfStyle w:val="000000100000" w:firstRow="0" w:lastRow="0" w:firstColumn="0" w:lastColumn="0" w:oddVBand="0" w:evenVBand="0" w:oddHBand="1" w:evenHBand="0" w:firstRowFirstColumn="0" w:firstRowLastColumn="0" w:lastRowFirstColumn="0" w:lastRowLastColumn="0"/>
              <w:rPr>
                <w:szCs w:val="20"/>
              </w:rPr>
            </w:pPr>
            <w:r w:rsidRPr="005E21D8">
              <w:rPr>
                <w:szCs w:val="20"/>
              </w:rPr>
              <w:t>Less prescription</w:t>
            </w:r>
          </w:p>
        </w:tc>
        <w:tc>
          <w:tcPr>
            <w:tcW w:w="1757" w:type="dxa"/>
            <w:shd w:val="clear" w:color="auto" w:fill="F2F2F2" w:themeFill="background1" w:themeFillShade="F2"/>
          </w:tcPr>
          <w:p w14:paraId="238CC1F3" w14:textId="3FD95B9E" w:rsidR="000D5BD1" w:rsidRDefault="000D5BD1" w:rsidP="00110ECA">
            <w:pPr>
              <w:numPr>
                <w:ilvl w:val="0"/>
                <w:numId w:val="50"/>
              </w:numPr>
              <w:jc w:val="center"/>
              <w:cnfStyle w:val="000000100000" w:firstRow="0" w:lastRow="0" w:firstColumn="0" w:lastColumn="0" w:oddVBand="0" w:evenVBand="0" w:oddHBand="1" w:evenHBand="0" w:firstRowFirstColumn="0" w:firstRowLastColumn="0" w:lastRowFirstColumn="0" w:lastRowLastColumn="0"/>
              <w:rPr>
                <w:szCs w:val="20"/>
              </w:rPr>
            </w:pPr>
          </w:p>
          <w:p w14:paraId="5820F443" w14:textId="690BBE4B" w:rsidR="000D5BD1" w:rsidRPr="005E21D8" w:rsidRDefault="00110ECA" w:rsidP="00B733F9">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Streamlined</w:t>
            </w:r>
          </w:p>
        </w:tc>
        <w:tc>
          <w:tcPr>
            <w:tcW w:w="1699" w:type="dxa"/>
            <w:vMerge/>
            <w:shd w:val="clear" w:color="auto" w:fill="F2F2F2" w:themeFill="background1" w:themeFillShade="F2"/>
          </w:tcPr>
          <w:p w14:paraId="03479226"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r>
      <w:tr w:rsidR="000D5BD1" w:rsidRPr="00906C7E" w14:paraId="231F27E8" w14:textId="77777777" w:rsidTr="002F6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036F7275" w14:textId="77777777" w:rsidR="000D5BD1" w:rsidRPr="005E21D8" w:rsidRDefault="000D5BD1" w:rsidP="00C152A3">
            <w:pPr>
              <w:rPr>
                <w:szCs w:val="20"/>
              </w:rPr>
            </w:pPr>
            <w:r w:rsidRPr="005E21D8">
              <w:rPr>
                <w:szCs w:val="20"/>
              </w:rPr>
              <w:t>Approve remuneration for specified roles</w:t>
            </w:r>
          </w:p>
        </w:tc>
        <w:tc>
          <w:tcPr>
            <w:tcW w:w="1661" w:type="dxa"/>
            <w:shd w:val="clear" w:color="auto" w:fill="F2F2F2" w:themeFill="background1" w:themeFillShade="F2"/>
          </w:tcPr>
          <w:p w14:paraId="6586968B" w14:textId="77777777" w:rsidR="000D5BD1" w:rsidRPr="005E21D8" w:rsidRDefault="000D5BD1"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p w14:paraId="774A3A7E" w14:textId="3F5589E1" w:rsidR="000D5BD1" w:rsidRPr="005E21D8" w:rsidRDefault="00B97414" w:rsidP="00B97414">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HPMRT</w:t>
            </w:r>
            <w:r w:rsidRPr="005E21D8">
              <w:rPr>
                <w:szCs w:val="20"/>
              </w:rPr>
              <w:t xml:space="preserve"> </w:t>
            </w:r>
            <w:r>
              <w:rPr>
                <w:szCs w:val="20"/>
              </w:rPr>
              <w:t>on i</w:t>
            </w:r>
            <w:r w:rsidR="000D5BD1" w:rsidRPr="005E21D8">
              <w:rPr>
                <w:szCs w:val="20"/>
              </w:rPr>
              <w:t xml:space="preserve">ndividual </w:t>
            </w:r>
            <w:r>
              <w:rPr>
                <w:szCs w:val="20"/>
              </w:rPr>
              <w:t>basis</w:t>
            </w:r>
          </w:p>
        </w:tc>
        <w:tc>
          <w:tcPr>
            <w:tcW w:w="1814" w:type="dxa"/>
            <w:shd w:val="clear" w:color="auto" w:fill="F2F2F2" w:themeFill="background1" w:themeFillShade="F2"/>
          </w:tcPr>
          <w:p w14:paraId="75B2F878" w14:textId="77777777" w:rsidR="000D5BD1" w:rsidRPr="005E21D8" w:rsidRDefault="000D5BD1"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p w14:paraId="6DF307CE" w14:textId="2177DADF" w:rsidR="000D5BD1" w:rsidRPr="005E21D8" w:rsidRDefault="000D5BD1" w:rsidP="00C152A3">
            <w:pPr>
              <w:jc w:val="center"/>
              <w:cnfStyle w:val="000000010000" w:firstRow="0" w:lastRow="0" w:firstColumn="0" w:lastColumn="0" w:oddVBand="0" w:evenVBand="0" w:oddHBand="0" w:evenHBand="1" w:firstRowFirstColumn="0" w:firstRowLastColumn="0" w:lastRowFirstColumn="0" w:lastRowLastColumn="0"/>
              <w:rPr>
                <w:szCs w:val="20"/>
              </w:rPr>
            </w:pPr>
            <w:r w:rsidRPr="005E21D8">
              <w:rPr>
                <w:szCs w:val="20"/>
              </w:rPr>
              <w:t>HPMRT</w:t>
            </w:r>
            <w:r w:rsidR="00B97414">
              <w:rPr>
                <w:szCs w:val="20"/>
              </w:rPr>
              <w:t xml:space="preserve"> reduced to cohort basis</w:t>
            </w:r>
          </w:p>
        </w:tc>
        <w:tc>
          <w:tcPr>
            <w:tcW w:w="1757" w:type="dxa"/>
            <w:shd w:val="clear" w:color="auto" w:fill="F2F2F2" w:themeFill="background1" w:themeFillShade="F2"/>
          </w:tcPr>
          <w:p w14:paraId="0D0F61F0" w14:textId="33CFC01A" w:rsidR="00DB0250" w:rsidRDefault="00DB0250"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p w14:paraId="1F7F5F8D" w14:textId="28756A87" w:rsidR="000D5BD1" w:rsidRPr="005E21D8" w:rsidRDefault="00146CA4" w:rsidP="00DB0250">
            <w:pPr>
              <w:jc w:val="center"/>
              <w:cnfStyle w:val="000000010000" w:firstRow="0" w:lastRow="0" w:firstColumn="0" w:lastColumn="0" w:oddVBand="0" w:evenVBand="0" w:oddHBand="0" w:evenHBand="1" w:firstRowFirstColumn="0" w:firstRowLastColumn="0" w:lastRowFirstColumn="0" w:lastRowLastColumn="0"/>
              <w:rPr>
                <w:szCs w:val="20"/>
              </w:rPr>
            </w:pPr>
            <w:r w:rsidRPr="005E21D8">
              <w:rPr>
                <w:szCs w:val="20"/>
              </w:rPr>
              <w:t>HPMRT</w:t>
            </w:r>
            <w:r>
              <w:rPr>
                <w:szCs w:val="20"/>
              </w:rPr>
              <w:t xml:space="preserve"> reduced to cohort basis</w:t>
            </w:r>
          </w:p>
        </w:tc>
        <w:tc>
          <w:tcPr>
            <w:tcW w:w="1699" w:type="dxa"/>
            <w:vMerge/>
            <w:shd w:val="clear" w:color="auto" w:fill="F2F2F2" w:themeFill="background1" w:themeFillShade="F2"/>
          </w:tcPr>
          <w:p w14:paraId="7481657B" w14:textId="77777777" w:rsidR="000D5BD1" w:rsidRPr="005E21D8" w:rsidRDefault="000D5BD1" w:rsidP="00C152A3">
            <w:pPr>
              <w:cnfStyle w:val="000000010000" w:firstRow="0" w:lastRow="0" w:firstColumn="0" w:lastColumn="0" w:oddVBand="0" w:evenVBand="0" w:oddHBand="0" w:evenHBand="1" w:firstRowFirstColumn="0" w:firstRowLastColumn="0" w:lastRowFirstColumn="0" w:lastRowLastColumn="0"/>
              <w:rPr>
                <w:szCs w:val="20"/>
              </w:rPr>
            </w:pPr>
          </w:p>
        </w:tc>
      </w:tr>
      <w:tr w:rsidR="000D5BD1" w:rsidRPr="00906C7E" w14:paraId="61C61A8B" w14:textId="77777777" w:rsidTr="00DB0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AEC7FE" w:themeFill="accent1" w:themeFillTint="33"/>
          </w:tcPr>
          <w:p w14:paraId="7D4AAB72" w14:textId="77777777" w:rsidR="000D5BD1" w:rsidRPr="005E21D8" w:rsidRDefault="000D5BD1" w:rsidP="00C152A3">
            <w:pPr>
              <w:rPr>
                <w:szCs w:val="20"/>
              </w:rPr>
            </w:pPr>
            <w:r w:rsidRPr="005E21D8">
              <w:rPr>
                <w:szCs w:val="20"/>
              </w:rPr>
              <w:t>Remuneration framework</w:t>
            </w:r>
          </w:p>
        </w:tc>
        <w:tc>
          <w:tcPr>
            <w:tcW w:w="1661" w:type="dxa"/>
            <w:shd w:val="clear" w:color="auto" w:fill="AEC7FE" w:themeFill="accent1" w:themeFillTint="33"/>
          </w:tcPr>
          <w:p w14:paraId="34A02F26"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c>
          <w:tcPr>
            <w:tcW w:w="1814" w:type="dxa"/>
            <w:shd w:val="clear" w:color="auto" w:fill="AEC7FE" w:themeFill="accent1" w:themeFillTint="33"/>
          </w:tcPr>
          <w:p w14:paraId="003D8CAA"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c>
          <w:tcPr>
            <w:tcW w:w="1757" w:type="dxa"/>
            <w:shd w:val="clear" w:color="auto" w:fill="AEC7FE" w:themeFill="accent1" w:themeFillTint="33"/>
          </w:tcPr>
          <w:p w14:paraId="544A10A7"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c>
          <w:tcPr>
            <w:tcW w:w="1699" w:type="dxa"/>
            <w:shd w:val="clear" w:color="auto" w:fill="AEC7FE" w:themeFill="accent1" w:themeFillTint="33"/>
          </w:tcPr>
          <w:p w14:paraId="386DA7AB"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r>
      <w:tr w:rsidR="000D5BD1" w:rsidRPr="00906C7E" w14:paraId="2E8A6AB6" w14:textId="77777777" w:rsidTr="00DB0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07F53505" w14:textId="77777777" w:rsidR="000D5BD1" w:rsidRPr="005E21D8" w:rsidRDefault="000D5BD1" w:rsidP="00C152A3">
            <w:pPr>
              <w:rPr>
                <w:szCs w:val="20"/>
              </w:rPr>
            </w:pPr>
            <w:r w:rsidRPr="005E21D8">
              <w:rPr>
                <w:szCs w:val="20"/>
              </w:rPr>
              <w:t>Promote long-term objectives</w:t>
            </w:r>
          </w:p>
        </w:tc>
        <w:tc>
          <w:tcPr>
            <w:tcW w:w="1661" w:type="dxa"/>
            <w:shd w:val="clear" w:color="auto" w:fill="F2F2F2" w:themeFill="background1" w:themeFillShade="F2"/>
          </w:tcPr>
          <w:p w14:paraId="64FFB138" w14:textId="77777777" w:rsidR="000D5BD1" w:rsidRPr="005E21D8" w:rsidRDefault="000D5BD1"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tc>
        <w:tc>
          <w:tcPr>
            <w:tcW w:w="1814" w:type="dxa"/>
            <w:shd w:val="clear" w:color="auto" w:fill="F2F2F2" w:themeFill="background1" w:themeFillShade="F2"/>
          </w:tcPr>
          <w:p w14:paraId="403E9838" w14:textId="77777777" w:rsidR="000D5BD1" w:rsidRPr="005E21D8" w:rsidRDefault="000D5BD1"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tc>
        <w:tc>
          <w:tcPr>
            <w:tcW w:w="1757" w:type="dxa"/>
            <w:shd w:val="clear" w:color="auto" w:fill="F2F2F2" w:themeFill="background1" w:themeFillShade="F2"/>
          </w:tcPr>
          <w:p w14:paraId="3C62853E" w14:textId="77777777" w:rsidR="000D5BD1" w:rsidRPr="005E21D8" w:rsidRDefault="000D5BD1"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tc>
        <w:tc>
          <w:tcPr>
            <w:tcW w:w="1699" w:type="dxa"/>
            <w:vMerge w:val="restart"/>
            <w:shd w:val="clear" w:color="auto" w:fill="F2F2F2" w:themeFill="background1" w:themeFillShade="F2"/>
          </w:tcPr>
          <w:p w14:paraId="03ECCD3E" w14:textId="61840200" w:rsidR="000D5BD1" w:rsidRPr="005E21D8" w:rsidRDefault="00DB44F5" w:rsidP="00DB0250">
            <w:pPr>
              <w:cnfStyle w:val="000000010000" w:firstRow="0" w:lastRow="0" w:firstColumn="0" w:lastColumn="0" w:oddVBand="0" w:evenVBand="0" w:oddHBand="0" w:evenHBand="1" w:firstRowFirstColumn="0" w:firstRowLastColumn="0" w:lastRowFirstColumn="0" w:lastRowLastColumn="0"/>
              <w:rPr>
                <w:szCs w:val="20"/>
              </w:rPr>
            </w:pPr>
            <w:r>
              <w:rPr>
                <w:szCs w:val="20"/>
              </w:rPr>
              <w:t>To c</w:t>
            </w:r>
            <w:r w:rsidRPr="005E21D8">
              <w:rPr>
                <w:szCs w:val="20"/>
              </w:rPr>
              <w:t xml:space="preserve">larify </w:t>
            </w:r>
            <w:r>
              <w:rPr>
                <w:szCs w:val="20"/>
              </w:rPr>
              <w:t xml:space="preserve">policy </w:t>
            </w:r>
            <w:r w:rsidR="000D5BD1" w:rsidRPr="005E21D8">
              <w:rPr>
                <w:szCs w:val="20"/>
              </w:rPr>
              <w:t>intent</w:t>
            </w:r>
            <w:r w:rsidR="00B97414">
              <w:rPr>
                <w:szCs w:val="20"/>
              </w:rPr>
              <w:t xml:space="preserve"> </w:t>
            </w:r>
            <w:r w:rsidR="00EE4EB1">
              <w:rPr>
                <w:szCs w:val="20"/>
              </w:rPr>
              <w:t>that focus for</w:t>
            </w:r>
            <w:r w:rsidR="00B97414">
              <w:t xml:space="preserve"> third-party providers </w:t>
            </w:r>
            <w:r w:rsidR="00EE4EB1">
              <w:t>is assessing conflicts of interest</w:t>
            </w:r>
          </w:p>
        </w:tc>
      </w:tr>
      <w:tr w:rsidR="000D5BD1" w:rsidRPr="00906C7E" w14:paraId="31BD8E11" w14:textId="77777777" w:rsidTr="00DB0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0F2CA1E2" w14:textId="77777777" w:rsidR="000D5BD1" w:rsidRPr="005E21D8" w:rsidRDefault="000D5BD1" w:rsidP="00C152A3">
            <w:pPr>
              <w:rPr>
                <w:szCs w:val="20"/>
              </w:rPr>
            </w:pPr>
            <w:r w:rsidRPr="005E21D8">
              <w:rPr>
                <w:szCs w:val="20"/>
              </w:rPr>
              <w:t>Covers all employees</w:t>
            </w:r>
          </w:p>
        </w:tc>
        <w:tc>
          <w:tcPr>
            <w:tcW w:w="1661" w:type="dxa"/>
            <w:shd w:val="clear" w:color="auto" w:fill="F2F2F2" w:themeFill="background1" w:themeFillShade="F2"/>
          </w:tcPr>
          <w:p w14:paraId="3E4B25CE" w14:textId="77777777" w:rsidR="000D5BD1" w:rsidRPr="005E21D8" w:rsidRDefault="000D5BD1" w:rsidP="000D5BD1">
            <w:pPr>
              <w:numPr>
                <w:ilvl w:val="0"/>
                <w:numId w:val="50"/>
              </w:numPr>
              <w:jc w:val="center"/>
              <w:cnfStyle w:val="000000100000" w:firstRow="0" w:lastRow="0" w:firstColumn="0" w:lastColumn="0" w:oddVBand="0" w:evenVBand="0" w:oddHBand="1" w:evenHBand="0" w:firstRowFirstColumn="0" w:firstRowLastColumn="0" w:lastRowFirstColumn="0" w:lastRowLastColumn="0"/>
              <w:rPr>
                <w:szCs w:val="20"/>
              </w:rPr>
            </w:pPr>
          </w:p>
        </w:tc>
        <w:tc>
          <w:tcPr>
            <w:tcW w:w="1814" w:type="dxa"/>
            <w:shd w:val="clear" w:color="auto" w:fill="F2F2F2" w:themeFill="background1" w:themeFillShade="F2"/>
          </w:tcPr>
          <w:p w14:paraId="63F62D58" w14:textId="77777777" w:rsidR="000D5BD1" w:rsidRPr="005E21D8" w:rsidRDefault="000D5BD1" w:rsidP="000D5BD1">
            <w:pPr>
              <w:numPr>
                <w:ilvl w:val="0"/>
                <w:numId w:val="50"/>
              </w:numPr>
              <w:jc w:val="center"/>
              <w:cnfStyle w:val="000000100000" w:firstRow="0" w:lastRow="0" w:firstColumn="0" w:lastColumn="0" w:oddVBand="0" w:evenVBand="0" w:oddHBand="1" w:evenHBand="0" w:firstRowFirstColumn="0" w:firstRowLastColumn="0" w:lastRowFirstColumn="0" w:lastRowLastColumn="0"/>
              <w:rPr>
                <w:szCs w:val="20"/>
              </w:rPr>
            </w:pPr>
          </w:p>
        </w:tc>
        <w:tc>
          <w:tcPr>
            <w:tcW w:w="1757" w:type="dxa"/>
            <w:shd w:val="clear" w:color="auto" w:fill="F2F2F2" w:themeFill="background1" w:themeFillShade="F2"/>
          </w:tcPr>
          <w:p w14:paraId="76367D2E" w14:textId="77777777" w:rsidR="000D5BD1" w:rsidRPr="005E21D8" w:rsidRDefault="000D5BD1" w:rsidP="000D5BD1">
            <w:pPr>
              <w:numPr>
                <w:ilvl w:val="0"/>
                <w:numId w:val="50"/>
              </w:numPr>
              <w:jc w:val="center"/>
              <w:cnfStyle w:val="000000100000" w:firstRow="0" w:lastRow="0" w:firstColumn="0" w:lastColumn="0" w:oddVBand="0" w:evenVBand="0" w:oddHBand="1" w:evenHBand="0" w:firstRowFirstColumn="0" w:firstRowLastColumn="0" w:lastRowFirstColumn="0" w:lastRowLastColumn="0"/>
              <w:rPr>
                <w:szCs w:val="20"/>
              </w:rPr>
            </w:pPr>
          </w:p>
        </w:tc>
        <w:tc>
          <w:tcPr>
            <w:tcW w:w="1699" w:type="dxa"/>
            <w:vMerge/>
            <w:shd w:val="clear" w:color="auto" w:fill="F2F2F2" w:themeFill="background1" w:themeFillShade="F2"/>
          </w:tcPr>
          <w:p w14:paraId="236D435A"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r>
      <w:tr w:rsidR="000D5BD1" w:rsidRPr="00906C7E" w14:paraId="06DABCB0" w14:textId="77777777" w:rsidTr="002F6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4FFFE8C2" w14:textId="77777777" w:rsidR="000D5BD1" w:rsidRPr="005E21D8" w:rsidRDefault="000D5BD1" w:rsidP="00C152A3">
            <w:pPr>
              <w:rPr>
                <w:szCs w:val="20"/>
              </w:rPr>
            </w:pPr>
            <w:r w:rsidRPr="005E21D8">
              <w:rPr>
                <w:szCs w:val="20"/>
              </w:rPr>
              <w:t>Covers arrangements of third-party service providers</w:t>
            </w:r>
          </w:p>
        </w:tc>
        <w:tc>
          <w:tcPr>
            <w:tcW w:w="1661" w:type="dxa"/>
            <w:shd w:val="clear" w:color="auto" w:fill="F2F2F2" w:themeFill="background1" w:themeFillShade="F2"/>
          </w:tcPr>
          <w:p w14:paraId="2791385D" w14:textId="77777777" w:rsidR="000D5BD1" w:rsidRPr="005E21D8" w:rsidRDefault="000D5BD1"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p w14:paraId="092C121E" w14:textId="77777777" w:rsidR="000D5BD1" w:rsidRPr="005E21D8" w:rsidRDefault="000D5BD1" w:rsidP="00C152A3">
            <w:pPr>
              <w:jc w:val="both"/>
              <w:cnfStyle w:val="000000010000" w:firstRow="0" w:lastRow="0" w:firstColumn="0" w:lastColumn="0" w:oddVBand="0" w:evenVBand="0" w:oddHBand="0" w:evenHBand="1" w:firstRowFirstColumn="0" w:firstRowLastColumn="0" w:lastRowFirstColumn="0" w:lastRowLastColumn="0"/>
              <w:rPr>
                <w:szCs w:val="20"/>
              </w:rPr>
            </w:pPr>
          </w:p>
        </w:tc>
        <w:tc>
          <w:tcPr>
            <w:tcW w:w="1814" w:type="dxa"/>
            <w:shd w:val="clear" w:color="auto" w:fill="F2F2F2" w:themeFill="background1" w:themeFillShade="F2"/>
          </w:tcPr>
          <w:p w14:paraId="22FE2DB7" w14:textId="77777777" w:rsidR="00DB0250" w:rsidRDefault="00DB0250" w:rsidP="00DB0250">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p w14:paraId="7ABFC390" w14:textId="03755574" w:rsidR="000D5BD1" w:rsidRPr="005E21D8" w:rsidRDefault="000D5BD1" w:rsidP="00DB0250">
            <w:pPr>
              <w:jc w:val="center"/>
              <w:cnfStyle w:val="000000010000" w:firstRow="0" w:lastRow="0" w:firstColumn="0" w:lastColumn="0" w:oddVBand="0" w:evenVBand="0" w:oddHBand="0" w:evenHBand="1" w:firstRowFirstColumn="0" w:firstRowLastColumn="0" w:lastRowFirstColumn="0" w:lastRowLastColumn="0"/>
              <w:rPr>
                <w:szCs w:val="20"/>
              </w:rPr>
            </w:pPr>
            <w:r w:rsidRPr="005E21D8">
              <w:rPr>
                <w:szCs w:val="20"/>
              </w:rPr>
              <w:t xml:space="preserve">Re-focused </w:t>
            </w:r>
          </w:p>
        </w:tc>
        <w:tc>
          <w:tcPr>
            <w:tcW w:w="1757" w:type="dxa"/>
            <w:shd w:val="clear" w:color="auto" w:fill="F2F2F2" w:themeFill="background1" w:themeFillShade="F2"/>
          </w:tcPr>
          <w:p w14:paraId="604B56FA" w14:textId="3CF795DA" w:rsidR="00DB0250" w:rsidRDefault="00DB0250"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p w14:paraId="29BE7422" w14:textId="475BF3C5" w:rsidR="000D5BD1" w:rsidRPr="005E21D8" w:rsidRDefault="00DB0250" w:rsidP="00DB0250">
            <w:pPr>
              <w:jc w:val="center"/>
              <w:cnfStyle w:val="000000010000" w:firstRow="0" w:lastRow="0" w:firstColumn="0" w:lastColumn="0" w:oddVBand="0" w:evenVBand="0" w:oddHBand="0" w:evenHBand="1" w:firstRowFirstColumn="0" w:firstRowLastColumn="0" w:lastRowFirstColumn="0" w:lastRowLastColumn="0"/>
              <w:rPr>
                <w:szCs w:val="20"/>
              </w:rPr>
            </w:pPr>
            <w:r w:rsidRPr="005E21D8">
              <w:rPr>
                <w:szCs w:val="20"/>
              </w:rPr>
              <w:t xml:space="preserve">Re-focused </w:t>
            </w:r>
          </w:p>
        </w:tc>
        <w:tc>
          <w:tcPr>
            <w:tcW w:w="1699" w:type="dxa"/>
            <w:vMerge/>
            <w:shd w:val="clear" w:color="auto" w:fill="F2F2F2" w:themeFill="background1" w:themeFillShade="F2"/>
          </w:tcPr>
          <w:p w14:paraId="0A7A09E8" w14:textId="77777777" w:rsidR="000D5BD1" w:rsidRPr="005E21D8" w:rsidRDefault="000D5BD1" w:rsidP="00C152A3">
            <w:pPr>
              <w:cnfStyle w:val="000000010000" w:firstRow="0" w:lastRow="0" w:firstColumn="0" w:lastColumn="0" w:oddVBand="0" w:evenVBand="0" w:oddHBand="0" w:evenHBand="1" w:firstRowFirstColumn="0" w:firstRowLastColumn="0" w:lastRowFirstColumn="0" w:lastRowLastColumn="0"/>
              <w:rPr>
                <w:szCs w:val="20"/>
              </w:rPr>
            </w:pPr>
          </w:p>
        </w:tc>
      </w:tr>
      <w:tr w:rsidR="000D5BD1" w:rsidRPr="00906C7E" w14:paraId="3E425709" w14:textId="77777777" w:rsidTr="00DB0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AEC7FE" w:themeFill="accent1" w:themeFillTint="33"/>
          </w:tcPr>
          <w:p w14:paraId="10855048" w14:textId="77777777" w:rsidR="000D5BD1" w:rsidRPr="005E21D8" w:rsidRDefault="000D5BD1" w:rsidP="00C152A3">
            <w:pPr>
              <w:rPr>
                <w:szCs w:val="20"/>
              </w:rPr>
            </w:pPr>
            <w:r w:rsidRPr="005E21D8">
              <w:rPr>
                <w:szCs w:val="20"/>
              </w:rPr>
              <w:t>Remuneration design</w:t>
            </w:r>
          </w:p>
        </w:tc>
        <w:tc>
          <w:tcPr>
            <w:tcW w:w="1661" w:type="dxa"/>
            <w:shd w:val="clear" w:color="auto" w:fill="AEC7FE" w:themeFill="accent1" w:themeFillTint="33"/>
          </w:tcPr>
          <w:p w14:paraId="6565914D"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c>
          <w:tcPr>
            <w:tcW w:w="1814" w:type="dxa"/>
            <w:shd w:val="clear" w:color="auto" w:fill="AEC7FE" w:themeFill="accent1" w:themeFillTint="33"/>
          </w:tcPr>
          <w:p w14:paraId="04842B31"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c>
          <w:tcPr>
            <w:tcW w:w="1757" w:type="dxa"/>
            <w:shd w:val="clear" w:color="auto" w:fill="AEC7FE" w:themeFill="accent1" w:themeFillTint="33"/>
          </w:tcPr>
          <w:p w14:paraId="5D799FB6"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c>
          <w:tcPr>
            <w:tcW w:w="1699" w:type="dxa"/>
            <w:shd w:val="clear" w:color="auto" w:fill="AEC7FE" w:themeFill="accent1" w:themeFillTint="33"/>
          </w:tcPr>
          <w:p w14:paraId="1DF0E9B4"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r>
      <w:tr w:rsidR="000D5BD1" w:rsidRPr="00906C7E" w14:paraId="24DE0250" w14:textId="77777777" w:rsidTr="002F6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1211DA66" w14:textId="089D9158" w:rsidR="000D5BD1" w:rsidRPr="005E21D8" w:rsidRDefault="000D5BD1" w:rsidP="00C152A3">
            <w:pPr>
              <w:rPr>
                <w:szCs w:val="20"/>
              </w:rPr>
            </w:pPr>
            <w:r w:rsidRPr="005E21D8">
              <w:rPr>
                <w:szCs w:val="20"/>
              </w:rPr>
              <w:lastRenderedPageBreak/>
              <w:t>General design principles</w:t>
            </w:r>
            <w:r w:rsidR="00AF7D27">
              <w:rPr>
                <w:szCs w:val="20"/>
              </w:rPr>
              <w:t xml:space="preserve"> including malus</w:t>
            </w:r>
          </w:p>
        </w:tc>
        <w:tc>
          <w:tcPr>
            <w:tcW w:w="1661" w:type="dxa"/>
            <w:shd w:val="clear" w:color="auto" w:fill="F2F2F2" w:themeFill="background1" w:themeFillShade="F2"/>
          </w:tcPr>
          <w:p w14:paraId="51F444A2" w14:textId="77777777" w:rsidR="000D5BD1" w:rsidRPr="005E21D8" w:rsidRDefault="000D5BD1"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tc>
        <w:tc>
          <w:tcPr>
            <w:tcW w:w="1814" w:type="dxa"/>
            <w:shd w:val="clear" w:color="auto" w:fill="F2F2F2" w:themeFill="background1" w:themeFillShade="F2"/>
          </w:tcPr>
          <w:p w14:paraId="22F9E2EE" w14:textId="77777777" w:rsidR="000D5BD1" w:rsidRPr="005E21D8" w:rsidRDefault="000D5BD1"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p w14:paraId="67838366" w14:textId="3D1630D7" w:rsidR="000D5BD1" w:rsidRPr="005E21D8" w:rsidRDefault="000D5BD1" w:rsidP="00C152A3">
            <w:pPr>
              <w:jc w:val="center"/>
              <w:cnfStyle w:val="000000010000" w:firstRow="0" w:lastRow="0" w:firstColumn="0" w:lastColumn="0" w:oddVBand="0" w:evenVBand="0" w:oddHBand="0" w:evenHBand="1" w:firstRowFirstColumn="0" w:firstRowLastColumn="0" w:lastRowFirstColumn="0" w:lastRowLastColumn="0"/>
              <w:rPr>
                <w:szCs w:val="20"/>
              </w:rPr>
            </w:pPr>
          </w:p>
        </w:tc>
        <w:tc>
          <w:tcPr>
            <w:tcW w:w="1757" w:type="dxa"/>
            <w:shd w:val="clear" w:color="auto" w:fill="F2F2F2" w:themeFill="background1" w:themeFillShade="F2"/>
          </w:tcPr>
          <w:p w14:paraId="13BBADAF" w14:textId="77777777" w:rsidR="00DB0250" w:rsidRDefault="00DB0250"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p w14:paraId="3B54D013" w14:textId="175C719D" w:rsidR="000D5BD1" w:rsidRPr="005E21D8" w:rsidRDefault="000D5BD1" w:rsidP="00DB0250">
            <w:pPr>
              <w:jc w:val="center"/>
              <w:cnfStyle w:val="000000010000" w:firstRow="0" w:lastRow="0" w:firstColumn="0" w:lastColumn="0" w:oddVBand="0" w:evenVBand="0" w:oddHBand="0" w:evenHBand="1" w:firstRowFirstColumn="0" w:firstRowLastColumn="0" w:lastRowFirstColumn="0" w:lastRowLastColumn="0"/>
              <w:rPr>
                <w:szCs w:val="20"/>
              </w:rPr>
            </w:pPr>
          </w:p>
        </w:tc>
        <w:tc>
          <w:tcPr>
            <w:tcW w:w="1699" w:type="dxa"/>
            <w:shd w:val="clear" w:color="auto" w:fill="F2F2F2" w:themeFill="background1" w:themeFillShade="F2"/>
          </w:tcPr>
          <w:p w14:paraId="3FBF3195" w14:textId="507F4EC7" w:rsidR="000D5BD1" w:rsidRPr="005E21D8" w:rsidRDefault="000D5BD1" w:rsidP="00AD001C">
            <w:pPr>
              <w:cnfStyle w:val="000000010000" w:firstRow="0" w:lastRow="0" w:firstColumn="0" w:lastColumn="0" w:oddVBand="0" w:evenVBand="0" w:oddHBand="0" w:evenHBand="1" w:firstRowFirstColumn="0" w:firstRowLastColumn="0" w:lastRowFirstColumn="0" w:lastRowLastColumn="0"/>
              <w:rPr>
                <w:szCs w:val="20"/>
              </w:rPr>
            </w:pPr>
          </w:p>
        </w:tc>
      </w:tr>
      <w:tr w:rsidR="000D5BD1" w:rsidRPr="00906C7E" w14:paraId="43F5223C" w14:textId="77777777" w:rsidTr="002F6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740B8117" w14:textId="66C6E689" w:rsidR="000D5BD1" w:rsidRPr="005E21D8" w:rsidRDefault="000D5BD1" w:rsidP="00F82230">
            <w:pPr>
              <w:rPr>
                <w:szCs w:val="20"/>
              </w:rPr>
            </w:pPr>
            <w:r w:rsidRPr="005E21D8">
              <w:rPr>
                <w:szCs w:val="20"/>
              </w:rPr>
              <w:t xml:space="preserve">Limits on financial </w:t>
            </w:r>
            <w:r w:rsidR="00F82230">
              <w:rPr>
                <w:szCs w:val="20"/>
              </w:rPr>
              <w:t>measures</w:t>
            </w:r>
          </w:p>
        </w:tc>
        <w:tc>
          <w:tcPr>
            <w:tcW w:w="1661" w:type="dxa"/>
            <w:shd w:val="clear" w:color="auto" w:fill="F2F2F2" w:themeFill="background1" w:themeFillShade="F2"/>
          </w:tcPr>
          <w:p w14:paraId="38339664" w14:textId="1CCE2164" w:rsidR="000D5BD1" w:rsidRPr="005E21D8" w:rsidRDefault="000D5BD1" w:rsidP="00DA10DB">
            <w:pPr>
              <w:jc w:val="center"/>
              <w:cnfStyle w:val="000000100000" w:firstRow="0" w:lastRow="0" w:firstColumn="0" w:lastColumn="0" w:oddVBand="0" w:evenVBand="0" w:oddHBand="1" w:evenHBand="0" w:firstRowFirstColumn="0" w:firstRowLastColumn="0" w:lastRowFirstColumn="0" w:lastRowLastColumn="0"/>
              <w:rPr>
                <w:szCs w:val="20"/>
              </w:rPr>
            </w:pPr>
            <w:r w:rsidRPr="005E21D8">
              <w:rPr>
                <w:szCs w:val="20"/>
              </w:rPr>
              <w:t xml:space="preserve">50% cap </w:t>
            </w:r>
            <w:r w:rsidR="00DA10DB">
              <w:rPr>
                <w:szCs w:val="20"/>
              </w:rPr>
              <w:t>on total measures</w:t>
            </w:r>
            <w:r w:rsidRPr="005E21D8">
              <w:rPr>
                <w:szCs w:val="20"/>
              </w:rPr>
              <w:t>;</w:t>
            </w:r>
          </w:p>
          <w:p w14:paraId="352A5331" w14:textId="37D2ACD5" w:rsidR="000D5BD1" w:rsidRPr="005E21D8" w:rsidRDefault="000D5BD1" w:rsidP="00DA10DB">
            <w:pPr>
              <w:jc w:val="center"/>
              <w:cnfStyle w:val="000000100000" w:firstRow="0" w:lastRow="0" w:firstColumn="0" w:lastColumn="0" w:oddVBand="0" w:evenVBand="0" w:oddHBand="1" w:evenHBand="0" w:firstRowFirstColumn="0" w:firstRowLastColumn="0" w:lastRowFirstColumn="0" w:lastRowLastColumn="0"/>
              <w:rPr>
                <w:szCs w:val="20"/>
              </w:rPr>
            </w:pPr>
            <w:r w:rsidRPr="005E21D8">
              <w:rPr>
                <w:szCs w:val="20"/>
              </w:rPr>
              <w:t xml:space="preserve">25% cap </w:t>
            </w:r>
            <w:r w:rsidR="00DA10DB">
              <w:rPr>
                <w:szCs w:val="20"/>
              </w:rPr>
              <w:t xml:space="preserve">on each </w:t>
            </w:r>
            <w:r w:rsidRPr="005E21D8">
              <w:rPr>
                <w:szCs w:val="20"/>
              </w:rPr>
              <w:t xml:space="preserve">individual </w:t>
            </w:r>
            <w:r w:rsidR="00DA10DB">
              <w:rPr>
                <w:szCs w:val="20"/>
              </w:rPr>
              <w:t>measure</w:t>
            </w:r>
          </w:p>
        </w:tc>
        <w:tc>
          <w:tcPr>
            <w:tcW w:w="1814" w:type="dxa"/>
            <w:shd w:val="clear" w:color="auto" w:fill="F2F2F2" w:themeFill="background1" w:themeFillShade="F2"/>
          </w:tcPr>
          <w:p w14:paraId="5A85A5C9" w14:textId="6D7C8442" w:rsidR="000D5BD1" w:rsidRPr="005E21D8" w:rsidRDefault="000D5BD1" w:rsidP="00F82230">
            <w:pPr>
              <w:jc w:val="center"/>
              <w:cnfStyle w:val="000000100000" w:firstRow="0" w:lastRow="0" w:firstColumn="0" w:lastColumn="0" w:oddVBand="0" w:evenVBand="0" w:oddHBand="1" w:evenHBand="0" w:firstRowFirstColumn="0" w:firstRowLastColumn="0" w:lastRowFirstColumn="0" w:lastRowLastColumn="0"/>
              <w:rPr>
                <w:szCs w:val="20"/>
              </w:rPr>
            </w:pPr>
            <w:r w:rsidRPr="005E21D8">
              <w:rPr>
                <w:szCs w:val="20"/>
              </w:rPr>
              <w:t xml:space="preserve">Material weight to non-financial </w:t>
            </w:r>
            <w:r w:rsidR="00F82230">
              <w:rPr>
                <w:szCs w:val="20"/>
              </w:rPr>
              <w:t>measures</w:t>
            </w:r>
            <w:r w:rsidRPr="005E21D8">
              <w:rPr>
                <w:szCs w:val="20"/>
              </w:rPr>
              <w:t>; and</w:t>
            </w:r>
            <w:r w:rsidR="00B721F7">
              <w:rPr>
                <w:szCs w:val="20"/>
              </w:rPr>
              <w:t xml:space="preserve"> </w:t>
            </w:r>
            <w:r w:rsidRPr="005E21D8">
              <w:rPr>
                <w:szCs w:val="20"/>
              </w:rPr>
              <w:t xml:space="preserve">adjust for adverse </w:t>
            </w:r>
            <w:r w:rsidR="00F82230">
              <w:rPr>
                <w:szCs w:val="20"/>
              </w:rPr>
              <w:t xml:space="preserve">risk and conduct </w:t>
            </w:r>
            <w:r w:rsidRPr="005E21D8">
              <w:rPr>
                <w:szCs w:val="20"/>
              </w:rPr>
              <w:t>outcome</w:t>
            </w:r>
            <w:r w:rsidR="00F82230">
              <w:rPr>
                <w:szCs w:val="20"/>
              </w:rPr>
              <w:t>s</w:t>
            </w:r>
          </w:p>
        </w:tc>
        <w:tc>
          <w:tcPr>
            <w:tcW w:w="1757" w:type="dxa"/>
            <w:shd w:val="clear" w:color="auto" w:fill="F2F2F2" w:themeFill="background1" w:themeFillShade="F2"/>
          </w:tcPr>
          <w:p w14:paraId="5435ECDB" w14:textId="408295B9" w:rsidR="000D5BD1" w:rsidRPr="005E21D8" w:rsidRDefault="000D5BD1" w:rsidP="00004CCE">
            <w:pPr>
              <w:numPr>
                <w:ilvl w:val="0"/>
                <w:numId w:val="51"/>
              </w:numPr>
              <w:jc w:val="center"/>
              <w:cnfStyle w:val="000000100000" w:firstRow="0" w:lastRow="0" w:firstColumn="0" w:lastColumn="0" w:oddVBand="0" w:evenVBand="0" w:oddHBand="1" w:evenHBand="0" w:firstRowFirstColumn="0" w:firstRowLastColumn="0" w:lastRowFirstColumn="0" w:lastRowLastColumn="0"/>
              <w:rPr>
                <w:szCs w:val="20"/>
              </w:rPr>
            </w:pPr>
          </w:p>
        </w:tc>
        <w:tc>
          <w:tcPr>
            <w:tcW w:w="1699" w:type="dxa"/>
            <w:shd w:val="clear" w:color="auto" w:fill="F2F2F2" w:themeFill="background1" w:themeFillShade="F2"/>
          </w:tcPr>
          <w:p w14:paraId="33CC696C" w14:textId="6B981E54" w:rsidR="000D5BD1" w:rsidRPr="005E21D8" w:rsidRDefault="00DB44F5" w:rsidP="00AD001C">
            <w:pPr>
              <w:cnfStyle w:val="000000100000" w:firstRow="0" w:lastRow="0" w:firstColumn="0" w:lastColumn="0" w:oddVBand="0" w:evenVBand="0" w:oddHBand="1" w:evenHBand="0" w:firstRowFirstColumn="0" w:firstRowLastColumn="0" w:lastRowFirstColumn="0" w:lastRowLastColumn="0"/>
              <w:rPr>
                <w:szCs w:val="20"/>
              </w:rPr>
            </w:pPr>
            <w:r>
              <w:rPr>
                <w:szCs w:val="20"/>
              </w:rPr>
              <w:t>More</w:t>
            </w:r>
            <w:r w:rsidR="00AD001C">
              <w:rPr>
                <w:szCs w:val="20"/>
              </w:rPr>
              <w:t xml:space="preserve"> p</w:t>
            </w:r>
            <w:r w:rsidR="000D5BD1" w:rsidRPr="005E21D8">
              <w:rPr>
                <w:szCs w:val="20"/>
              </w:rPr>
              <w:t>rinciples-based approach to deliver stronger focus and allow flexibility</w:t>
            </w:r>
          </w:p>
        </w:tc>
      </w:tr>
      <w:tr w:rsidR="000D5BD1" w:rsidRPr="00906C7E" w14:paraId="21445FB3" w14:textId="77777777" w:rsidTr="00DB0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AEC7FE" w:themeFill="accent1" w:themeFillTint="33"/>
          </w:tcPr>
          <w:p w14:paraId="2E2F3502" w14:textId="5227FAB7" w:rsidR="000D5BD1" w:rsidRPr="005E21D8" w:rsidRDefault="000D5BD1" w:rsidP="000D5BD1">
            <w:pPr>
              <w:rPr>
                <w:szCs w:val="20"/>
              </w:rPr>
            </w:pPr>
            <w:r>
              <w:rPr>
                <w:szCs w:val="20"/>
              </w:rPr>
              <w:t>SFI D</w:t>
            </w:r>
            <w:r w:rsidRPr="005E21D8">
              <w:rPr>
                <w:szCs w:val="20"/>
              </w:rPr>
              <w:t>eferral</w:t>
            </w:r>
            <w:r>
              <w:rPr>
                <w:szCs w:val="20"/>
              </w:rPr>
              <w:t xml:space="preserve"> and clawback </w:t>
            </w:r>
          </w:p>
        </w:tc>
        <w:tc>
          <w:tcPr>
            <w:tcW w:w="1661" w:type="dxa"/>
            <w:shd w:val="clear" w:color="auto" w:fill="AEC7FE" w:themeFill="accent1" w:themeFillTint="33"/>
          </w:tcPr>
          <w:p w14:paraId="64116611" w14:textId="77777777" w:rsidR="000D5BD1" w:rsidRPr="005E21D8" w:rsidRDefault="000D5BD1" w:rsidP="00C152A3">
            <w:pPr>
              <w:cnfStyle w:val="000000010000" w:firstRow="0" w:lastRow="0" w:firstColumn="0" w:lastColumn="0" w:oddVBand="0" w:evenVBand="0" w:oddHBand="0" w:evenHBand="1" w:firstRowFirstColumn="0" w:firstRowLastColumn="0" w:lastRowFirstColumn="0" w:lastRowLastColumn="0"/>
              <w:rPr>
                <w:szCs w:val="20"/>
              </w:rPr>
            </w:pPr>
          </w:p>
        </w:tc>
        <w:tc>
          <w:tcPr>
            <w:tcW w:w="1814" w:type="dxa"/>
            <w:shd w:val="clear" w:color="auto" w:fill="AEC7FE" w:themeFill="accent1" w:themeFillTint="33"/>
          </w:tcPr>
          <w:p w14:paraId="0A8579F0" w14:textId="77777777" w:rsidR="000D5BD1" w:rsidRPr="005E21D8" w:rsidRDefault="000D5BD1" w:rsidP="00C152A3">
            <w:pPr>
              <w:cnfStyle w:val="000000010000" w:firstRow="0" w:lastRow="0" w:firstColumn="0" w:lastColumn="0" w:oddVBand="0" w:evenVBand="0" w:oddHBand="0" w:evenHBand="1" w:firstRowFirstColumn="0" w:firstRowLastColumn="0" w:lastRowFirstColumn="0" w:lastRowLastColumn="0"/>
              <w:rPr>
                <w:szCs w:val="20"/>
              </w:rPr>
            </w:pPr>
          </w:p>
        </w:tc>
        <w:tc>
          <w:tcPr>
            <w:tcW w:w="1757" w:type="dxa"/>
            <w:shd w:val="clear" w:color="auto" w:fill="AEC7FE" w:themeFill="accent1" w:themeFillTint="33"/>
          </w:tcPr>
          <w:p w14:paraId="3DA3A4E9" w14:textId="77777777" w:rsidR="000D5BD1" w:rsidRPr="005E21D8" w:rsidRDefault="000D5BD1" w:rsidP="00C152A3">
            <w:pPr>
              <w:cnfStyle w:val="000000010000" w:firstRow="0" w:lastRow="0" w:firstColumn="0" w:lastColumn="0" w:oddVBand="0" w:evenVBand="0" w:oddHBand="0" w:evenHBand="1" w:firstRowFirstColumn="0" w:firstRowLastColumn="0" w:lastRowFirstColumn="0" w:lastRowLastColumn="0"/>
              <w:rPr>
                <w:szCs w:val="20"/>
              </w:rPr>
            </w:pPr>
          </w:p>
        </w:tc>
        <w:tc>
          <w:tcPr>
            <w:tcW w:w="1699" w:type="dxa"/>
            <w:shd w:val="clear" w:color="auto" w:fill="AEC7FE" w:themeFill="accent1" w:themeFillTint="33"/>
          </w:tcPr>
          <w:p w14:paraId="49FA4560" w14:textId="77777777" w:rsidR="000D5BD1" w:rsidRPr="005E21D8" w:rsidRDefault="000D5BD1" w:rsidP="00C152A3">
            <w:pPr>
              <w:cnfStyle w:val="000000010000" w:firstRow="0" w:lastRow="0" w:firstColumn="0" w:lastColumn="0" w:oddVBand="0" w:evenVBand="0" w:oddHBand="0" w:evenHBand="1" w:firstRowFirstColumn="0" w:firstRowLastColumn="0" w:lastRowFirstColumn="0" w:lastRowLastColumn="0"/>
              <w:rPr>
                <w:szCs w:val="20"/>
              </w:rPr>
            </w:pPr>
          </w:p>
        </w:tc>
      </w:tr>
      <w:tr w:rsidR="00DB0250" w:rsidRPr="00906C7E" w14:paraId="022A7431" w14:textId="77777777" w:rsidTr="002F6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5718181D" w14:textId="519C1652" w:rsidR="00DB0250" w:rsidRPr="005E21D8" w:rsidRDefault="00DB0250" w:rsidP="00C152A3">
            <w:pPr>
              <w:rPr>
                <w:szCs w:val="20"/>
              </w:rPr>
            </w:pPr>
            <w:r w:rsidRPr="005E21D8">
              <w:rPr>
                <w:szCs w:val="20"/>
              </w:rPr>
              <w:t xml:space="preserve">CEO </w:t>
            </w:r>
          </w:p>
        </w:tc>
        <w:tc>
          <w:tcPr>
            <w:tcW w:w="1661" w:type="dxa"/>
            <w:shd w:val="clear" w:color="auto" w:fill="F2F2F2" w:themeFill="background1" w:themeFillShade="F2"/>
          </w:tcPr>
          <w:p w14:paraId="07A7E8C5" w14:textId="77777777" w:rsidR="00DB0250" w:rsidRDefault="00DB0250" w:rsidP="00F82230">
            <w:pPr>
              <w:jc w:val="center"/>
              <w:cnfStyle w:val="000000100000" w:firstRow="0" w:lastRow="0" w:firstColumn="0" w:lastColumn="0" w:oddVBand="0" w:evenVBand="0" w:oddHBand="1" w:evenHBand="0" w:firstRowFirstColumn="0" w:firstRowLastColumn="0" w:lastRowFirstColumn="0" w:lastRowLastColumn="0"/>
              <w:rPr>
                <w:szCs w:val="20"/>
              </w:rPr>
            </w:pPr>
            <w:r w:rsidRPr="005E21D8">
              <w:rPr>
                <w:szCs w:val="20"/>
              </w:rPr>
              <w:t xml:space="preserve">60% for </w:t>
            </w:r>
            <w:r w:rsidRPr="005E21D8">
              <w:rPr>
                <w:b/>
                <w:szCs w:val="20"/>
              </w:rPr>
              <w:t>7</w:t>
            </w:r>
            <w:r w:rsidRPr="005E21D8">
              <w:rPr>
                <w:szCs w:val="20"/>
              </w:rPr>
              <w:t xml:space="preserve"> years, pro-rata vesting from year </w:t>
            </w:r>
            <w:r w:rsidRPr="00531312">
              <w:rPr>
                <w:szCs w:val="20"/>
              </w:rPr>
              <w:t>4</w:t>
            </w:r>
          </w:p>
          <w:p w14:paraId="5261F251" w14:textId="509DD25D" w:rsidR="00DB0250" w:rsidRPr="005E21D8" w:rsidRDefault="000A0914" w:rsidP="00F82230">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(SFIs only)</w:t>
            </w:r>
          </w:p>
        </w:tc>
        <w:tc>
          <w:tcPr>
            <w:tcW w:w="1814" w:type="dxa"/>
            <w:shd w:val="clear" w:color="auto" w:fill="F2F2F2" w:themeFill="background1" w:themeFillShade="F2"/>
          </w:tcPr>
          <w:p w14:paraId="1299E8D7" w14:textId="453E00CF" w:rsidR="00DB0250" w:rsidRPr="005E21D8" w:rsidRDefault="00DB0250" w:rsidP="00F82230">
            <w:pPr>
              <w:jc w:val="center"/>
              <w:cnfStyle w:val="000000100000" w:firstRow="0" w:lastRow="0" w:firstColumn="0" w:lastColumn="0" w:oddVBand="0" w:evenVBand="0" w:oddHBand="1" w:evenHBand="0" w:firstRowFirstColumn="0" w:firstRowLastColumn="0" w:lastRowFirstColumn="0" w:lastRowLastColumn="0"/>
              <w:rPr>
                <w:szCs w:val="20"/>
              </w:rPr>
            </w:pPr>
            <w:r w:rsidRPr="005E21D8">
              <w:rPr>
                <w:szCs w:val="20"/>
              </w:rPr>
              <w:t xml:space="preserve">60% for </w:t>
            </w:r>
            <w:r w:rsidRPr="005E21D8">
              <w:rPr>
                <w:b/>
                <w:szCs w:val="20"/>
              </w:rPr>
              <w:t>6</w:t>
            </w:r>
            <w:r w:rsidRPr="005E21D8">
              <w:rPr>
                <w:szCs w:val="20"/>
              </w:rPr>
              <w:t xml:space="preserve"> years, pro-rata vesting from year </w:t>
            </w:r>
            <w:r w:rsidRPr="00531312">
              <w:rPr>
                <w:szCs w:val="20"/>
              </w:rPr>
              <w:t>4</w:t>
            </w:r>
          </w:p>
        </w:tc>
        <w:tc>
          <w:tcPr>
            <w:tcW w:w="1757" w:type="dxa"/>
            <w:shd w:val="clear" w:color="auto" w:fill="F2F2F2" w:themeFill="background1" w:themeFillShade="F2"/>
          </w:tcPr>
          <w:p w14:paraId="35864AA9" w14:textId="6B12F013" w:rsidR="00DB0250" w:rsidRPr="005E21D8" w:rsidRDefault="00DB0250" w:rsidP="00004CCE">
            <w:pPr>
              <w:numPr>
                <w:ilvl w:val="0"/>
                <w:numId w:val="51"/>
              </w:numPr>
              <w:jc w:val="center"/>
              <w:cnfStyle w:val="000000100000" w:firstRow="0" w:lastRow="0" w:firstColumn="0" w:lastColumn="0" w:oddVBand="0" w:evenVBand="0" w:oddHBand="1" w:evenHBand="0" w:firstRowFirstColumn="0" w:firstRowLastColumn="0" w:lastRowFirstColumn="0" w:lastRowLastColumn="0"/>
              <w:rPr>
                <w:szCs w:val="20"/>
              </w:rPr>
            </w:pPr>
          </w:p>
        </w:tc>
        <w:tc>
          <w:tcPr>
            <w:tcW w:w="1699" w:type="dxa"/>
            <w:vMerge w:val="restart"/>
            <w:shd w:val="clear" w:color="auto" w:fill="F2F2F2" w:themeFill="background1" w:themeFillShade="F2"/>
            <w:vAlign w:val="center"/>
          </w:tcPr>
          <w:p w14:paraId="51245477" w14:textId="2170FFE2" w:rsidR="00DB0250" w:rsidRDefault="00AD001C" w:rsidP="00AD001C">
            <w:pPr>
              <w:cnfStyle w:val="000000100000" w:firstRow="0" w:lastRow="0" w:firstColumn="0" w:lastColumn="0" w:oddVBand="0" w:evenVBand="0" w:oddHBand="1" w:evenHBand="0" w:firstRowFirstColumn="0" w:firstRowLastColumn="0" w:lastRowFirstColumn="0" w:lastRowLastColumn="0"/>
            </w:pPr>
            <w:r>
              <w:t xml:space="preserve">Strengthen practices and minimise impact </w:t>
            </w:r>
            <w:r w:rsidR="00460962">
              <w:t xml:space="preserve">of longer deferral periods </w:t>
            </w:r>
            <w:r>
              <w:t xml:space="preserve">on </w:t>
            </w:r>
            <w:r w:rsidR="00460962">
              <w:t>staff recruitment and retention</w:t>
            </w:r>
          </w:p>
          <w:p w14:paraId="7BEB04F7" w14:textId="77777777" w:rsidR="00DB0250" w:rsidRPr="005E21D8" w:rsidRDefault="00DB0250" w:rsidP="00AD001C">
            <w:pPr>
              <w:cnfStyle w:val="000000100000" w:firstRow="0" w:lastRow="0" w:firstColumn="0" w:lastColumn="0" w:oddVBand="0" w:evenVBand="0" w:oddHBand="1" w:evenHBand="0" w:firstRowFirstColumn="0" w:firstRowLastColumn="0" w:lastRowFirstColumn="0" w:lastRowLastColumn="0"/>
              <w:rPr>
                <w:szCs w:val="20"/>
              </w:rPr>
            </w:pPr>
          </w:p>
        </w:tc>
      </w:tr>
      <w:tr w:rsidR="00DB0250" w:rsidRPr="005E21D8" w14:paraId="5B9ABF30" w14:textId="77777777" w:rsidTr="002F6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31B8240A" w14:textId="67DFD50F" w:rsidR="00DB0250" w:rsidRPr="005E21D8" w:rsidRDefault="00DB0250" w:rsidP="00C152A3">
            <w:pPr>
              <w:rPr>
                <w:szCs w:val="20"/>
              </w:rPr>
            </w:pPr>
            <w:r w:rsidRPr="005E21D8">
              <w:rPr>
                <w:szCs w:val="20"/>
              </w:rPr>
              <w:t xml:space="preserve">Senior manager </w:t>
            </w:r>
            <w:r>
              <w:rPr>
                <w:szCs w:val="20"/>
              </w:rPr>
              <w:t>and</w:t>
            </w:r>
            <w:r w:rsidRPr="005E21D8">
              <w:rPr>
                <w:szCs w:val="20"/>
              </w:rPr>
              <w:t xml:space="preserve"> Executive director </w:t>
            </w:r>
          </w:p>
        </w:tc>
        <w:tc>
          <w:tcPr>
            <w:tcW w:w="1661" w:type="dxa"/>
            <w:shd w:val="clear" w:color="auto" w:fill="F2F2F2" w:themeFill="background1" w:themeFillShade="F2"/>
          </w:tcPr>
          <w:p w14:paraId="1CAB72A8" w14:textId="77777777" w:rsidR="00DB0250" w:rsidRDefault="00DB0250" w:rsidP="00F82230">
            <w:pPr>
              <w:jc w:val="center"/>
              <w:cnfStyle w:val="000000010000" w:firstRow="0" w:lastRow="0" w:firstColumn="0" w:lastColumn="0" w:oddVBand="0" w:evenVBand="0" w:oddHBand="0" w:evenHBand="1" w:firstRowFirstColumn="0" w:firstRowLastColumn="0" w:lastRowFirstColumn="0" w:lastRowLastColumn="0"/>
              <w:rPr>
                <w:szCs w:val="20"/>
              </w:rPr>
            </w:pPr>
            <w:r w:rsidRPr="005E21D8">
              <w:rPr>
                <w:szCs w:val="20"/>
              </w:rPr>
              <w:t xml:space="preserve">40% for </w:t>
            </w:r>
            <w:r w:rsidRPr="005E21D8">
              <w:rPr>
                <w:b/>
                <w:szCs w:val="20"/>
              </w:rPr>
              <w:t>6</w:t>
            </w:r>
            <w:r w:rsidRPr="005E21D8">
              <w:rPr>
                <w:szCs w:val="20"/>
              </w:rPr>
              <w:t xml:space="preserve"> years, pro-rata vesting from year </w:t>
            </w:r>
            <w:r w:rsidRPr="00531312">
              <w:rPr>
                <w:szCs w:val="20"/>
              </w:rPr>
              <w:t>4</w:t>
            </w:r>
          </w:p>
          <w:p w14:paraId="004B5BDF" w14:textId="785A5418" w:rsidR="00DB0250" w:rsidRPr="005E21D8" w:rsidRDefault="000A0914" w:rsidP="00F82230">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(SFIs only)</w:t>
            </w:r>
          </w:p>
        </w:tc>
        <w:tc>
          <w:tcPr>
            <w:tcW w:w="1814" w:type="dxa"/>
            <w:shd w:val="clear" w:color="auto" w:fill="F2F2F2" w:themeFill="background1" w:themeFillShade="F2"/>
          </w:tcPr>
          <w:p w14:paraId="66102205" w14:textId="09246C0B" w:rsidR="00DB0250" w:rsidRPr="005E21D8" w:rsidRDefault="00DB0250" w:rsidP="00F82230">
            <w:pPr>
              <w:jc w:val="center"/>
              <w:cnfStyle w:val="000000010000" w:firstRow="0" w:lastRow="0" w:firstColumn="0" w:lastColumn="0" w:oddVBand="0" w:evenVBand="0" w:oddHBand="0" w:evenHBand="1" w:firstRowFirstColumn="0" w:firstRowLastColumn="0" w:lastRowFirstColumn="0" w:lastRowLastColumn="0"/>
              <w:rPr>
                <w:szCs w:val="20"/>
              </w:rPr>
            </w:pPr>
            <w:r w:rsidRPr="005E21D8">
              <w:rPr>
                <w:szCs w:val="20"/>
              </w:rPr>
              <w:t xml:space="preserve">40% for </w:t>
            </w:r>
            <w:r w:rsidRPr="005E21D8">
              <w:rPr>
                <w:b/>
                <w:szCs w:val="20"/>
              </w:rPr>
              <w:t>5</w:t>
            </w:r>
            <w:r w:rsidRPr="005E21D8">
              <w:rPr>
                <w:szCs w:val="20"/>
              </w:rPr>
              <w:t xml:space="preserve"> years, pro-rata vesting from year </w:t>
            </w:r>
            <w:r w:rsidRPr="00531312">
              <w:rPr>
                <w:szCs w:val="20"/>
              </w:rPr>
              <w:t>4</w:t>
            </w:r>
          </w:p>
        </w:tc>
        <w:tc>
          <w:tcPr>
            <w:tcW w:w="1757" w:type="dxa"/>
            <w:shd w:val="clear" w:color="auto" w:fill="F2F2F2" w:themeFill="background1" w:themeFillShade="F2"/>
          </w:tcPr>
          <w:p w14:paraId="13F619E0" w14:textId="2BC0345B" w:rsidR="00DB0250" w:rsidRPr="005E21D8" w:rsidRDefault="00DB0250" w:rsidP="00004CCE">
            <w:pPr>
              <w:numPr>
                <w:ilvl w:val="0"/>
                <w:numId w:val="51"/>
              </w:numPr>
              <w:jc w:val="center"/>
              <w:cnfStyle w:val="000000010000" w:firstRow="0" w:lastRow="0" w:firstColumn="0" w:lastColumn="0" w:oddVBand="0" w:evenVBand="0" w:oddHBand="0" w:evenHBand="1" w:firstRowFirstColumn="0" w:firstRowLastColumn="0" w:lastRowFirstColumn="0" w:lastRowLastColumn="0"/>
              <w:rPr>
                <w:szCs w:val="20"/>
              </w:rPr>
            </w:pPr>
          </w:p>
        </w:tc>
        <w:tc>
          <w:tcPr>
            <w:tcW w:w="1699" w:type="dxa"/>
            <w:vMerge/>
            <w:shd w:val="clear" w:color="auto" w:fill="F2F2F2" w:themeFill="background1" w:themeFillShade="F2"/>
          </w:tcPr>
          <w:p w14:paraId="634B5222" w14:textId="77777777" w:rsidR="00DB0250" w:rsidRPr="005E21D8" w:rsidRDefault="00DB0250" w:rsidP="00C152A3">
            <w:pPr>
              <w:cnfStyle w:val="000000010000" w:firstRow="0" w:lastRow="0" w:firstColumn="0" w:lastColumn="0" w:oddVBand="0" w:evenVBand="0" w:oddHBand="0" w:evenHBand="1" w:firstRowFirstColumn="0" w:firstRowLastColumn="0" w:lastRowFirstColumn="0" w:lastRowLastColumn="0"/>
              <w:rPr>
                <w:szCs w:val="20"/>
              </w:rPr>
            </w:pPr>
          </w:p>
        </w:tc>
      </w:tr>
      <w:tr w:rsidR="00DB0250" w:rsidRPr="005E21D8" w14:paraId="638D1F27" w14:textId="77777777" w:rsidTr="002F6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5AA5704C" w14:textId="64CBE98A" w:rsidR="00DB0250" w:rsidRPr="007A3A68" w:rsidRDefault="00DB0250" w:rsidP="00C152A3">
            <w:r w:rsidRPr="00460962">
              <w:t xml:space="preserve">HPMRT </w:t>
            </w:r>
          </w:p>
        </w:tc>
        <w:tc>
          <w:tcPr>
            <w:tcW w:w="1661" w:type="dxa"/>
            <w:shd w:val="clear" w:color="auto" w:fill="F2F2F2" w:themeFill="background1" w:themeFillShade="F2"/>
          </w:tcPr>
          <w:p w14:paraId="617A19D5" w14:textId="77777777" w:rsidR="00DB0250" w:rsidRPr="00460962" w:rsidRDefault="00DB0250" w:rsidP="007A3A68">
            <w:pPr>
              <w:jc w:val="center"/>
              <w:cnfStyle w:val="000000100000" w:firstRow="0" w:lastRow="0" w:firstColumn="0" w:lastColumn="0" w:oddVBand="0" w:evenVBand="0" w:oddHBand="1" w:evenHBand="0" w:firstRowFirstColumn="0" w:firstRowLastColumn="0" w:lastRowFirstColumn="0" w:lastRowLastColumn="0"/>
            </w:pPr>
            <w:r w:rsidRPr="00460962">
              <w:t xml:space="preserve">40% for </w:t>
            </w:r>
            <w:r w:rsidRPr="00460962">
              <w:rPr>
                <w:b/>
              </w:rPr>
              <w:t>6</w:t>
            </w:r>
            <w:r w:rsidRPr="00460962">
              <w:t xml:space="preserve"> years, pro-rata vesting from year </w:t>
            </w:r>
            <w:r w:rsidRPr="00531312">
              <w:t>4</w:t>
            </w:r>
          </w:p>
          <w:p w14:paraId="17D207FA" w14:textId="243DF3D8" w:rsidR="00DB0250" w:rsidRPr="005E21D8" w:rsidRDefault="000A0914" w:rsidP="007A3A68">
            <w:pPr>
              <w:jc w:val="center"/>
              <w:cnfStyle w:val="000000100000" w:firstRow="0" w:lastRow="0" w:firstColumn="0" w:lastColumn="0" w:oddVBand="0" w:evenVBand="0" w:oddHBand="1" w:evenHBand="0" w:firstRowFirstColumn="0" w:firstRowLastColumn="0" w:lastRowFirstColumn="0" w:lastRowLastColumn="0"/>
              <w:rPr>
                <w:szCs w:val="20"/>
              </w:rPr>
            </w:pPr>
            <w:r w:rsidRPr="000A0914">
              <w:t>(SFIs only)</w:t>
            </w:r>
          </w:p>
        </w:tc>
        <w:tc>
          <w:tcPr>
            <w:tcW w:w="1814" w:type="dxa"/>
            <w:shd w:val="clear" w:color="auto" w:fill="F2F2F2" w:themeFill="background1" w:themeFillShade="F2"/>
          </w:tcPr>
          <w:p w14:paraId="6F88B8AA" w14:textId="1A47A7D3" w:rsidR="00DB0250" w:rsidRPr="00460962" w:rsidRDefault="00DB0250" w:rsidP="007A3A68">
            <w:pPr>
              <w:jc w:val="center"/>
              <w:cnfStyle w:val="000000100000" w:firstRow="0" w:lastRow="0" w:firstColumn="0" w:lastColumn="0" w:oddVBand="0" w:evenVBand="0" w:oddHBand="1" w:evenHBand="0" w:firstRowFirstColumn="0" w:firstRowLastColumn="0" w:lastRowFirstColumn="0" w:lastRowLastColumn="0"/>
            </w:pPr>
            <w:r w:rsidRPr="00460962">
              <w:t xml:space="preserve">40% for </w:t>
            </w:r>
            <w:r w:rsidRPr="00460962">
              <w:rPr>
                <w:b/>
              </w:rPr>
              <w:t>4</w:t>
            </w:r>
            <w:r w:rsidRPr="00460962">
              <w:t xml:space="preserve"> years, pro-rata vesting from year </w:t>
            </w:r>
            <w:r w:rsidRPr="00531312">
              <w:t>2</w:t>
            </w:r>
          </w:p>
        </w:tc>
        <w:tc>
          <w:tcPr>
            <w:tcW w:w="1757" w:type="dxa"/>
            <w:shd w:val="clear" w:color="auto" w:fill="F2F2F2" w:themeFill="background1" w:themeFillShade="F2"/>
          </w:tcPr>
          <w:p w14:paraId="6B215076" w14:textId="433E5C6E" w:rsidR="00DB0250" w:rsidRPr="00460962" w:rsidRDefault="00DB0250" w:rsidP="007A3A68">
            <w:pPr>
              <w:numPr>
                <w:ilvl w:val="0"/>
                <w:numId w:val="51"/>
              </w:numPr>
              <w:jc w:val="center"/>
              <w:cnfStyle w:val="000000100000" w:firstRow="0" w:lastRow="0" w:firstColumn="0" w:lastColumn="0" w:oddVBand="0" w:evenVBand="0" w:oddHBand="1" w:evenHBand="0" w:firstRowFirstColumn="0" w:firstRowLastColumn="0" w:lastRowFirstColumn="0" w:lastRowLastColumn="0"/>
            </w:pPr>
          </w:p>
        </w:tc>
        <w:tc>
          <w:tcPr>
            <w:tcW w:w="1699" w:type="dxa"/>
            <w:vMerge/>
            <w:shd w:val="clear" w:color="auto" w:fill="F2F2F2" w:themeFill="background1" w:themeFillShade="F2"/>
          </w:tcPr>
          <w:p w14:paraId="78189EB3" w14:textId="77777777" w:rsidR="00DB0250" w:rsidRPr="00460962" w:rsidRDefault="00DB0250" w:rsidP="00C152A3">
            <w:pPr>
              <w:cnfStyle w:val="000000100000" w:firstRow="0" w:lastRow="0" w:firstColumn="0" w:lastColumn="0" w:oddVBand="0" w:evenVBand="0" w:oddHBand="1" w:evenHBand="0" w:firstRowFirstColumn="0" w:firstRowLastColumn="0" w:lastRowFirstColumn="0" w:lastRowLastColumn="0"/>
            </w:pPr>
          </w:p>
        </w:tc>
      </w:tr>
      <w:tr w:rsidR="000D5BD1" w:rsidRPr="005E21D8" w14:paraId="5AF59C29" w14:textId="77777777" w:rsidTr="002F6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37F10B30" w14:textId="08A7053B" w:rsidR="000D5BD1" w:rsidRPr="005E21D8" w:rsidRDefault="000D5BD1" w:rsidP="00C152A3">
            <w:pPr>
              <w:rPr>
                <w:szCs w:val="20"/>
              </w:rPr>
            </w:pPr>
            <w:r w:rsidRPr="005E21D8">
              <w:rPr>
                <w:szCs w:val="20"/>
              </w:rPr>
              <w:t>Clawback</w:t>
            </w:r>
          </w:p>
        </w:tc>
        <w:tc>
          <w:tcPr>
            <w:tcW w:w="1661" w:type="dxa"/>
            <w:shd w:val="clear" w:color="auto" w:fill="F2F2F2" w:themeFill="background1" w:themeFillShade="F2"/>
          </w:tcPr>
          <w:p w14:paraId="2203774C" w14:textId="77777777" w:rsidR="000A0914" w:rsidRDefault="000A0914"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p w14:paraId="3546F91E" w14:textId="0AF7DBE0" w:rsidR="000D5BD1" w:rsidRPr="005E21D8" w:rsidRDefault="00CE16D9" w:rsidP="000A0914">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w:t>
            </w:r>
            <w:r w:rsidR="000A0914">
              <w:rPr>
                <w:szCs w:val="20"/>
              </w:rPr>
              <w:t>SFIs only</w:t>
            </w:r>
            <w:r>
              <w:rPr>
                <w:szCs w:val="20"/>
              </w:rPr>
              <w:t>)</w:t>
            </w:r>
          </w:p>
        </w:tc>
        <w:tc>
          <w:tcPr>
            <w:tcW w:w="1814" w:type="dxa"/>
            <w:shd w:val="clear" w:color="auto" w:fill="F2F2F2" w:themeFill="background1" w:themeFillShade="F2"/>
          </w:tcPr>
          <w:p w14:paraId="106F868A" w14:textId="77777777" w:rsidR="00AD001C" w:rsidRDefault="00AD001C"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p w14:paraId="7ECFD514" w14:textId="218911A2" w:rsidR="000D5BD1" w:rsidRPr="005E21D8" w:rsidRDefault="00AD001C" w:rsidP="00AD001C">
            <w:pPr>
              <w:jc w:val="center"/>
              <w:cnfStyle w:val="000000010000" w:firstRow="0" w:lastRow="0" w:firstColumn="0" w:lastColumn="0" w:oddVBand="0" w:evenVBand="0" w:oddHBand="0" w:evenHBand="1" w:firstRowFirstColumn="0" w:firstRowLastColumn="0" w:lastRowFirstColumn="0" w:lastRowLastColumn="0"/>
              <w:rPr>
                <w:szCs w:val="20"/>
              </w:rPr>
            </w:pPr>
            <w:r w:rsidRPr="005E21D8">
              <w:rPr>
                <w:szCs w:val="20"/>
              </w:rPr>
              <w:t>Simplified</w:t>
            </w:r>
          </w:p>
        </w:tc>
        <w:tc>
          <w:tcPr>
            <w:tcW w:w="1757" w:type="dxa"/>
            <w:shd w:val="clear" w:color="auto" w:fill="F2F2F2" w:themeFill="background1" w:themeFillShade="F2"/>
          </w:tcPr>
          <w:p w14:paraId="062E50A9" w14:textId="3177319F" w:rsidR="000D5BD1" w:rsidRPr="005E21D8" w:rsidRDefault="000D5BD1" w:rsidP="007A3A68">
            <w:pPr>
              <w:numPr>
                <w:ilvl w:val="0"/>
                <w:numId w:val="51"/>
              </w:numPr>
              <w:jc w:val="center"/>
              <w:cnfStyle w:val="000000010000" w:firstRow="0" w:lastRow="0" w:firstColumn="0" w:lastColumn="0" w:oddVBand="0" w:evenVBand="0" w:oddHBand="0" w:evenHBand="1" w:firstRowFirstColumn="0" w:firstRowLastColumn="0" w:lastRowFirstColumn="0" w:lastRowLastColumn="0"/>
              <w:rPr>
                <w:szCs w:val="20"/>
              </w:rPr>
            </w:pPr>
          </w:p>
        </w:tc>
        <w:tc>
          <w:tcPr>
            <w:tcW w:w="1699" w:type="dxa"/>
            <w:shd w:val="clear" w:color="auto" w:fill="F2F2F2" w:themeFill="background1" w:themeFillShade="F2"/>
          </w:tcPr>
          <w:p w14:paraId="39D9288E" w14:textId="19858AD8" w:rsidR="000D5BD1" w:rsidRPr="005E21D8" w:rsidRDefault="00AD001C" w:rsidP="00AD001C">
            <w:pPr>
              <w:cnfStyle w:val="000000010000" w:firstRow="0" w:lastRow="0" w:firstColumn="0" w:lastColumn="0" w:oddVBand="0" w:evenVBand="0" w:oddHBand="0" w:evenHBand="1" w:firstRowFirstColumn="0" w:firstRowLastColumn="0" w:lastRowFirstColumn="0" w:lastRowLastColumn="0"/>
              <w:rPr>
                <w:szCs w:val="20"/>
              </w:rPr>
            </w:pPr>
            <w:r>
              <w:t>C</w:t>
            </w:r>
            <w:r w:rsidR="00DB0250">
              <w:t>larify</w:t>
            </w:r>
            <w:r w:rsidR="00DB0250" w:rsidDel="00811EF0">
              <w:t xml:space="preserve"> </w:t>
            </w:r>
            <w:r w:rsidR="00DB0250">
              <w:t xml:space="preserve">intent </w:t>
            </w:r>
            <w:r>
              <w:t xml:space="preserve">for application given </w:t>
            </w:r>
            <w:r w:rsidR="00460962">
              <w:t>legal complexity</w:t>
            </w:r>
          </w:p>
        </w:tc>
      </w:tr>
      <w:tr w:rsidR="000D5BD1" w:rsidRPr="005E21D8" w14:paraId="6FC15F8D" w14:textId="77777777" w:rsidTr="00DB0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AEC7FE" w:themeFill="accent1" w:themeFillTint="33"/>
          </w:tcPr>
          <w:p w14:paraId="1B74C32A" w14:textId="77777777" w:rsidR="000D5BD1" w:rsidRPr="005E21D8" w:rsidRDefault="000D5BD1" w:rsidP="00C152A3">
            <w:pPr>
              <w:rPr>
                <w:szCs w:val="20"/>
              </w:rPr>
            </w:pPr>
            <w:r w:rsidRPr="005E21D8">
              <w:rPr>
                <w:szCs w:val="20"/>
              </w:rPr>
              <w:t>Reviews</w:t>
            </w:r>
          </w:p>
        </w:tc>
        <w:tc>
          <w:tcPr>
            <w:tcW w:w="1661" w:type="dxa"/>
            <w:shd w:val="clear" w:color="auto" w:fill="AEC7FE" w:themeFill="accent1" w:themeFillTint="33"/>
          </w:tcPr>
          <w:p w14:paraId="696FD5CE"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c>
          <w:tcPr>
            <w:tcW w:w="1814" w:type="dxa"/>
            <w:shd w:val="clear" w:color="auto" w:fill="AEC7FE" w:themeFill="accent1" w:themeFillTint="33"/>
          </w:tcPr>
          <w:p w14:paraId="026A3ED8"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c>
          <w:tcPr>
            <w:tcW w:w="1757" w:type="dxa"/>
            <w:shd w:val="clear" w:color="auto" w:fill="AEC7FE" w:themeFill="accent1" w:themeFillTint="33"/>
          </w:tcPr>
          <w:p w14:paraId="40F99360"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c>
          <w:tcPr>
            <w:tcW w:w="1699" w:type="dxa"/>
            <w:shd w:val="clear" w:color="auto" w:fill="AEC7FE" w:themeFill="accent1" w:themeFillTint="33"/>
          </w:tcPr>
          <w:p w14:paraId="4197987A"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r>
      <w:tr w:rsidR="000D5BD1" w:rsidRPr="005E21D8" w14:paraId="5D5AE01B" w14:textId="77777777" w:rsidTr="00DB02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687B9F41" w14:textId="77777777" w:rsidR="000D5BD1" w:rsidRPr="005E21D8" w:rsidRDefault="000D5BD1" w:rsidP="00C152A3">
            <w:pPr>
              <w:rPr>
                <w:szCs w:val="20"/>
              </w:rPr>
            </w:pPr>
            <w:r w:rsidRPr="005E21D8">
              <w:rPr>
                <w:szCs w:val="20"/>
              </w:rPr>
              <w:t>Annual compliance</w:t>
            </w:r>
          </w:p>
        </w:tc>
        <w:tc>
          <w:tcPr>
            <w:tcW w:w="1661" w:type="dxa"/>
            <w:shd w:val="clear" w:color="auto" w:fill="F2F2F2" w:themeFill="background1" w:themeFillShade="F2"/>
          </w:tcPr>
          <w:p w14:paraId="69996457" w14:textId="77777777" w:rsidR="000D5BD1" w:rsidRPr="005E21D8" w:rsidRDefault="000D5BD1"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tc>
        <w:tc>
          <w:tcPr>
            <w:tcW w:w="1814" w:type="dxa"/>
            <w:shd w:val="clear" w:color="auto" w:fill="F2F2F2" w:themeFill="background1" w:themeFillShade="F2"/>
          </w:tcPr>
          <w:p w14:paraId="3CAB54BE" w14:textId="77777777" w:rsidR="000D5BD1" w:rsidRPr="005E21D8" w:rsidRDefault="000D5BD1" w:rsidP="000D5BD1">
            <w:pPr>
              <w:numPr>
                <w:ilvl w:val="0"/>
                <w:numId w:val="50"/>
              </w:numPr>
              <w:jc w:val="center"/>
              <w:cnfStyle w:val="000000010000" w:firstRow="0" w:lastRow="0" w:firstColumn="0" w:lastColumn="0" w:oddVBand="0" w:evenVBand="0" w:oddHBand="0" w:evenHBand="1" w:firstRowFirstColumn="0" w:firstRowLastColumn="0" w:lastRowFirstColumn="0" w:lastRowLastColumn="0"/>
              <w:rPr>
                <w:szCs w:val="20"/>
              </w:rPr>
            </w:pPr>
          </w:p>
        </w:tc>
        <w:tc>
          <w:tcPr>
            <w:tcW w:w="1757" w:type="dxa"/>
            <w:shd w:val="clear" w:color="auto" w:fill="F2F2F2" w:themeFill="background1" w:themeFillShade="F2"/>
          </w:tcPr>
          <w:p w14:paraId="13DECF86" w14:textId="7E0E0E5B" w:rsidR="000D5BD1" w:rsidRPr="005E21D8" w:rsidRDefault="000D5BD1" w:rsidP="00D079A3">
            <w:pPr>
              <w:numPr>
                <w:ilvl w:val="0"/>
                <w:numId w:val="51"/>
              </w:numPr>
              <w:jc w:val="center"/>
              <w:cnfStyle w:val="000000010000" w:firstRow="0" w:lastRow="0" w:firstColumn="0" w:lastColumn="0" w:oddVBand="0" w:evenVBand="0" w:oddHBand="0" w:evenHBand="1" w:firstRowFirstColumn="0" w:firstRowLastColumn="0" w:lastRowFirstColumn="0" w:lastRowLastColumn="0"/>
              <w:rPr>
                <w:szCs w:val="20"/>
              </w:rPr>
            </w:pPr>
          </w:p>
        </w:tc>
        <w:tc>
          <w:tcPr>
            <w:tcW w:w="1699" w:type="dxa"/>
            <w:shd w:val="clear" w:color="auto" w:fill="F2F2F2" w:themeFill="background1" w:themeFillShade="F2"/>
          </w:tcPr>
          <w:p w14:paraId="65CBFAA1" w14:textId="77777777" w:rsidR="000D5BD1" w:rsidRPr="005E21D8" w:rsidRDefault="000D5BD1" w:rsidP="00C152A3">
            <w:pPr>
              <w:cnfStyle w:val="000000010000" w:firstRow="0" w:lastRow="0" w:firstColumn="0" w:lastColumn="0" w:oddVBand="0" w:evenVBand="0" w:oddHBand="0" w:evenHBand="1" w:firstRowFirstColumn="0" w:firstRowLastColumn="0" w:lastRowFirstColumn="0" w:lastRowLastColumn="0"/>
              <w:rPr>
                <w:szCs w:val="20"/>
              </w:rPr>
            </w:pPr>
          </w:p>
        </w:tc>
      </w:tr>
      <w:tr w:rsidR="000D5BD1" w:rsidRPr="005E21D8" w14:paraId="056BAE74" w14:textId="77777777" w:rsidTr="002F6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F2F2F2" w:themeFill="background1" w:themeFillShade="F2"/>
          </w:tcPr>
          <w:p w14:paraId="0254620D" w14:textId="77777777" w:rsidR="000D5BD1" w:rsidRPr="005E21D8" w:rsidRDefault="000D5BD1" w:rsidP="00C152A3">
            <w:pPr>
              <w:rPr>
                <w:szCs w:val="20"/>
              </w:rPr>
            </w:pPr>
            <w:r w:rsidRPr="005E21D8">
              <w:rPr>
                <w:szCs w:val="20"/>
              </w:rPr>
              <w:t>Triennial effectiveness</w:t>
            </w:r>
          </w:p>
        </w:tc>
        <w:tc>
          <w:tcPr>
            <w:tcW w:w="1661" w:type="dxa"/>
            <w:shd w:val="clear" w:color="auto" w:fill="F2F2F2" w:themeFill="background1" w:themeFillShade="F2"/>
          </w:tcPr>
          <w:p w14:paraId="7A4231F5" w14:textId="77777777" w:rsidR="000D5BD1" w:rsidRPr="005E21D8" w:rsidRDefault="000D5BD1" w:rsidP="000D5BD1">
            <w:pPr>
              <w:numPr>
                <w:ilvl w:val="0"/>
                <w:numId w:val="50"/>
              </w:numPr>
              <w:jc w:val="center"/>
              <w:cnfStyle w:val="000000100000" w:firstRow="0" w:lastRow="0" w:firstColumn="0" w:lastColumn="0" w:oddVBand="0" w:evenVBand="0" w:oddHBand="1" w:evenHBand="0" w:firstRowFirstColumn="0" w:firstRowLastColumn="0" w:lastRowFirstColumn="0" w:lastRowLastColumn="0"/>
              <w:rPr>
                <w:szCs w:val="20"/>
              </w:rPr>
            </w:pPr>
          </w:p>
        </w:tc>
        <w:tc>
          <w:tcPr>
            <w:tcW w:w="1814" w:type="dxa"/>
            <w:shd w:val="clear" w:color="auto" w:fill="F2F2F2" w:themeFill="background1" w:themeFillShade="F2"/>
          </w:tcPr>
          <w:p w14:paraId="58838EC6" w14:textId="77777777" w:rsidR="000D5BD1" w:rsidRPr="005E21D8" w:rsidRDefault="000D5BD1" w:rsidP="000D5BD1">
            <w:pPr>
              <w:numPr>
                <w:ilvl w:val="0"/>
                <w:numId w:val="50"/>
              </w:numPr>
              <w:jc w:val="center"/>
              <w:cnfStyle w:val="000000100000" w:firstRow="0" w:lastRow="0" w:firstColumn="0" w:lastColumn="0" w:oddVBand="0" w:evenVBand="0" w:oddHBand="1" w:evenHBand="0" w:firstRowFirstColumn="0" w:firstRowLastColumn="0" w:lastRowFirstColumn="0" w:lastRowLastColumn="0"/>
              <w:rPr>
                <w:szCs w:val="20"/>
              </w:rPr>
            </w:pPr>
          </w:p>
          <w:p w14:paraId="4A091BC5" w14:textId="77777777" w:rsidR="000D5BD1" w:rsidRPr="005E21D8" w:rsidRDefault="000D5BD1" w:rsidP="00C152A3">
            <w:pPr>
              <w:jc w:val="center"/>
              <w:cnfStyle w:val="000000100000" w:firstRow="0" w:lastRow="0" w:firstColumn="0" w:lastColumn="0" w:oddVBand="0" w:evenVBand="0" w:oddHBand="1" w:evenHBand="0" w:firstRowFirstColumn="0" w:firstRowLastColumn="0" w:lastRowFirstColumn="0" w:lastRowLastColumn="0"/>
              <w:rPr>
                <w:szCs w:val="20"/>
              </w:rPr>
            </w:pPr>
            <w:r w:rsidRPr="005E21D8">
              <w:rPr>
                <w:szCs w:val="20"/>
              </w:rPr>
              <w:t>Simplified scope</w:t>
            </w:r>
          </w:p>
        </w:tc>
        <w:tc>
          <w:tcPr>
            <w:tcW w:w="1757" w:type="dxa"/>
            <w:shd w:val="clear" w:color="auto" w:fill="F2F2F2" w:themeFill="background1" w:themeFillShade="F2"/>
          </w:tcPr>
          <w:p w14:paraId="5A7B263D" w14:textId="03AFB54E" w:rsidR="000D5BD1" w:rsidRPr="005E21D8" w:rsidRDefault="000D5BD1" w:rsidP="00004CCE">
            <w:pPr>
              <w:numPr>
                <w:ilvl w:val="0"/>
                <w:numId w:val="51"/>
              </w:numPr>
              <w:jc w:val="center"/>
              <w:cnfStyle w:val="000000100000" w:firstRow="0" w:lastRow="0" w:firstColumn="0" w:lastColumn="0" w:oddVBand="0" w:evenVBand="0" w:oddHBand="1" w:evenHBand="0" w:firstRowFirstColumn="0" w:firstRowLastColumn="0" w:lastRowFirstColumn="0" w:lastRowLastColumn="0"/>
              <w:rPr>
                <w:szCs w:val="20"/>
              </w:rPr>
            </w:pPr>
          </w:p>
        </w:tc>
        <w:tc>
          <w:tcPr>
            <w:tcW w:w="1699" w:type="dxa"/>
            <w:shd w:val="clear" w:color="auto" w:fill="F2F2F2" w:themeFill="background1" w:themeFillShade="F2"/>
          </w:tcPr>
          <w:p w14:paraId="4176CB8D" w14:textId="77777777" w:rsidR="000D5BD1" w:rsidRPr="005E21D8" w:rsidRDefault="000D5BD1" w:rsidP="00C152A3">
            <w:pPr>
              <w:cnfStyle w:val="000000100000" w:firstRow="0" w:lastRow="0" w:firstColumn="0" w:lastColumn="0" w:oddVBand="0" w:evenVBand="0" w:oddHBand="1" w:evenHBand="0" w:firstRowFirstColumn="0" w:firstRowLastColumn="0" w:lastRowFirstColumn="0" w:lastRowLastColumn="0"/>
              <w:rPr>
                <w:szCs w:val="20"/>
              </w:rPr>
            </w:pPr>
          </w:p>
        </w:tc>
      </w:tr>
      <w:tr w:rsidR="00FC5230" w:rsidRPr="005E21D8" w14:paraId="5BB4DEAB" w14:textId="77777777" w:rsidTr="00FC52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shd w:val="clear" w:color="auto" w:fill="AEC7FE" w:themeFill="accent1" w:themeFillTint="33"/>
          </w:tcPr>
          <w:p w14:paraId="1A904850" w14:textId="3AD934DE" w:rsidR="00FC5230" w:rsidRPr="005E21D8" w:rsidRDefault="00FC5230" w:rsidP="00FC5230">
            <w:pPr>
              <w:rPr>
                <w:szCs w:val="20"/>
              </w:rPr>
            </w:pPr>
            <w:r>
              <w:rPr>
                <w:szCs w:val="20"/>
              </w:rPr>
              <w:lastRenderedPageBreak/>
              <w:t>Disclosure</w:t>
            </w:r>
          </w:p>
        </w:tc>
        <w:tc>
          <w:tcPr>
            <w:tcW w:w="1661" w:type="dxa"/>
            <w:shd w:val="clear" w:color="auto" w:fill="AEC7FE" w:themeFill="accent1" w:themeFillTint="33"/>
          </w:tcPr>
          <w:p w14:paraId="2C32DE16" w14:textId="428A94FB" w:rsidR="00FC5230" w:rsidRPr="005E21D8" w:rsidRDefault="00FC5230" w:rsidP="00FC5230">
            <w:pPr>
              <w:jc w:val="center"/>
              <w:cnfStyle w:val="000000010000" w:firstRow="0" w:lastRow="0" w:firstColumn="0" w:lastColumn="0" w:oddVBand="0" w:evenVBand="0" w:oddHBand="0" w:evenHBand="1" w:firstRowFirstColumn="0" w:firstRowLastColumn="0" w:lastRowFirstColumn="0" w:lastRowLastColumn="0"/>
              <w:rPr>
                <w:szCs w:val="20"/>
              </w:rPr>
            </w:pPr>
          </w:p>
        </w:tc>
        <w:tc>
          <w:tcPr>
            <w:tcW w:w="1814" w:type="dxa"/>
            <w:shd w:val="clear" w:color="auto" w:fill="AEC7FE" w:themeFill="accent1" w:themeFillTint="33"/>
          </w:tcPr>
          <w:p w14:paraId="367EAE3C" w14:textId="7BBCCB95" w:rsidR="00FC5230" w:rsidRPr="005E21D8" w:rsidRDefault="00FC5230" w:rsidP="00FC5230">
            <w:pPr>
              <w:jc w:val="center"/>
              <w:cnfStyle w:val="000000010000" w:firstRow="0" w:lastRow="0" w:firstColumn="0" w:lastColumn="0" w:oddVBand="0" w:evenVBand="0" w:oddHBand="0" w:evenHBand="1" w:firstRowFirstColumn="0" w:firstRowLastColumn="0" w:lastRowFirstColumn="0" w:lastRowLastColumn="0"/>
              <w:rPr>
                <w:szCs w:val="20"/>
              </w:rPr>
            </w:pPr>
          </w:p>
        </w:tc>
        <w:tc>
          <w:tcPr>
            <w:tcW w:w="1757" w:type="dxa"/>
            <w:shd w:val="clear" w:color="auto" w:fill="AEC7FE" w:themeFill="accent1" w:themeFillTint="33"/>
          </w:tcPr>
          <w:p w14:paraId="34EF0F23" w14:textId="0A330556" w:rsidR="00FC5230" w:rsidRPr="005E21D8" w:rsidRDefault="00FC5230" w:rsidP="00FC5230">
            <w:pPr>
              <w:jc w:val="center"/>
              <w:cnfStyle w:val="000000010000" w:firstRow="0" w:lastRow="0" w:firstColumn="0" w:lastColumn="0" w:oddVBand="0" w:evenVBand="0" w:oddHBand="0" w:evenHBand="1" w:firstRowFirstColumn="0" w:firstRowLastColumn="0" w:lastRowFirstColumn="0" w:lastRowLastColumn="0"/>
              <w:rPr>
                <w:szCs w:val="20"/>
              </w:rPr>
            </w:pPr>
          </w:p>
        </w:tc>
        <w:tc>
          <w:tcPr>
            <w:tcW w:w="1699" w:type="dxa"/>
            <w:shd w:val="clear" w:color="auto" w:fill="AEC7FE" w:themeFill="accent1" w:themeFillTint="33"/>
          </w:tcPr>
          <w:p w14:paraId="5224754D" w14:textId="6EDA4FBE" w:rsidR="00FC5230" w:rsidRPr="005E21D8" w:rsidRDefault="00FC5230" w:rsidP="00FC5230">
            <w:pPr>
              <w:cnfStyle w:val="000000010000" w:firstRow="0" w:lastRow="0" w:firstColumn="0" w:lastColumn="0" w:oddVBand="0" w:evenVBand="0" w:oddHBand="0" w:evenHBand="1" w:firstRowFirstColumn="0" w:firstRowLastColumn="0" w:lastRowFirstColumn="0" w:lastRowLastColumn="0"/>
              <w:rPr>
                <w:szCs w:val="20"/>
              </w:rPr>
            </w:pPr>
          </w:p>
        </w:tc>
      </w:tr>
      <w:tr w:rsidR="00CE16D9" w:rsidRPr="00BE3A56" w14:paraId="623E27C4" w14:textId="77777777" w:rsidTr="00BE3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tcPr>
          <w:p w14:paraId="10F60F79" w14:textId="33059F65" w:rsidR="00CE16D9" w:rsidRDefault="00CE16D9" w:rsidP="00BE3A56">
            <w:pPr>
              <w:jc w:val="center"/>
              <w:rPr>
                <w:szCs w:val="20"/>
              </w:rPr>
            </w:pPr>
            <w:r>
              <w:rPr>
                <w:szCs w:val="20"/>
              </w:rPr>
              <w:t>Disclosure requirements</w:t>
            </w:r>
          </w:p>
        </w:tc>
        <w:tc>
          <w:tcPr>
            <w:tcW w:w="1661" w:type="dxa"/>
          </w:tcPr>
          <w:p w14:paraId="702D8455" w14:textId="77777777" w:rsidR="00CE16D9" w:rsidRDefault="00CE16D9" w:rsidP="00CE16D9">
            <w:pPr>
              <w:numPr>
                <w:ilvl w:val="0"/>
                <w:numId w:val="50"/>
              </w:numPr>
              <w:jc w:val="center"/>
              <w:cnfStyle w:val="000000100000" w:firstRow="0" w:lastRow="0" w:firstColumn="0" w:lastColumn="0" w:oddVBand="0" w:evenVBand="0" w:oddHBand="1" w:evenHBand="0" w:firstRowFirstColumn="0" w:firstRowLastColumn="0" w:lastRowFirstColumn="0" w:lastRowLastColumn="0"/>
              <w:rPr>
                <w:szCs w:val="20"/>
              </w:rPr>
            </w:pPr>
          </w:p>
          <w:p w14:paraId="4ABC607C" w14:textId="0E04E7D6" w:rsidR="00CE16D9" w:rsidRDefault="00CE16D9" w:rsidP="00BE3A56">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Conceptual</w:t>
            </w:r>
          </w:p>
        </w:tc>
        <w:tc>
          <w:tcPr>
            <w:tcW w:w="1814" w:type="dxa"/>
          </w:tcPr>
          <w:p w14:paraId="6B7AF47C" w14:textId="77777777" w:rsidR="00CE16D9" w:rsidRDefault="00CE16D9" w:rsidP="00CE16D9">
            <w:pPr>
              <w:numPr>
                <w:ilvl w:val="0"/>
                <w:numId w:val="50"/>
              </w:numPr>
              <w:jc w:val="center"/>
              <w:cnfStyle w:val="000000100000" w:firstRow="0" w:lastRow="0" w:firstColumn="0" w:lastColumn="0" w:oddVBand="0" w:evenVBand="0" w:oddHBand="1" w:evenHBand="0" w:firstRowFirstColumn="0" w:firstRowLastColumn="0" w:lastRowFirstColumn="0" w:lastRowLastColumn="0"/>
              <w:rPr>
                <w:szCs w:val="20"/>
              </w:rPr>
            </w:pPr>
          </w:p>
          <w:p w14:paraId="37CE527C" w14:textId="3CBD5515" w:rsidR="00CE16D9" w:rsidRDefault="00CE16D9" w:rsidP="00BE3A56">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Initial ideas</w:t>
            </w:r>
          </w:p>
        </w:tc>
        <w:tc>
          <w:tcPr>
            <w:tcW w:w="1757" w:type="dxa"/>
          </w:tcPr>
          <w:p w14:paraId="565BF79F" w14:textId="77777777" w:rsidR="00CE16D9" w:rsidRDefault="00CE16D9" w:rsidP="00CE16D9">
            <w:pPr>
              <w:numPr>
                <w:ilvl w:val="0"/>
                <w:numId w:val="50"/>
              </w:numPr>
              <w:jc w:val="center"/>
              <w:cnfStyle w:val="000000100000" w:firstRow="0" w:lastRow="0" w:firstColumn="0" w:lastColumn="0" w:oddVBand="0" w:evenVBand="0" w:oddHBand="1" w:evenHBand="0" w:firstRowFirstColumn="0" w:firstRowLastColumn="0" w:lastRowFirstColumn="0" w:lastRowLastColumn="0"/>
              <w:rPr>
                <w:szCs w:val="20"/>
              </w:rPr>
            </w:pPr>
          </w:p>
          <w:p w14:paraId="013F25EF" w14:textId="58A64324" w:rsidR="00CE16D9" w:rsidRDefault="00CE16D9" w:rsidP="00BE3A56">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Initial ideas </w:t>
            </w:r>
          </w:p>
        </w:tc>
        <w:tc>
          <w:tcPr>
            <w:tcW w:w="1699" w:type="dxa"/>
          </w:tcPr>
          <w:p w14:paraId="6E9EEEDB" w14:textId="77777777" w:rsidR="00CE16D9" w:rsidRPr="005E21D8" w:rsidRDefault="00CE16D9" w:rsidP="00BE3A56">
            <w:pPr>
              <w:jc w:val="center"/>
              <w:cnfStyle w:val="000000100000" w:firstRow="0" w:lastRow="0" w:firstColumn="0" w:lastColumn="0" w:oddVBand="0" w:evenVBand="0" w:oddHBand="1" w:evenHBand="0" w:firstRowFirstColumn="0" w:firstRowLastColumn="0" w:lastRowFirstColumn="0" w:lastRowLastColumn="0"/>
              <w:rPr>
                <w:szCs w:val="20"/>
              </w:rPr>
            </w:pPr>
          </w:p>
        </w:tc>
      </w:tr>
    </w:tbl>
    <w:p w14:paraId="1FFB91A1" w14:textId="77777777" w:rsidR="002E6221" w:rsidRDefault="002E6221" w:rsidP="002E6221">
      <w:pPr>
        <w:pStyle w:val="Heading2Numbers"/>
        <w:tabs>
          <w:tab w:val="clear" w:pos="2268"/>
        </w:tabs>
      </w:pPr>
      <w:r>
        <w:t>N</w:t>
      </w:r>
      <w:r w:rsidRPr="00246DCB">
        <w:t xml:space="preserve">ext steps </w:t>
      </w:r>
    </w:p>
    <w:p w14:paraId="110E883C" w14:textId="344D9534" w:rsidR="00833B15" w:rsidRDefault="00833B15" w:rsidP="00833B15">
      <w:r>
        <w:t xml:space="preserve">To reinforce APRA’s reform objectives, revised CPS 511 will be supported by: </w:t>
      </w:r>
    </w:p>
    <w:p w14:paraId="758D28DB" w14:textId="003AAB96" w:rsidR="00833B15" w:rsidRDefault="00833B15" w:rsidP="00833B15">
      <w:r>
        <w:t>•</w:t>
      </w:r>
      <w:r>
        <w:tab/>
        <w:t>ongoing supervision of entities’ remuneration arrangements</w:t>
      </w:r>
      <w:r w:rsidR="005C795A">
        <w:t>, which</w:t>
      </w:r>
      <w:r>
        <w:t xml:space="preserve"> will commence with a deep dive implementation review on a sample of entities</w:t>
      </w:r>
      <w:r w:rsidR="00725EE5">
        <w:t xml:space="preserve"> once arrangements are in place</w:t>
      </w:r>
      <w:r>
        <w:t>;</w:t>
      </w:r>
    </w:p>
    <w:p w14:paraId="43654934" w14:textId="77777777" w:rsidR="00833B15" w:rsidRDefault="00833B15" w:rsidP="00833B15">
      <w:r>
        <w:t>•</w:t>
      </w:r>
      <w:r>
        <w:tab/>
        <w:t xml:space="preserve">a new draft prudential practice guide that outlines better practice, which will facilitate entity implementation and APRA’s ongoing supervision of the requirements; </w:t>
      </w:r>
    </w:p>
    <w:p w14:paraId="1FB61C3F" w14:textId="77777777" w:rsidR="00833B15" w:rsidRDefault="00833B15" w:rsidP="00833B15">
      <w:r>
        <w:t>•</w:t>
      </w:r>
      <w:r>
        <w:tab/>
        <w:t xml:space="preserve">new reporting and disclosure requirements </w:t>
      </w:r>
      <w:r w:rsidR="006A42CC">
        <w:t>to</w:t>
      </w:r>
      <w:r>
        <w:t xml:space="preserve"> support the supervision focus, starting with a data study to inform the development of these requirements; and </w:t>
      </w:r>
    </w:p>
    <w:p w14:paraId="286653E3" w14:textId="77777777" w:rsidR="00833B15" w:rsidRDefault="00833B15" w:rsidP="00833B15">
      <w:r>
        <w:t>•</w:t>
      </w:r>
      <w:r>
        <w:tab/>
        <w:t>as previously foreshadowed, review of the effectiveness of CPS 511 four years from its effective date to ensure the standard is delivering on intent.</w:t>
      </w:r>
    </w:p>
    <w:p w14:paraId="474518DA" w14:textId="77777777" w:rsidR="00BE3A56" w:rsidRPr="000A324E" w:rsidRDefault="002E6221" w:rsidP="00BE3A56">
      <w:r>
        <w:t xml:space="preserve">Table </w:t>
      </w:r>
      <w:r w:rsidR="00E745CE">
        <w:t>2</w:t>
      </w:r>
      <w:r>
        <w:t xml:space="preserve"> </w:t>
      </w:r>
      <w:r w:rsidR="003011C1">
        <w:t>provides</w:t>
      </w:r>
      <w:r>
        <w:t xml:space="preserve"> a timeline of the next steps to achieving APRA’s reform of remuneration. </w:t>
      </w:r>
      <w:r w:rsidR="00BE3A56">
        <w:t>The widespread interest and feedback on the consultation proposals, particularly the limit on the use of financial measures, warrants a second consultation on the revised standard. The consultation on the revised standard will run for 12 weeks until 12 February 2021.</w:t>
      </w:r>
    </w:p>
    <w:p w14:paraId="1CCEBFC2" w14:textId="2636A950" w:rsidR="002E6221" w:rsidRPr="008D18F6" w:rsidRDefault="002E6221" w:rsidP="002E6221">
      <w:pPr>
        <w:rPr>
          <w:b/>
        </w:rPr>
      </w:pPr>
      <w:r w:rsidRPr="008D18F6">
        <w:rPr>
          <w:b/>
        </w:rPr>
        <w:t xml:space="preserve">Table </w:t>
      </w:r>
      <w:r w:rsidR="00E745CE">
        <w:rPr>
          <w:b/>
        </w:rPr>
        <w:t>2</w:t>
      </w:r>
      <w:r w:rsidRPr="008D18F6">
        <w:rPr>
          <w:b/>
        </w:rPr>
        <w:t xml:space="preserve">. Timeline </w:t>
      </w:r>
      <w:r>
        <w:rPr>
          <w:b/>
        </w:rPr>
        <w:t>of</w:t>
      </w:r>
      <w:r w:rsidRPr="008D18F6">
        <w:rPr>
          <w:b/>
        </w:rPr>
        <w:t xml:space="preserve"> next steps </w:t>
      </w:r>
    </w:p>
    <w:tbl>
      <w:tblPr>
        <w:tblStyle w:val="TableGrid"/>
        <w:tblW w:w="9220" w:type="dxa"/>
        <w:tblLook w:val="04A0" w:firstRow="1" w:lastRow="0" w:firstColumn="1" w:lastColumn="0" w:noHBand="0" w:noVBand="1"/>
      </w:tblPr>
      <w:tblGrid>
        <w:gridCol w:w="2037"/>
        <w:gridCol w:w="7183"/>
      </w:tblGrid>
      <w:tr w:rsidR="002E6221" w14:paraId="6E14EFB4" w14:textId="77777777" w:rsidTr="002E6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429F2EF2" w14:textId="77777777" w:rsidR="002E6221" w:rsidRDefault="002E6221" w:rsidP="002E6221">
            <w:r>
              <w:t>Date</w:t>
            </w:r>
          </w:p>
        </w:tc>
        <w:tc>
          <w:tcPr>
            <w:tcW w:w="7183" w:type="dxa"/>
          </w:tcPr>
          <w:p w14:paraId="6FD8DFF7" w14:textId="77777777" w:rsidR="002E6221" w:rsidRDefault="002E6221" w:rsidP="002E6221">
            <w:pPr>
              <w:cnfStyle w:val="100000000000" w:firstRow="1" w:lastRow="0" w:firstColumn="0" w:lastColumn="0" w:oddVBand="0" w:evenVBand="0" w:oddHBand="0" w:evenHBand="0" w:firstRowFirstColumn="0" w:firstRowLastColumn="0" w:lastRowFirstColumn="0" w:lastRowLastColumn="0"/>
            </w:pPr>
            <w:r>
              <w:t>Step</w:t>
            </w:r>
          </w:p>
        </w:tc>
      </w:tr>
      <w:tr w:rsidR="002E6221" w14:paraId="44DE412C" w14:textId="77777777" w:rsidTr="002E6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343CB8AA" w14:textId="1F61C25C" w:rsidR="002E6221" w:rsidRDefault="002E6221" w:rsidP="002E6221">
            <w:r>
              <w:t>1</w:t>
            </w:r>
            <w:r w:rsidR="00383687">
              <w:t>2</w:t>
            </w:r>
            <w:r>
              <w:t xml:space="preserve"> November 2020</w:t>
            </w:r>
          </w:p>
        </w:tc>
        <w:tc>
          <w:tcPr>
            <w:tcW w:w="7183" w:type="dxa"/>
          </w:tcPr>
          <w:p w14:paraId="1885175E" w14:textId="36CD86CC" w:rsidR="002E6221" w:rsidRDefault="002E6221" w:rsidP="002E6221">
            <w:pPr>
              <w:cnfStyle w:val="000000100000" w:firstRow="0" w:lastRow="0" w:firstColumn="0" w:lastColumn="0" w:oddVBand="0" w:evenVBand="0" w:oddHBand="1" w:evenHBand="0" w:firstRowFirstColumn="0" w:firstRowLastColumn="0" w:lastRowFirstColumn="0" w:lastRowLastColumn="0"/>
            </w:pPr>
            <w:r>
              <w:t>Revised CPS 511 released and second consultation commences for 3 months</w:t>
            </w:r>
            <w:r w:rsidR="00A56325">
              <w:t>.</w:t>
            </w:r>
          </w:p>
        </w:tc>
      </w:tr>
      <w:tr w:rsidR="002E6221" w14:paraId="53944FFA" w14:textId="77777777" w:rsidTr="002E62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1D770E87" w14:textId="77777777" w:rsidR="002E6221" w:rsidRDefault="00A2676C" w:rsidP="002E6221">
            <w:r>
              <w:t>12</w:t>
            </w:r>
            <w:r w:rsidR="002E6221">
              <w:t xml:space="preserve"> February 2021 </w:t>
            </w:r>
          </w:p>
        </w:tc>
        <w:tc>
          <w:tcPr>
            <w:tcW w:w="7183" w:type="dxa"/>
          </w:tcPr>
          <w:p w14:paraId="7B7506D7" w14:textId="0ECE36E4" w:rsidR="002E6221" w:rsidRDefault="002E6221" w:rsidP="002E6221">
            <w:pPr>
              <w:cnfStyle w:val="000000010000" w:firstRow="0" w:lastRow="0" w:firstColumn="0" w:lastColumn="0" w:oddVBand="0" w:evenVBand="0" w:oddHBand="0" w:evenHBand="1" w:firstRowFirstColumn="0" w:firstRowLastColumn="0" w:lastRowFirstColumn="0" w:lastRowLastColumn="0"/>
            </w:pPr>
            <w:r>
              <w:t>Close of second consultation on CPS 511</w:t>
            </w:r>
            <w:r w:rsidR="00A56325">
              <w:t>.</w:t>
            </w:r>
          </w:p>
        </w:tc>
      </w:tr>
      <w:tr w:rsidR="002E6221" w14:paraId="37173A70" w14:textId="77777777" w:rsidTr="002E6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7BCD1CFB" w14:textId="77777777" w:rsidR="002E6221" w:rsidRDefault="009F2CAC" w:rsidP="002E6221">
            <w:r>
              <w:t>Q1</w:t>
            </w:r>
            <w:r w:rsidR="002E6221">
              <w:t xml:space="preserve"> 2021</w:t>
            </w:r>
          </w:p>
        </w:tc>
        <w:tc>
          <w:tcPr>
            <w:tcW w:w="7183" w:type="dxa"/>
          </w:tcPr>
          <w:p w14:paraId="06DDD05C" w14:textId="77777777" w:rsidR="009F2CAC" w:rsidRDefault="009F2CAC" w:rsidP="009F2CAC">
            <w:pPr>
              <w:cnfStyle w:val="000000100000" w:firstRow="0" w:lastRow="0" w:firstColumn="0" w:lastColumn="0" w:oddVBand="0" w:evenVBand="0" w:oddHBand="1" w:evenHBand="0" w:firstRowFirstColumn="0" w:firstRowLastColumn="0" w:lastRowFirstColumn="0" w:lastRowLastColumn="0"/>
            </w:pPr>
            <w:r>
              <w:t>Draft CPG 511 consultation commences; and</w:t>
            </w:r>
          </w:p>
          <w:p w14:paraId="068F009D" w14:textId="68C9AAA9" w:rsidR="002E6221" w:rsidRDefault="002E6221" w:rsidP="002E6221">
            <w:pPr>
              <w:cnfStyle w:val="000000100000" w:firstRow="0" w:lastRow="0" w:firstColumn="0" w:lastColumn="0" w:oddVBand="0" w:evenVBand="0" w:oddHBand="1" w:evenHBand="0" w:firstRowFirstColumn="0" w:firstRowLastColumn="0" w:lastRowFirstColumn="0" w:lastRowLastColumn="0"/>
            </w:pPr>
            <w:r>
              <w:t>Commence data survey – 2 months</w:t>
            </w:r>
            <w:r w:rsidR="00A56325">
              <w:t>.</w:t>
            </w:r>
          </w:p>
        </w:tc>
      </w:tr>
      <w:tr w:rsidR="002E6221" w14:paraId="4614F147" w14:textId="77777777" w:rsidTr="002E62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1129A565" w14:textId="77777777" w:rsidR="002E6221" w:rsidRDefault="002E6221" w:rsidP="002E6221">
            <w:r>
              <w:t>Q2 2021</w:t>
            </w:r>
          </w:p>
        </w:tc>
        <w:tc>
          <w:tcPr>
            <w:tcW w:w="7183" w:type="dxa"/>
          </w:tcPr>
          <w:p w14:paraId="05BACAD8" w14:textId="77777777" w:rsidR="00D83898" w:rsidRDefault="002E6221" w:rsidP="002E6221">
            <w:pPr>
              <w:cnfStyle w:val="000000010000" w:firstRow="0" w:lastRow="0" w:firstColumn="0" w:lastColumn="0" w:oddVBand="0" w:evenVBand="0" w:oddHBand="0" w:evenHBand="1" w:firstRowFirstColumn="0" w:firstRowLastColumn="0" w:lastRowFirstColumn="0" w:lastRowLastColumn="0"/>
            </w:pPr>
            <w:r>
              <w:t>Release</w:t>
            </w:r>
            <w:r w:rsidRPr="00246DCB">
              <w:t xml:space="preserve"> </w:t>
            </w:r>
            <w:r>
              <w:t>finalised</w:t>
            </w:r>
            <w:r w:rsidRPr="00246DCB">
              <w:t xml:space="preserve"> </w:t>
            </w:r>
            <w:r>
              <w:t xml:space="preserve">CPS 511; </w:t>
            </w:r>
            <w:r w:rsidR="00D83898">
              <w:t>and</w:t>
            </w:r>
          </w:p>
          <w:p w14:paraId="6A0467F4" w14:textId="5EB97DC6" w:rsidR="002E6221" w:rsidRDefault="002E6221" w:rsidP="00AE70BA">
            <w:pPr>
              <w:cnfStyle w:val="000000010000" w:firstRow="0" w:lastRow="0" w:firstColumn="0" w:lastColumn="0" w:oddVBand="0" w:evenVBand="0" w:oddHBand="0" w:evenHBand="1" w:firstRowFirstColumn="0" w:firstRowLastColumn="0" w:lastRowFirstColumn="0" w:lastRowLastColumn="0"/>
            </w:pPr>
            <w:r>
              <w:lastRenderedPageBreak/>
              <w:t xml:space="preserve">Close of </w:t>
            </w:r>
            <w:r w:rsidR="00AE70BA">
              <w:t xml:space="preserve">data survey and </w:t>
            </w:r>
            <w:r w:rsidR="00616D1D">
              <w:t>consultation on draft CPG 511</w:t>
            </w:r>
            <w:r>
              <w:t>.</w:t>
            </w:r>
            <w:r w:rsidRPr="004F2D19">
              <w:rPr>
                <w:highlight w:val="yellow"/>
              </w:rPr>
              <w:t xml:space="preserve"> </w:t>
            </w:r>
          </w:p>
        </w:tc>
      </w:tr>
      <w:tr w:rsidR="002E6221" w14:paraId="7B56BA3A" w14:textId="77777777" w:rsidTr="002E6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2C791161" w14:textId="77777777" w:rsidR="002E6221" w:rsidRDefault="002E6221" w:rsidP="002E6221">
            <w:r>
              <w:lastRenderedPageBreak/>
              <w:t>Q3 2021</w:t>
            </w:r>
          </w:p>
        </w:tc>
        <w:tc>
          <w:tcPr>
            <w:tcW w:w="7183" w:type="dxa"/>
          </w:tcPr>
          <w:p w14:paraId="3B9C6EE2" w14:textId="7C0902AE" w:rsidR="002E6221" w:rsidRDefault="002E6221" w:rsidP="002E6221">
            <w:pPr>
              <w:cnfStyle w:val="000000100000" w:firstRow="0" w:lastRow="0" w:firstColumn="0" w:lastColumn="0" w:oddVBand="0" w:evenVBand="0" w:oddHBand="1" w:evenHBand="0" w:firstRowFirstColumn="0" w:firstRowLastColumn="0" w:lastRowFirstColumn="0" w:lastRowLastColumn="0"/>
            </w:pPr>
            <w:r>
              <w:t>APRA determines and notifies entities that are SFIs</w:t>
            </w:r>
            <w:r w:rsidR="00A56325">
              <w:t>.</w:t>
            </w:r>
          </w:p>
        </w:tc>
      </w:tr>
      <w:tr w:rsidR="002E6221" w14:paraId="1C4B13C0" w14:textId="77777777" w:rsidTr="002E62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49333303" w14:textId="77777777" w:rsidR="002E6221" w:rsidRDefault="002E6221" w:rsidP="002E6221">
            <w:r>
              <w:t>Q4 2021</w:t>
            </w:r>
          </w:p>
        </w:tc>
        <w:tc>
          <w:tcPr>
            <w:tcW w:w="7183" w:type="dxa"/>
          </w:tcPr>
          <w:p w14:paraId="4C38E251" w14:textId="77777777" w:rsidR="002E6221" w:rsidRDefault="002E6221" w:rsidP="002E6221">
            <w:pPr>
              <w:cnfStyle w:val="000000010000" w:firstRow="0" w:lastRow="0" w:firstColumn="0" w:lastColumn="0" w:oddVBand="0" w:evenVBand="0" w:oddHBand="0" w:evenHBand="1" w:firstRowFirstColumn="0" w:firstRowLastColumn="0" w:lastRowFirstColumn="0" w:lastRowLastColumn="0"/>
            </w:pPr>
            <w:r>
              <w:t xml:space="preserve">Release finalised CPG 511; and </w:t>
            </w:r>
          </w:p>
          <w:p w14:paraId="3D4F0A4D" w14:textId="77777777" w:rsidR="002E6221" w:rsidRDefault="002E6221" w:rsidP="002E6221">
            <w:pPr>
              <w:cnfStyle w:val="000000010000" w:firstRow="0" w:lastRow="0" w:firstColumn="0" w:lastColumn="0" w:oddVBand="0" w:evenVBand="0" w:oddHBand="0" w:evenHBand="1" w:firstRowFirstColumn="0" w:firstRowLastColumn="0" w:lastRowFirstColumn="0" w:lastRowLastColumn="0"/>
            </w:pPr>
            <w:r>
              <w:t>Commence consultation on reporting and disclosure.</w:t>
            </w:r>
          </w:p>
        </w:tc>
      </w:tr>
      <w:tr w:rsidR="002E6221" w14:paraId="70111E60" w14:textId="77777777" w:rsidTr="002E6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0741762F" w14:textId="77777777" w:rsidR="002E6221" w:rsidRDefault="002E6221" w:rsidP="002E6221">
            <w:r>
              <w:t>Q1 2022</w:t>
            </w:r>
          </w:p>
        </w:tc>
        <w:tc>
          <w:tcPr>
            <w:tcW w:w="7183" w:type="dxa"/>
          </w:tcPr>
          <w:p w14:paraId="755F9CD9" w14:textId="5024447E" w:rsidR="002E6221" w:rsidRDefault="002E6221" w:rsidP="002E6221">
            <w:pPr>
              <w:cnfStyle w:val="000000100000" w:firstRow="0" w:lastRow="0" w:firstColumn="0" w:lastColumn="0" w:oddVBand="0" w:evenVBand="0" w:oddHBand="1" w:evenHBand="0" w:firstRowFirstColumn="0" w:firstRowLastColumn="0" w:lastRowFirstColumn="0" w:lastRowLastColumn="0"/>
            </w:pPr>
            <w:r>
              <w:t>Close of consultation on reporting and disclosure</w:t>
            </w:r>
            <w:r w:rsidR="00A56325">
              <w:t>.</w:t>
            </w:r>
          </w:p>
        </w:tc>
      </w:tr>
      <w:tr w:rsidR="002E6221" w14:paraId="09258577" w14:textId="77777777" w:rsidTr="002E62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5BC7384B" w14:textId="77777777" w:rsidR="002E6221" w:rsidRDefault="002E6221" w:rsidP="002E6221">
            <w:r w:rsidRPr="00246DCB">
              <w:t xml:space="preserve">1 </w:t>
            </w:r>
            <w:r>
              <w:t>January 2023</w:t>
            </w:r>
            <w:r w:rsidRPr="00246DCB">
              <w:t xml:space="preserve"> </w:t>
            </w:r>
          </w:p>
        </w:tc>
        <w:tc>
          <w:tcPr>
            <w:tcW w:w="7183" w:type="dxa"/>
          </w:tcPr>
          <w:p w14:paraId="04C772FC" w14:textId="61506CE9" w:rsidR="002E6221" w:rsidRDefault="002E6221" w:rsidP="002E6221">
            <w:pPr>
              <w:cnfStyle w:val="000000010000" w:firstRow="0" w:lastRow="0" w:firstColumn="0" w:lastColumn="0" w:oddVBand="0" w:evenVBand="0" w:oddHBand="0" w:evenHBand="1" w:firstRowFirstColumn="0" w:firstRowLastColumn="0" w:lastRowFirstColumn="0" w:lastRowLastColumn="0"/>
            </w:pPr>
            <w:r>
              <w:t xml:space="preserve">CPS 511 </w:t>
            </w:r>
            <w:r w:rsidRPr="00246DCB">
              <w:t>in force</w:t>
            </w:r>
            <w:r>
              <w:t>, phased implementation starts;</w:t>
            </w:r>
            <w:r w:rsidR="00A56325">
              <w:t xml:space="preserve"> and</w:t>
            </w:r>
          </w:p>
          <w:p w14:paraId="7292E9F0" w14:textId="656F105E" w:rsidR="002E6221" w:rsidRDefault="002E6221" w:rsidP="002E6221">
            <w:pPr>
              <w:cnfStyle w:val="000000010000" w:firstRow="0" w:lastRow="0" w:firstColumn="0" w:lastColumn="0" w:oddVBand="0" w:evenVBand="0" w:oddHBand="0" w:evenHBand="1" w:firstRowFirstColumn="0" w:firstRowLastColumn="0" w:lastRowFirstColumn="0" w:lastRowLastColumn="0"/>
            </w:pPr>
            <w:r>
              <w:t>R</w:t>
            </w:r>
            <w:r w:rsidRPr="00246DCB">
              <w:t>epeal remuneration related requirements in CPS</w:t>
            </w:r>
            <w:r>
              <w:t xml:space="preserve"> 510 and </w:t>
            </w:r>
            <w:r w:rsidRPr="00246DCB">
              <w:t>SPS 510</w:t>
            </w:r>
            <w:r w:rsidR="00A56325">
              <w:t>.</w:t>
            </w:r>
          </w:p>
        </w:tc>
      </w:tr>
      <w:tr w:rsidR="002E6221" w14:paraId="7991F565" w14:textId="77777777" w:rsidTr="002E6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7F7DE1A5" w14:textId="77777777" w:rsidR="002E6221" w:rsidRDefault="002E6221" w:rsidP="002E6221">
            <w:r>
              <w:t>Q4 2022</w:t>
            </w:r>
          </w:p>
        </w:tc>
        <w:tc>
          <w:tcPr>
            <w:tcW w:w="7183" w:type="dxa"/>
          </w:tcPr>
          <w:p w14:paraId="1B4678B8" w14:textId="7B1F8915" w:rsidR="002E6221" w:rsidRDefault="002E6221" w:rsidP="002E6221">
            <w:pPr>
              <w:cnfStyle w:val="000000100000" w:firstRow="0" w:lastRow="0" w:firstColumn="0" w:lastColumn="0" w:oddVBand="0" w:evenVBand="0" w:oddHBand="1" w:evenHBand="0" w:firstRowFirstColumn="0" w:firstRowLastColumn="0" w:lastRowFirstColumn="0" w:lastRowLastColumn="0"/>
            </w:pPr>
            <w:r>
              <w:t>Release finalised reporting and disclosure requirements</w:t>
            </w:r>
            <w:r w:rsidR="00A56325">
              <w:t>.</w:t>
            </w:r>
          </w:p>
        </w:tc>
      </w:tr>
    </w:tbl>
    <w:p w14:paraId="6F8019A0" w14:textId="77777777" w:rsidR="002E6221" w:rsidRDefault="002E6221" w:rsidP="005016DB"/>
    <w:p w14:paraId="20640BBC" w14:textId="77777777" w:rsidR="008D65A6" w:rsidRDefault="008D65A6" w:rsidP="00976F29">
      <w:pPr>
        <w:pStyle w:val="Heading1Numbers"/>
        <w:numPr>
          <w:ilvl w:val="0"/>
          <w:numId w:val="41"/>
        </w:numPr>
      </w:pPr>
      <w:bookmarkStart w:id="12" w:name="_Toc53000772"/>
      <w:bookmarkStart w:id="13" w:name="_Toc55850354"/>
      <w:r>
        <w:lastRenderedPageBreak/>
        <w:t>Industry consultation</w:t>
      </w:r>
      <w:bookmarkEnd w:id="12"/>
      <w:bookmarkEnd w:id="13"/>
    </w:p>
    <w:p w14:paraId="3922E179" w14:textId="77777777" w:rsidR="00624AA0" w:rsidRPr="00624AA0" w:rsidRDefault="008D65A6" w:rsidP="00A426E7">
      <w:pPr>
        <w:pStyle w:val="Heading2Numbers"/>
        <w:numPr>
          <w:ilvl w:val="1"/>
          <w:numId w:val="41"/>
        </w:numPr>
        <w:ind w:left="851"/>
      </w:pPr>
      <w:r>
        <w:t xml:space="preserve">Consultation feedback </w:t>
      </w:r>
    </w:p>
    <w:p w14:paraId="0A309EF3" w14:textId="64F8258C" w:rsidR="008D65A6" w:rsidRDefault="008D65A6" w:rsidP="008D65A6">
      <w:r>
        <w:t xml:space="preserve">APRA undertook extensive consultation on its proposals from July to November 2019. A total of 76 written submissions were received from entities across five industries and other key stakeholders including shareholder groups, proxy advisors, industry bodies, governance institutions, remuneration consultants and consumer groups. </w:t>
      </w:r>
      <w:r w:rsidR="00624AA0">
        <w:t xml:space="preserve">To enable appropriate discussion of the issues raised, </w:t>
      </w:r>
      <w:r>
        <w:t xml:space="preserve">APRA also directly engaged with stakeholders across the five industries through face-to-face meetings and webinars with over 380 registered attendees. </w:t>
      </w:r>
    </w:p>
    <w:p w14:paraId="064E8867" w14:textId="2E31AEF4" w:rsidR="008D65A6" w:rsidRDefault="008427A0" w:rsidP="008D65A6">
      <w:r>
        <w:t xml:space="preserve">APRA has carefully considered the feedback provided and issues raised. On the whole, </w:t>
      </w:r>
      <w:r w:rsidR="000B546C">
        <w:t>industry</w:t>
      </w:r>
      <w:r>
        <w:t xml:space="preserve"> supported APRA’s overall </w:t>
      </w:r>
      <w:r w:rsidR="00BA7E01">
        <w:t xml:space="preserve">reform </w:t>
      </w:r>
      <w:r>
        <w:t>objective</w:t>
      </w:r>
      <w:r w:rsidR="00BA7E01">
        <w:t>s</w:t>
      </w:r>
      <w:r>
        <w:t xml:space="preserve"> </w:t>
      </w:r>
      <w:r w:rsidR="008D65A6">
        <w:t xml:space="preserve">to strengthen remuneration practices and to align remuneration outcomes with performance and risk outcomes. However, </w:t>
      </w:r>
      <w:r w:rsidR="000B546C">
        <w:t>submissions</w:t>
      </w:r>
      <w:r w:rsidR="00E15642">
        <w:t xml:space="preserve"> raised </w:t>
      </w:r>
      <w:r w:rsidR="008D65A6">
        <w:t xml:space="preserve">concerns that the level of prescription in the proposed standard would not achieve intended outcomes. Table </w:t>
      </w:r>
      <w:r w:rsidR="00E745CE">
        <w:t>3</w:t>
      </w:r>
      <w:r w:rsidR="008D65A6">
        <w:t xml:space="preserve"> below outlines the themes of feedback raised during consultation.</w:t>
      </w:r>
    </w:p>
    <w:p w14:paraId="65AF5843" w14:textId="77777777" w:rsidR="00A00920" w:rsidRDefault="00CB242B" w:rsidP="00D44391">
      <w:bookmarkStart w:id="14" w:name="_Hlk55484634"/>
      <w:r>
        <w:t xml:space="preserve">The majority </w:t>
      </w:r>
      <w:r w:rsidR="00E123A3">
        <w:t xml:space="preserve">of submissions </w:t>
      </w:r>
      <w:r>
        <w:t xml:space="preserve">highlighted </w:t>
      </w:r>
      <w:r w:rsidR="00E123A3">
        <w:t xml:space="preserve">the </w:t>
      </w:r>
      <w:r w:rsidR="00156944">
        <w:t xml:space="preserve">risks </w:t>
      </w:r>
      <w:r w:rsidR="00E123A3">
        <w:t>of the 50</w:t>
      </w:r>
      <w:r>
        <w:t xml:space="preserve"> per cent</w:t>
      </w:r>
      <w:r w:rsidR="00E123A3">
        <w:t xml:space="preserve"> limit </w:t>
      </w:r>
      <w:r>
        <w:t xml:space="preserve">on </w:t>
      </w:r>
      <w:r w:rsidR="00E123A3">
        <w:t>financial measures. Certain entit</w:t>
      </w:r>
      <w:r w:rsidR="00556FE1">
        <w:t>i</w:t>
      </w:r>
      <w:r w:rsidR="00E123A3">
        <w:t>es and shareholder groups suggested</w:t>
      </w:r>
      <w:r w:rsidR="00156944">
        <w:t xml:space="preserve"> that</w:t>
      </w:r>
      <w:r w:rsidR="00E123A3">
        <w:t xml:space="preserve"> </w:t>
      </w:r>
      <w:r w:rsidR="00270168">
        <w:t>Total Shareholder Return (</w:t>
      </w:r>
      <w:r w:rsidR="00E123A3">
        <w:t>TSR</w:t>
      </w:r>
      <w:r w:rsidR="00270168">
        <w:t>)</w:t>
      </w:r>
      <w:r w:rsidR="00E123A3">
        <w:t xml:space="preserve"> </w:t>
      </w:r>
      <w:r w:rsidR="00156944">
        <w:t xml:space="preserve">or </w:t>
      </w:r>
      <w:r w:rsidR="00270168">
        <w:t>Return on Equity (</w:t>
      </w:r>
      <w:r w:rsidR="00E123A3">
        <w:t>ROE</w:t>
      </w:r>
      <w:r w:rsidR="00270168">
        <w:t>)</w:t>
      </w:r>
      <w:r w:rsidR="00E123A3">
        <w:t xml:space="preserve"> </w:t>
      </w:r>
      <w:r w:rsidR="00156944">
        <w:t>were</w:t>
      </w:r>
      <w:r w:rsidR="00E123A3" w:rsidDel="00156944">
        <w:t xml:space="preserve"> </w:t>
      </w:r>
      <w:r w:rsidR="00E123A3">
        <w:t>appropriate measure</w:t>
      </w:r>
      <w:r w:rsidR="00156944">
        <w:t>s</w:t>
      </w:r>
      <w:r w:rsidR="00E123A3">
        <w:t xml:space="preserve"> to capture all relevant </w:t>
      </w:r>
      <w:r w:rsidR="000A2E40">
        <w:t>financial</w:t>
      </w:r>
      <w:r w:rsidR="00E123A3">
        <w:t xml:space="preserve"> and non-financial risks. </w:t>
      </w:r>
    </w:p>
    <w:p w14:paraId="46FD4033" w14:textId="10AD3BCE" w:rsidR="005F7BD1" w:rsidRPr="005F7BD1" w:rsidRDefault="005F7BD1" w:rsidP="005F7BD1">
      <w:r>
        <w:t>In APRA’s view,</w:t>
      </w:r>
      <w:r w:rsidR="00B411E9">
        <w:t xml:space="preserve"> this is too narrow an assessment.</w:t>
      </w:r>
      <w:r>
        <w:t xml:space="preserve"> </w:t>
      </w:r>
      <w:r w:rsidR="006C1CCF">
        <w:t>Historical experience has shown</w:t>
      </w:r>
      <w:r w:rsidR="001D523D">
        <w:t xml:space="preserve"> that</w:t>
      </w:r>
      <w:r w:rsidR="00E46A08">
        <w:t xml:space="preserve"> TSR and ROE reflect entity-wide assessments of performance, and do not reinforce individual accountability for effective management of non-financial risk.</w:t>
      </w:r>
      <w:r w:rsidR="006C1CCF">
        <w:t xml:space="preserve"> </w:t>
      </w:r>
      <w:r w:rsidR="00E46A08">
        <w:t xml:space="preserve">TSR and ROE can also be significantly lagging indicators of the effectiveness of non-financial risk management, which can lead to too much variable remuneration being awarded in the short-term. </w:t>
      </w:r>
      <w:r w:rsidR="008C090E" w:rsidDel="002D2B8B">
        <w:t xml:space="preserve"> </w:t>
      </w:r>
      <w:r w:rsidR="002D2B8B">
        <w:t>Deferral periods provide a safeguard, but the Royal Commission showed that some non-financial risks can take a long time to emerge</w:t>
      </w:r>
      <w:r w:rsidR="00172B78">
        <w:t xml:space="preserve">, </w:t>
      </w:r>
      <w:r w:rsidR="004075C6">
        <w:t>in which case</w:t>
      </w:r>
      <w:r w:rsidR="00172B78">
        <w:t xml:space="preserve"> individuals </w:t>
      </w:r>
      <w:r w:rsidR="004075C6">
        <w:t xml:space="preserve">might </w:t>
      </w:r>
      <w:r w:rsidR="00172B78">
        <w:t>have moved on.</w:t>
      </w:r>
      <w:bookmarkEnd w:id="14"/>
    </w:p>
    <w:p w14:paraId="0DD38CC5" w14:textId="77777777" w:rsidR="008D65A6" w:rsidRPr="004B4B71" w:rsidRDefault="008D65A6" w:rsidP="008D65A6">
      <w:pPr>
        <w:rPr>
          <w:b/>
        </w:rPr>
      </w:pPr>
      <w:r w:rsidRPr="004B4B71">
        <w:rPr>
          <w:b/>
        </w:rPr>
        <w:t xml:space="preserve">Table </w:t>
      </w:r>
      <w:r w:rsidR="00E745CE">
        <w:rPr>
          <w:b/>
        </w:rPr>
        <w:t>3</w:t>
      </w:r>
      <w:r w:rsidRPr="004B4B71">
        <w:rPr>
          <w:b/>
        </w:rPr>
        <w:t xml:space="preserve">. </w:t>
      </w:r>
      <w:r w:rsidRPr="00644C78">
        <w:rPr>
          <w:b/>
        </w:rPr>
        <w:t>Overarching</w:t>
      </w:r>
      <w:r w:rsidRPr="004B4B71">
        <w:rPr>
          <w:b/>
        </w:rPr>
        <w:t xml:space="preserve"> themes of feedback</w:t>
      </w:r>
    </w:p>
    <w:tbl>
      <w:tblPr>
        <w:tblStyle w:val="TableGrid"/>
        <w:tblW w:w="0" w:type="auto"/>
        <w:tblLook w:val="04A0" w:firstRow="1" w:lastRow="0" w:firstColumn="1" w:lastColumn="0" w:noHBand="0" w:noVBand="1"/>
      </w:tblPr>
      <w:tblGrid>
        <w:gridCol w:w="1701"/>
        <w:gridCol w:w="5670"/>
        <w:gridCol w:w="1655"/>
      </w:tblGrid>
      <w:tr w:rsidR="00156944" w14:paraId="73BFDEE0" w14:textId="4F91CF93" w:rsidTr="00A42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012169" w:themeFill="text2"/>
          </w:tcPr>
          <w:p w14:paraId="3D3302F1" w14:textId="6A701681" w:rsidR="00156944" w:rsidRPr="007806D4" w:rsidRDefault="00156944" w:rsidP="00284796">
            <w:pPr>
              <w:rPr>
                <w:color w:val="auto"/>
              </w:rPr>
            </w:pPr>
            <w:r>
              <w:rPr>
                <w:color w:val="auto"/>
              </w:rPr>
              <w:t>Topic</w:t>
            </w:r>
          </w:p>
        </w:tc>
        <w:tc>
          <w:tcPr>
            <w:tcW w:w="5670" w:type="dxa"/>
            <w:shd w:val="clear" w:color="auto" w:fill="012169" w:themeFill="text2"/>
          </w:tcPr>
          <w:p w14:paraId="6904AF24" w14:textId="698A9854" w:rsidR="00156944" w:rsidRPr="007806D4" w:rsidRDefault="00156944" w:rsidP="00284796">
            <w:pPr>
              <w:cnfStyle w:val="100000000000" w:firstRow="1" w:lastRow="0" w:firstColumn="0" w:lastColumn="0" w:oddVBand="0" w:evenVBand="0" w:oddHBand="0" w:evenHBand="0" w:firstRowFirstColumn="0" w:firstRowLastColumn="0" w:lastRowFirstColumn="0" w:lastRowLastColumn="0"/>
              <w:rPr>
                <w:color w:val="auto"/>
              </w:rPr>
            </w:pPr>
            <w:r>
              <w:rPr>
                <w:color w:val="auto"/>
              </w:rPr>
              <w:t>Industry comments</w:t>
            </w:r>
          </w:p>
        </w:tc>
        <w:tc>
          <w:tcPr>
            <w:tcW w:w="1655" w:type="dxa"/>
            <w:shd w:val="clear" w:color="auto" w:fill="012169" w:themeFill="text2"/>
          </w:tcPr>
          <w:p w14:paraId="27D52CF8" w14:textId="290EDBB9" w:rsidR="00156944" w:rsidRDefault="00156944" w:rsidP="00284796">
            <w:pPr>
              <w:cnfStyle w:val="100000000000" w:firstRow="1" w:lastRow="0" w:firstColumn="0" w:lastColumn="0" w:oddVBand="0" w:evenVBand="0" w:oddHBand="0" w:evenHBand="0" w:firstRowFirstColumn="0" w:firstRowLastColumn="0" w:lastRowFirstColumn="0" w:lastRowLastColumn="0"/>
              <w:rPr>
                <w:color w:val="auto"/>
              </w:rPr>
            </w:pPr>
            <w:r>
              <w:rPr>
                <w:color w:val="auto"/>
              </w:rPr>
              <w:t>APRA response</w:t>
            </w:r>
          </w:p>
        </w:tc>
      </w:tr>
      <w:tr w:rsidR="00156944" w14:paraId="2595C1AF" w14:textId="6CA073B9" w:rsidTr="003F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478E11E" w14:textId="5536F080" w:rsidR="00156944" w:rsidRPr="007806D4" w:rsidRDefault="00156944" w:rsidP="00284796">
            <w:r w:rsidRPr="007806D4">
              <w:t>Board oversight</w:t>
            </w:r>
          </w:p>
          <w:p w14:paraId="31CE8901" w14:textId="04DE052A" w:rsidR="00156944" w:rsidRPr="007806D4" w:rsidRDefault="00156944" w:rsidP="00284796"/>
        </w:tc>
        <w:tc>
          <w:tcPr>
            <w:tcW w:w="0" w:type="dxa"/>
          </w:tcPr>
          <w:p w14:paraId="5B6AA701" w14:textId="730656A5" w:rsidR="00156944" w:rsidRPr="001B08FB" w:rsidRDefault="00156944" w:rsidP="00284796">
            <w:pPr>
              <w:cnfStyle w:val="000000100000" w:firstRow="0" w:lastRow="0" w:firstColumn="0" w:lastColumn="0" w:oddVBand="0" w:evenVBand="0" w:oddHBand="1" w:evenHBand="0" w:firstRowFirstColumn="0" w:firstRowLastColumn="0" w:lastRowFirstColumn="0" w:lastRowLastColumn="0"/>
              <w:rPr>
                <w:color w:val="auto"/>
              </w:rPr>
            </w:pPr>
            <w:r w:rsidRPr="001B08FB">
              <w:rPr>
                <w:color w:val="auto"/>
              </w:rPr>
              <w:t xml:space="preserve">While </w:t>
            </w:r>
            <w:r>
              <w:rPr>
                <w:color w:val="auto"/>
              </w:rPr>
              <w:t xml:space="preserve">industry recognised the need to improve </w:t>
            </w:r>
            <w:r w:rsidRPr="000111D8">
              <w:rPr>
                <w:color w:val="auto"/>
              </w:rPr>
              <w:t xml:space="preserve">board engagement, the prescription in draft CPS 511 </w:t>
            </w:r>
            <w:r>
              <w:rPr>
                <w:color w:val="auto"/>
              </w:rPr>
              <w:t>c</w:t>
            </w:r>
            <w:r w:rsidRPr="000111D8">
              <w:rPr>
                <w:color w:val="auto"/>
              </w:rPr>
              <w:t xml:space="preserve">ould </w:t>
            </w:r>
            <w:r w:rsidRPr="000111D8">
              <w:rPr>
                <w:color w:val="auto"/>
              </w:rPr>
              <w:lastRenderedPageBreak/>
              <w:t>distract the board from its oversight role</w:t>
            </w:r>
            <w:r>
              <w:rPr>
                <w:color w:val="auto"/>
              </w:rPr>
              <w:t xml:space="preserve"> and make it less effective.</w:t>
            </w:r>
          </w:p>
        </w:tc>
        <w:tc>
          <w:tcPr>
            <w:tcW w:w="0" w:type="dxa"/>
          </w:tcPr>
          <w:p w14:paraId="62846715" w14:textId="6AF305FF" w:rsidR="00156944" w:rsidRPr="001B08FB" w:rsidRDefault="00156944" w:rsidP="00284796">
            <w:pPr>
              <w:cnfStyle w:val="000000100000" w:firstRow="0" w:lastRow="0" w:firstColumn="0" w:lastColumn="0" w:oddVBand="0" w:evenVBand="0" w:oddHBand="1" w:evenHBand="0" w:firstRowFirstColumn="0" w:firstRowLastColumn="0" w:lastRowFirstColumn="0" w:lastRowLastColumn="0"/>
              <w:rPr>
                <w:color w:val="auto"/>
              </w:rPr>
            </w:pPr>
            <w:r>
              <w:rPr>
                <w:color w:val="auto"/>
              </w:rPr>
              <w:lastRenderedPageBreak/>
              <w:t xml:space="preserve">Chapter </w:t>
            </w:r>
            <w:r w:rsidR="002C4097">
              <w:rPr>
                <w:color w:val="auto"/>
              </w:rPr>
              <w:t>2</w:t>
            </w:r>
          </w:p>
        </w:tc>
      </w:tr>
      <w:tr w:rsidR="00156944" w14:paraId="38320024" w14:textId="1D254B02" w:rsidTr="003F62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2D63FAC" w14:textId="77777777" w:rsidR="00156944" w:rsidRDefault="00156944" w:rsidP="00156944">
            <w:r>
              <w:t>Remuneration design - Service providers</w:t>
            </w:r>
          </w:p>
        </w:tc>
        <w:tc>
          <w:tcPr>
            <w:tcW w:w="0" w:type="dxa"/>
          </w:tcPr>
          <w:p w14:paraId="10556C8C" w14:textId="4645A22E" w:rsidR="00156944" w:rsidRDefault="00156944" w:rsidP="00156944">
            <w:pPr>
              <w:cnfStyle w:val="000000010000" w:firstRow="0" w:lastRow="0" w:firstColumn="0" w:lastColumn="0" w:oddVBand="0" w:evenVBand="0" w:oddHBand="0" w:evenHBand="1" w:firstRowFirstColumn="0" w:firstRowLastColumn="0" w:lastRowFirstColumn="0" w:lastRowLastColumn="0"/>
            </w:pPr>
            <w:r>
              <w:t>A majority of entities questioned the effectiveness of the proposal. Feedback noted that accessing information about incentive structures at a third-party service provider would be challenging given the confidential nature of remuneration.</w:t>
            </w:r>
          </w:p>
        </w:tc>
        <w:tc>
          <w:tcPr>
            <w:tcW w:w="0" w:type="dxa"/>
          </w:tcPr>
          <w:p w14:paraId="3ABB58E7" w14:textId="0839EC0B" w:rsidR="00156944" w:rsidRDefault="00156944" w:rsidP="00156944">
            <w:pPr>
              <w:cnfStyle w:val="000000010000" w:firstRow="0" w:lastRow="0" w:firstColumn="0" w:lastColumn="0" w:oddVBand="0" w:evenVBand="0" w:oddHBand="0" w:evenHBand="1" w:firstRowFirstColumn="0" w:firstRowLastColumn="0" w:lastRowFirstColumn="0" w:lastRowLastColumn="0"/>
            </w:pPr>
            <w:r>
              <w:rPr>
                <w:color w:val="auto"/>
              </w:rPr>
              <w:t xml:space="preserve">Chapter </w:t>
            </w:r>
            <w:r w:rsidR="002C4097">
              <w:rPr>
                <w:color w:val="auto"/>
              </w:rPr>
              <w:t>3</w:t>
            </w:r>
          </w:p>
        </w:tc>
      </w:tr>
      <w:tr w:rsidR="00156944" w:rsidRPr="00156944" w14:paraId="5ADB2A49" w14:textId="38518D2A" w:rsidTr="003F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13C3147" w14:textId="77777777" w:rsidR="00156944" w:rsidRPr="006D2279" w:rsidRDefault="00156944">
            <w:pPr>
              <w:rPr>
                <w:color w:val="000000"/>
              </w:rPr>
            </w:pPr>
            <w:r w:rsidRPr="00156944">
              <w:t>Limit on financial measures</w:t>
            </w:r>
          </w:p>
        </w:tc>
        <w:tc>
          <w:tcPr>
            <w:tcW w:w="0" w:type="dxa"/>
          </w:tcPr>
          <w:p w14:paraId="2D3B6695" w14:textId="47AB3F67" w:rsidR="00156944" w:rsidRPr="00156944" w:rsidRDefault="00156944">
            <w:pPr>
              <w:cnfStyle w:val="000000100000" w:firstRow="0" w:lastRow="0" w:firstColumn="0" w:lastColumn="0" w:oddVBand="0" w:evenVBand="0" w:oddHBand="1" w:evenHBand="0" w:firstRowFirstColumn="0" w:firstRowLastColumn="0" w:lastRowFirstColumn="0" w:lastRowLastColumn="0"/>
            </w:pPr>
            <w:r w:rsidRPr="00156944">
              <w:t>Majority of submissions noted that the</w:t>
            </w:r>
            <w:r w:rsidRPr="00156944" w:rsidDel="00AF5603">
              <w:t xml:space="preserve"> </w:t>
            </w:r>
            <w:r w:rsidRPr="00156944">
              <w:t>proposed hard 50 per cent limit may entrench scorecard-based remuneration models and preclude other remuneration models and innovation in remuneration arrangements. There were also concerns relating to the negative consequences of focusing on non-financial measures, which may be immature, lack transparency and not be independently verifiable.</w:t>
            </w:r>
          </w:p>
        </w:tc>
        <w:tc>
          <w:tcPr>
            <w:tcW w:w="0" w:type="dxa"/>
          </w:tcPr>
          <w:p w14:paraId="2BA163B8" w14:textId="312124C2" w:rsidR="00156944" w:rsidRPr="00156944" w:rsidRDefault="00156944">
            <w:pPr>
              <w:cnfStyle w:val="000000100000" w:firstRow="0" w:lastRow="0" w:firstColumn="0" w:lastColumn="0" w:oddVBand="0" w:evenVBand="0" w:oddHBand="1" w:evenHBand="0" w:firstRowFirstColumn="0" w:firstRowLastColumn="0" w:lastRowFirstColumn="0" w:lastRowLastColumn="0"/>
            </w:pPr>
            <w:r w:rsidRPr="00156944">
              <w:t xml:space="preserve">Chapter </w:t>
            </w:r>
            <w:r w:rsidR="002C4097">
              <w:t>4</w:t>
            </w:r>
          </w:p>
        </w:tc>
      </w:tr>
      <w:tr w:rsidR="00156944" w:rsidRPr="00156944" w14:paraId="665D3797" w14:textId="73CE194B" w:rsidTr="003F62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4F2094A" w14:textId="77777777" w:rsidR="00156944" w:rsidRPr="006D2279" w:rsidRDefault="00156944">
            <w:pPr>
              <w:rPr>
                <w:color w:val="000000"/>
              </w:rPr>
            </w:pPr>
            <w:r w:rsidRPr="00156944">
              <w:t>Highly-paid material risk-takers (HPMRT)</w:t>
            </w:r>
          </w:p>
        </w:tc>
        <w:tc>
          <w:tcPr>
            <w:tcW w:w="0" w:type="dxa"/>
          </w:tcPr>
          <w:p w14:paraId="745B1C65" w14:textId="77777777" w:rsidR="00156944" w:rsidRPr="00156944" w:rsidRDefault="00156944">
            <w:pPr>
              <w:cnfStyle w:val="000000010000" w:firstRow="0" w:lastRow="0" w:firstColumn="0" w:lastColumn="0" w:oddVBand="0" w:evenVBand="0" w:oddHBand="0" w:evenHBand="1" w:firstRowFirstColumn="0" w:firstRowLastColumn="0" w:lastRowFirstColumn="0" w:lastRowLastColumn="0"/>
            </w:pPr>
            <w:r w:rsidRPr="00156944">
              <w:t xml:space="preserve">Industry suggested that the broad definition resulted in too many people being captured, particularly given the need for the board and board remuneration committee to recommend and approve the remuneration outcomes of individual HPMRTs. </w:t>
            </w:r>
          </w:p>
        </w:tc>
        <w:tc>
          <w:tcPr>
            <w:tcW w:w="0" w:type="dxa"/>
          </w:tcPr>
          <w:p w14:paraId="44AD48C8" w14:textId="5F8BFA3F" w:rsidR="00156944" w:rsidRPr="00156944" w:rsidRDefault="00156944">
            <w:pPr>
              <w:cnfStyle w:val="000000010000" w:firstRow="0" w:lastRow="0" w:firstColumn="0" w:lastColumn="0" w:oddVBand="0" w:evenVBand="0" w:oddHBand="0" w:evenHBand="1" w:firstRowFirstColumn="0" w:firstRowLastColumn="0" w:lastRowFirstColumn="0" w:lastRowLastColumn="0"/>
            </w:pPr>
            <w:r w:rsidRPr="00156944">
              <w:t xml:space="preserve">Chapter </w:t>
            </w:r>
            <w:r w:rsidR="002C4097">
              <w:t>5</w:t>
            </w:r>
          </w:p>
        </w:tc>
      </w:tr>
      <w:tr w:rsidR="00156944" w14:paraId="7CAC3F02" w14:textId="21DB1979" w:rsidTr="003F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12A8116" w14:textId="77777777" w:rsidR="00156944" w:rsidRDefault="00156944" w:rsidP="00156944">
            <w:r>
              <w:t>Deferral</w:t>
            </w:r>
          </w:p>
        </w:tc>
        <w:tc>
          <w:tcPr>
            <w:tcW w:w="0" w:type="dxa"/>
          </w:tcPr>
          <w:p w14:paraId="76A6EBAD" w14:textId="629B5508" w:rsidR="00156944" w:rsidRDefault="00156944" w:rsidP="00156944">
            <w:pPr>
              <w:cnfStyle w:val="000000100000" w:firstRow="0" w:lastRow="0" w:firstColumn="0" w:lastColumn="0" w:oddVBand="0" w:evenVBand="0" w:oddHBand="1" w:evenHBand="0" w:firstRowFirstColumn="0" w:firstRowLastColumn="0" w:lastRowFirstColumn="0" w:lastRowLastColumn="0"/>
            </w:pPr>
            <w:r w:rsidRPr="006A103C">
              <w:t xml:space="preserve">The deferral obligations proposed </w:t>
            </w:r>
            <w:r>
              <w:t>were described as long, weighted toward banking practice, and for the HPMRT cohort considered disproportionate to their potential impact on the organisation. This could impact on regulated entities’ ability to attract and retain appropriate talent.</w:t>
            </w:r>
          </w:p>
        </w:tc>
        <w:tc>
          <w:tcPr>
            <w:tcW w:w="0" w:type="dxa"/>
          </w:tcPr>
          <w:p w14:paraId="6D6CFD63" w14:textId="498413A9" w:rsidR="00156944" w:rsidRPr="006A103C" w:rsidRDefault="002C4097" w:rsidP="00156944">
            <w:pPr>
              <w:cnfStyle w:val="000000100000" w:firstRow="0" w:lastRow="0" w:firstColumn="0" w:lastColumn="0" w:oddVBand="0" w:evenVBand="0" w:oddHBand="1" w:evenHBand="0" w:firstRowFirstColumn="0" w:firstRowLastColumn="0" w:lastRowFirstColumn="0" w:lastRowLastColumn="0"/>
            </w:pPr>
            <w:r w:rsidRPr="00156944">
              <w:t xml:space="preserve">Chapter </w:t>
            </w:r>
            <w:r>
              <w:t>6</w:t>
            </w:r>
          </w:p>
        </w:tc>
      </w:tr>
      <w:tr w:rsidR="00156944" w14:paraId="5C16A668" w14:textId="405FAAF0" w:rsidTr="003F62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6FA36F8" w14:textId="77777777" w:rsidR="00156944" w:rsidRDefault="00156944" w:rsidP="00156944">
            <w:r>
              <w:t>Clawback</w:t>
            </w:r>
          </w:p>
        </w:tc>
        <w:tc>
          <w:tcPr>
            <w:tcW w:w="0" w:type="dxa"/>
          </w:tcPr>
          <w:p w14:paraId="781BC30C" w14:textId="4A4DAC95" w:rsidR="00156944" w:rsidRDefault="00156944" w:rsidP="00AD41B2">
            <w:pPr>
              <w:cnfStyle w:val="000000010000" w:firstRow="0" w:lastRow="0" w:firstColumn="0" w:lastColumn="0" w:oddVBand="0" w:evenVBand="0" w:oddHBand="0" w:evenHBand="1" w:firstRowFirstColumn="0" w:firstRowLastColumn="0" w:lastRowFirstColumn="0" w:lastRowLastColumn="0"/>
            </w:pPr>
            <w:r>
              <w:t>Respondents highlighted that clawback has little domestic and international precedence, is legally costly to undertake and would impact on competition for talent.</w:t>
            </w:r>
          </w:p>
        </w:tc>
        <w:tc>
          <w:tcPr>
            <w:tcW w:w="0" w:type="dxa"/>
          </w:tcPr>
          <w:p w14:paraId="312D9E91" w14:textId="1805A9D7" w:rsidR="00156944" w:rsidRDefault="002C4097" w:rsidP="00156944">
            <w:pPr>
              <w:cnfStyle w:val="000000010000" w:firstRow="0" w:lastRow="0" w:firstColumn="0" w:lastColumn="0" w:oddVBand="0" w:evenVBand="0" w:oddHBand="0" w:evenHBand="1" w:firstRowFirstColumn="0" w:firstRowLastColumn="0" w:lastRowFirstColumn="0" w:lastRowLastColumn="0"/>
            </w:pPr>
            <w:r w:rsidRPr="002C4097">
              <w:t xml:space="preserve">Chapter </w:t>
            </w:r>
            <w:r>
              <w:t>6</w:t>
            </w:r>
          </w:p>
        </w:tc>
      </w:tr>
    </w:tbl>
    <w:p w14:paraId="1142E0A8" w14:textId="0A4AD917" w:rsidR="008D65A6" w:rsidRDefault="008D65A6" w:rsidP="008D65A6">
      <w:pPr>
        <w:pStyle w:val="Heading2Numbers"/>
        <w:numPr>
          <w:ilvl w:val="1"/>
          <w:numId w:val="41"/>
        </w:numPr>
        <w:ind w:left="851"/>
      </w:pPr>
      <w:r>
        <w:t xml:space="preserve">Collaboration with ASIC </w:t>
      </w:r>
    </w:p>
    <w:p w14:paraId="401DE722" w14:textId="5B7AD585" w:rsidR="008D65A6" w:rsidRDefault="008D65A6" w:rsidP="008D65A6">
      <w:r>
        <w:t>Strengthening remuneration practices across the financial system is a shared priority with ASIC.</w:t>
      </w:r>
      <w:r w:rsidDel="00D02089">
        <w:rPr>
          <w:shd w:val="clear" w:color="auto" w:fill="FFFFFF"/>
        </w:rPr>
        <w:t xml:space="preserve"> </w:t>
      </w:r>
      <w:r w:rsidR="00D02089">
        <w:rPr>
          <w:shd w:val="clear" w:color="auto" w:fill="FFFFFF"/>
        </w:rPr>
        <w:t xml:space="preserve">This year, </w:t>
      </w:r>
      <w:r w:rsidR="00D02089">
        <w:t>ASIC</w:t>
      </w:r>
      <w:r w:rsidR="003C6834">
        <w:t xml:space="preserve"> </w:t>
      </w:r>
      <w:r w:rsidR="00284796" w:rsidRPr="00F366E8">
        <w:t>provided</w:t>
      </w:r>
      <w:r w:rsidR="003C6834" w:rsidRPr="00F366E8">
        <w:t xml:space="preserve"> guidance to boards </w:t>
      </w:r>
      <w:r w:rsidR="00AD2991">
        <w:t xml:space="preserve">regarding </w:t>
      </w:r>
      <w:r w:rsidR="003C6834">
        <w:t>their</w:t>
      </w:r>
      <w:r w:rsidR="00D02089">
        <w:t xml:space="preserve"> oversight and exercise of discretion </w:t>
      </w:r>
      <w:r w:rsidR="00AD2991">
        <w:t>for</w:t>
      </w:r>
      <w:r w:rsidR="00D02089">
        <w:t xml:space="preserve"> variable pay outcomes of key management personnel</w:t>
      </w:r>
      <w:r w:rsidR="003C6834">
        <w:t xml:space="preserve">, </w:t>
      </w:r>
      <w:r w:rsidR="003C6834">
        <w:lastRenderedPageBreak/>
        <w:t xml:space="preserve">following </w:t>
      </w:r>
      <w:r w:rsidR="00D02089" w:rsidRPr="007E4B52">
        <w:t>targeted reviews of corporate governance practices</w:t>
      </w:r>
      <w:r>
        <w:rPr>
          <w:shd w:val="clear" w:color="auto" w:fill="FFFFFF"/>
        </w:rPr>
        <w:t>.</w:t>
      </w:r>
      <w:r>
        <w:rPr>
          <w:rStyle w:val="FootnoteReference"/>
          <w:shd w:val="clear" w:color="auto" w:fill="FFFFFF"/>
        </w:rPr>
        <w:footnoteReference w:id="6"/>
      </w:r>
      <w:r w:rsidRPr="00DB15D3">
        <w:rPr>
          <w:shd w:val="clear" w:color="auto" w:fill="FFFFFF"/>
        </w:rPr>
        <w:t xml:space="preserve"> </w:t>
      </w:r>
      <w:r>
        <w:rPr>
          <w:shd w:val="clear" w:color="auto" w:fill="FFFFFF"/>
        </w:rPr>
        <w:t>T</w:t>
      </w:r>
      <w:r w:rsidRPr="00DB15D3">
        <w:rPr>
          <w:shd w:val="clear" w:color="auto" w:fill="FFFFFF"/>
        </w:rPr>
        <w:t xml:space="preserve">he findings of these reviews </w:t>
      </w:r>
      <w:r w:rsidR="000B546C">
        <w:rPr>
          <w:shd w:val="clear" w:color="auto" w:fill="FFFFFF"/>
        </w:rPr>
        <w:t xml:space="preserve">reinforce the need for reform in remuneration and </w:t>
      </w:r>
      <w:r>
        <w:t>ha</w:t>
      </w:r>
      <w:r w:rsidR="00157DD6">
        <w:t>ve</w:t>
      </w:r>
      <w:r>
        <w:t xml:space="preserve"> contributed to collaborative efforts between </w:t>
      </w:r>
      <w:r>
        <w:rPr>
          <w:shd w:val="clear" w:color="auto" w:fill="FFFFFF"/>
        </w:rPr>
        <w:t>APRA and ASIC to align regulatory expectations of domestic remuneration practices. Although</w:t>
      </w:r>
      <w:r w:rsidRPr="00DB15D3">
        <w:rPr>
          <w:shd w:val="clear" w:color="auto" w:fill="FFFFFF"/>
        </w:rPr>
        <w:t xml:space="preserve"> </w:t>
      </w:r>
      <w:r>
        <w:rPr>
          <w:shd w:val="clear" w:color="auto" w:fill="FFFFFF"/>
        </w:rPr>
        <w:t>the focus of prudential and conduct regulators differs</w:t>
      </w:r>
      <w:r w:rsidRPr="00807161">
        <w:t xml:space="preserve">, </w:t>
      </w:r>
      <w:r>
        <w:t>the underlying intent of many</w:t>
      </w:r>
      <w:r w:rsidRPr="00807161">
        <w:t xml:space="preserve"> key </w:t>
      </w:r>
      <w:r>
        <w:rPr>
          <w:shd w:val="clear" w:color="auto" w:fill="FFFFFF"/>
        </w:rPr>
        <w:t>revised CPS</w:t>
      </w:r>
      <w:r w:rsidRPr="00807161">
        <w:t xml:space="preserve"> 511 requirements </w:t>
      </w:r>
      <w:r>
        <w:t xml:space="preserve">are reinforced by </w:t>
      </w:r>
      <w:r w:rsidRPr="00807161">
        <w:t>ASIC</w:t>
      </w:r>
      <w:r>
        <w:t>’s review</w:t>
      </w:r>
      <w:r w:rsidRPr="00807161">
        <w:t xml:space="preserve"> findings</w:t>
      </w:r>
      <w:r>
        <w:rPr>
          <w:shd w:val="clear" w:color="auto" w:fill="FFFFFF"/>
        </w:rPr>
        <w:t>.</w:t>
      </w:r>
    </w:p>
    <w:p w14:paraId="5638CA15" w14:textId="08502703" w:rsidR="008D65A6" w:rsidRPr="008D65A6" w:rsidRDefault="00982338" w:rsidP="00982338">
      <w:pPr>
        <w:pStyle w:val="Heading2Numbers"/>
        <w:numPr>
          <w:ilvl w:val="1"/>
          <w:numId w:val="41"/>
        </w:numPr>
        <w:ind w:left="851"/>
      </w:pPr>
      <w:r>
        <w:t>The Financial Accountability Regime</w:t>
      </w:r>
    </w:p>
    <w:p w14:paraId="05F54AAD" w14:textId="77777777" w:rsidR="00982338" w:rsidRDefault="00982338" w:rsidP="00982338">
      <w:r>
        <w:t>On 22 January 2020, the Government released a paper outlining proposals to extend the Banking Executive Accountability Regime (BEAR) to all APRA-regulated entities, under the Financial Accountability Regime (FAR).</w:t>
      </w:r>
      <w:r w:rsidRPr="00A1671E">
        <w:t xml:space="preserve"> </w:t>
      </w:r>
      <w:r>
        <w:t>The FAR</w:t>
      </w:r>
      <w:r w:rsidRPr="0090475A" w:rsidDel="00156944">
        <w:t xml:space="preserve"> </w:t>
      </w:r>
      <w:r>
        <w:t>proposed</w:t>
      </w:r>
      <w:r w:rsidRPr="0090475A">
        <w:t xml:space="preserve"> </w:t>
      </w:r>
      <w:r>
        <w:t>minimum deferral requirements and adjustments to</w:t>
      </w:r>
      <w:r w:rsidRPr="0090475A">
        <w:t xml:space="preserve"> </w:t>
      </w:r>
      <w:r w:rsidDel="00350803">
        <w:t xml:space="preserve">the </w:t>
      </w:r>
      <w:r>
        <w:t xml:space="preserve">variable </w:t>
      </w:r>
      <w:r w:rsidRPr="0090475A">
        <w:t>remuneration o</w:t>
      </w:r>
      <w:r>
        <w:t>f</w:t>
      </w:r>
      <w:r w:rsidRPr="0090475A">
        <w:t xml:space="preserve"> </w:t>
      </w:r>
      <w:r w:rsidDel="00350803">
        <w:t xml:space="preserve">all </w:t>
      </w:r>
      <w:r>
        <w:t>accountable persons.</w:t>
      </w:r>
      <w:r w:rsidDel="00156944">
        <w:t xml:space="preserve"> </w:t>
      </w:r>
      <w:r w:rsidRPr="008B556F">
        <w:t xml:space="preserve">APRA is </w:t>
      </w:r>
      <w:r>
        <w:t xml:space="preserve">continuing to </w:t>
      </w:r>
      <w:r w:rsidRPr="008B556F">
        <w:t>work closely with the</w:t>
      </w:r>
      <w:r>
        <w:t xml:space="preserve"> Treasury to ensure there is appropriate alignment with CPS 511 and to support an entity’s implementation of both. Upon finalisation of the FAR legislation APRA will review whether any changes to CPS 511 are required.</w:t>
      </w:r>
    </w:p>
    <w:p w14:paraId="449AF906" w14:textId="77777777" w:rsidR="00982338" w:rsidRPr="00982338" w:rsidRDefault="00982338" w:rsidP="00982338"/>
    <w:p w14:paraId="5BAD7373" w14:textId="29540FD4" w:rsidR="00D57146" w:rsidRPr="00CB3D78" w:rsidRDefault="00C854F9" w:rsidP="00976F29">
      <w:pPr>
        <w:pStyle w:val="Heading1Numbers"/>
        <w:numPr>
          <w:ilvl w:val="0"/>
          <w:numId w:val="41"/>
        </w:numPr>
      </w:pPr>
      <w:bookmarkStart w:id="15" w:name="_Toc53000773"/>
      <w:bookmarkStart w:id="16" w:name="_Toc55850355"/>
      <w:r>
        <w:lastRenderedPageBreak/>
        <w:t>Board</w:t>
      </w:r>
      <w:r w:rsidR="009B6E7D">
        <w:t xml:space="preserve"> and </w:t>
      </w:r>
      <w:r w:rsidR="002345C1">
        <w:t xml:space="preserve">the </w:t>
      </w:r>
      <w:r>
        <w:t>board remuneration committee</w:t>
      </w:r>
      <w:bookmarkEnd w:id="15"/>
      <w:bookmarkEnd w:id="16"/>
    </w:p>
    <w:p w14:paraId="2832EB3B" w14:textId="77777777" w:rsidR="004C7338" w:rsidRDefault="00D70483" w:rsidP="00DE05FF">
      <w:pPr>
        <w:pStyle w:val="Heading2Numbers"/>
        <w:numPr>
          <w:ilvl w:val="1"/>
          <w:numId w:val="41"/>
        </w:numPr>
        <w:ind w:left="851"/>
      </w:pPr>
      <w:r>
        <w:t>Governance and</w:t>
      </w:r>
      <w:r w:rsidR="00D042AB">
        <w:t xml:space="preserve"> </w:t>
      </w:r>
      <w:r w:rsidR="009F0F4F">
        <w:t>oversight</w:t>
      </w:r>
      <w:r w:rsidR="00601F68">
        <w:t xml:space="preserve"> </w:t>
      </w:r>
    </w:p>
    <w:p w14:paraId="4476F1DA" w14:textId="288A4CA0" w:rsidR="0048186C" w:rsidRDefault="00094FA5">
      <w:pPr>
        <w:pStyle w:val="CommentText"/>
      </w:pPr>
      <w:r>
        <w:t>APRA’s objective is to strengthen governance and oversight of an entity’s remuneration framework</w:t>
      </w:r>
      <w:r w:rsidDel="00D85A27">
        <w:t xml:space="preserve"> by the board and board remuneration committee</w:t>
      </w:r>
      <w:r>
        <w:t xml:space="preserve">. </w:t>
      </w:r>
      <w:r w:rsidDel="00D85A27">
        <w:t xml:space="preserve">In APRA’s view, </w:t>
      </w:r>
      <w:r w:rsidR="0048186C" w:rsidRPr="00AD35A7" w:rsidDel="00D85A27">
        <w:t>board</w:t>
      </w:r>
      <w:r w:rsidR="00AD2991" w:rsidDel="00D85A27">
        <w:t>s</w:t>
      </w:r>
      <w:r w:rsidR="0048186C" w:rsidRPr="00AD35A7" w:rsidDel="00D85A27">
        <w:t xml:space="preserve"> </w:t>
      </w:r>
      <w:r w:rsidR="00AD2991" w:rsidDel="00D85A27">
        <w:t>have not been sufficiently engaged on remuneration</w:t>
      </w:r>
      <w:r w:rsidR="0048186C" w:rsidRPr="00AD35A7" w:rsidDel="00D85A27">
        <w:t xml:space="preserve"> and </w:t>
      </w:r>
      <w:r w:rsidR="000C5FF6" w:rsidDel="00D85A27">
        <w:t>focused on compliance</w:t>
      </w:r>
      <w:r w:rsidR="0048186C" w:rsidRPr="00AD35A7">
        <w:t>.</w:t>
      </w:r>
      <w:r w:rsidR="0048186C" w:rsidRPr="006719D5">
        <w:t xml:space="preserve"> </w:t>
      </w:r>
    </w:p>
    <w:p w14:paraId="2229139C" w14:textId="77777777" w:rsidR="00487932" w:rsidRDefault="00487932" w:rsidP="00DE05FF">
      <w:pPr>
        <w:pStyle w:val="Heading3Numbers"/>
        <w:numPr>
          <w:ilvl w:val="2"/>
          <w:numId w:val="41"/>
        </w:numPr>
      </w:pPr>
      <w:r>
        <w:t>Comments received</w:t>
      </w:r>
      <w:r w:rsidR="003C0490">
        <w:t xml:space="preserve"> </w:t>
      </w:r>
    </w:p>
    <w:p w14:paraId="1CE2123A" w14:textId="6C3D73A9" w:rsidR="0048186C" w:rsidRDefault="005948EF" w:rsidP="0048186C">
      <w:r>
        <w:t xml:space="preserve">Industry </w:t>
      </w:r>
      <w:r w:rsidR="001A1B6C">
        <w:t>acknowledged</w:t>
      </w:r>
      <w:r w:rsidR="0048186C">
        <w:t xml:space="preserve"> the need to strengthen the roles and responsibilities of the board and the board remuneration committee</w:t>
      </w:r>
      <w:r w:rsidR="007B56BB">
        <w:t xml:space="preserve">. However, </w:t>
      </w:r>
      <w:r w:rsidR="009740C7">
        <w:t xml:space="preserve">there </w:t>
      </w:r>
      <w:r w:rsidR="00D85A27">
        <w:t>were</w:t>
      </w:r>
      <w:r w:rsidR="0048186C">
        <w:t xml:space="preserve"> reservation</w:t>
      </w:r>
      <w:r w:rsidR="00D85A27">
        <w:t>s</w:t>
      </w:r>
      <w:r w:rsidR="0048186C">
        <w:t xml:space="preserve"> about the level of prescription in draft CPS 511. </w:t>
      </w:r>
      <w:r w:rsidR="004667B1">
        <w:t xml:space="preserve">Submissions </w:t>
      </w:r>
      <w:r w:rsidR="005F245F">
        <w:t>suggested</w:t>
      </w:r>
      <w:r w:rsidR="0048186C">
        <w:t xml:space="preserve"> that th</w:t>
      </w:r>
      <w:r w:rsidR="005F245F">
        <w:t>is</w:t>
      </w:r>
      <w:r w:rsidR="0048186C">
        <w:t xml:space="preserve"> prescription </w:t>
      </w:r>
      <w:r w:rsidR="005F245F">
        <w:t>c</w:t>
      </w:r>
      <w:r w:rsidR="0048186C">
        <w:t xml:space="preserve">ould </w:t>
      </w:r>
      <w:r w:rsidR="00730B0C">
        <w:t xml:space="preserve">impose </w:t>
      </w:r>
      <w:r w:rsidR="00730B0C" w:rsidRPr="00CD1B6A">
        <w:t xml:space="preserve">operational responsibilities on the board </w:t>
      </w:r>
      <w:r w:rsidR="00730B0C">
        <w:t xml:space="preserve">and committee and </w:t>
      </w:r>
      <w:r w:rsidR="0048186C">
        <w:t>undermine the</w:t>
      </w:r>
      <w:r w:rsidR="00094FA5">
        <w:t xml:space="preserve"> </w:t>
      </w:r>
      <w:r w:rsidR="005F245F">
        <w:t>ability</w:t>
      </w:r>
      <w:r w:rsidR="0048186C">
        <w:t xml:space="preserve"> to oversee execution of the business strategy and delegate operations to management.</w:t>
      </w:r>
      <w:r w:rsidR="0048186C" w:rsidDel="00DD5606">
        <w:t xml:space="preserve"> </w:t>
      </w:r>
      <w:r w:rsidR="0048186C">
        <w:t xml:space="preserve"> </w:t>
      </w:r>
      <w:r w:rsidR="003F0C27">
        <w:t>Certain</w:t>
      </w:r>
      <w:r w:rsidR="0048186C" w:rsidDel="00DD5606">
        <w:rPr>
          <w:bCs/>
          <w:iCs/>
        </w:rPr>
        <w:t xml:space="preserve"> submissions </w:t>
      </w:r>
      <w:r w:rsidR="0048186C" w:rsidDel="00DD5606">
        <w:t xml:space="preserve">sought clarity </w:t>
      </w:r>
      <w:r w:rsidR="0048186C" w:rsidDel="00DD5606">
        <w:rPr>
          <w:bCs/>
          <w:iCs/>
        </w:rPr>
        <w:t xml:space="preserve">on management delegation and </w:t>
      </w:r>
      <w:r w:rsidR="003F0C27">
        <w:t xml:space="preserve">interactions between the </w:t>
      </w:r>
      <w:r w:rsidR="0048186C" w:rsidDel="00DD5606">
        <w:rPr>
          <w:bCs/>
          <w:iCs/>
        </w:rPr>
        <w:t>board and committee</w:t>
      </w:r>
      <w:r w:rsidR="003F0C27">
        <w:t>.</w:t>
      </w:r>
    </w:p>
    <w:p w14:paraId="27E20AA5" w14:textId="77777777" w:rsidR="00732CDC" w:rsidRPr="00732CDC" w:rsidRDefault="0099040D" w:rsidP="00DE05FF">
      <w:pPr>
        <w:pStyle w:val="Heading3Numbers"/>
        <w:numPr>
          <w:ilvl w:val="2"/>
          <w:numId w:val="41"/>
        </w:numPr>
      </w:pPr>
      <w:r>
        <w:t>APRA’s response</w:t>
      </w:r>
    </w:p>
    <w:p w14:paraId="25BF3209" w14:textId="02C08814" w:rsidR="0048186C" w:rsidRDefault="0048186C" w:rsidP="0048186C">
      <w:r w:rsidRPr="00AD35A7">
        <w:t xml:space="preserve">APRA’s objective is for the board and the board remuneration committee to bring rigour and challenge to its oversight of the remuneration framework. </w:t>
      </w:r>
      <w:r>
        <w:t>APRA</w:t>
      </w:r>
      <w:r w:rsidR="005F245F">
        <w:t xml:space="preserve"> has </w:t>
      </w:r>
      <w:r w:rsidR="005F245F" w:rsidDel="00DD5606">
        <w:t xml:space="preserve">removed some prescription </w:t>
      </w:r>
      <w:r w:rsidR="00A73FDC" w:rsidDel="00DD5606">
        <w:t xml:space="preserve">and </w:t>
      </w:r>
      <w:r w:rsidR="00A73FDC">
        <w:t xml:space="preserve">sharpened </w:t>
      </w:r>
      <w:r w:rsidR="002345C1">
        <w:t>its</w:t>
      </w:r>
      <w:r w:rsidR="00A73FDC">
        <w:t xml:space="preserve"> focus on</w:t>
      </w:r>
      <w:r w:rsidR="005F245F">
        <w:t xml:space="preserve"> </w:t>
      </w:r>
      <w:r w:rsidR="005043AC">
        <w:t xml:space="preserve">overarching principles </w:t>
      </w:r>
      <w:r w:rsidR="002345C1">
        <w:t xml:space="preserve">to ensure </w:t>
      </w:r>
      <w:r>
        <w:t xml:space="preserve">that boards: </w:t>
      </w:r>
    </w:p>
    <w:p w14:paraId="32EF51CC" w14:textId="77777777" w:rsidR="0048186C" w:rsidRDefault="0048186C" w:rsidP="0048186C">
      <w:pPr>
        <w:pStyle w:val="ListBullet"/>
        <w:numPr>
          <w:ilvl w:val="0"/>
          <w:numId w:val="5"/>
        </w:numPr>
      </w:pPr>
      <w:r>
        <w:t xml:space="preserve">take an entity wide view to effectively govern implementation and outcomes of the remuneration framework; </w:t>
      </w:r>
    </w:p>
    <w:p w14:paraId="2221C060" w14:textId="77777777" w:rsidR="0048186C" w:rsidRDefault="0048186C" w:rsidP="0048186C">
      <w:pPr>
        <w:pStyle w:val="ListBullet"/>
        <w:numPr>
          <w:ilvl w:val="0"/>
          <w:numId w:val="5"/>
        </w:numPr>
      </w:pPr>
      <w:r>
        <w:t xml:space="preserve">improve oversight of incentives and how behaviour may drive or impact the entity; and </w:t>
      </w:r>
    </w:p>
    <w:p w14:paraId="03DDDE5F" w14:textId="77777777" w:rsidR="0048186C" w:rsidRDefault="0048186C" w:rsidP="0048186C">
      <w:pPr>
        <w:pStyle w:val="ListBullet"/>
        <w:numPr>
          <w:ilvl w:val="0"/>
          <w:numId w:val="5"/>
        </w:numPr>
      </w:pPr>
      <w:r>
        <w:t xml:space="preserve">understand how different elements within the remuneration framework interact to appropriately govern and support prudent remuneration practices. </w:t>
      </w:r>
    </w:p>
    <w:p w14:paraId="6CD68DD6" w14:textId="58E3322A" w:rsidR="0048186C" w:rsidRDefault="00A73FDC" w:rsidP="00A73FDC">
      <w:r>
        <w:lastRenderedPageBreak/>
        <w:t xml:space="preserve">The revised board requirements incorporate the FSB’s guidance, and do not impose responsibilities </w:t>
      </w:r>
      <w:r w:rsidR="00CC55F4">
        <w:t>beyond</w:t>
      </w:r>
      <w:r>
        <w:t xml:space="preserve"> </w:t>
      </w:r>
      <w:r w:rsidR="00CD366C">
        <w:t xml:space="preserve">international </w:t>
      </w:r>
      <w:r w:rsidR="008F7F03">
        <w:t>better</w:t>
      </w:r>
      <w:r w:rsidR="00CD366C">
        <w:t xml:space="preserve"> practice</w:t>
      </w:r>
      <w:r>
        <w:t>.</w:t>
      </w:r>
      <w:r w:rsidR="00CD366C" w:rsidRPr="00AE5014">
        <w:rPr>
          <w:vertAlign w:val="superscript"/>
        </w:rPr>
        <w:footnoteReference w:id="7"/>
      </w:r>
      <w:r>
        <w:t xml:space="preserve"> They clarify </w:t>
      </w:r>
      <w:r w:rsidDel="00DD5606">
        <w:t xml:space="preserve">the </w:t>
      </w:r>
      <w:r w:rsidR="0038313C" w:rsidRPr="00F23F39">
        <w:t>responsibilities between management</w:t>
      </w:r>
      <w:r w:rsidR="00CD366C">
        <w:t>,</w:t>
      </w:r>
      <w:r w:rsidR="0038313C" w:rsidRPr="00F23F39">
        <w:t xml:space="preserve"> the board </w:t>
      </w:r>
      <w:r w:rsidR="00CD366C">
        <w:t>and</w:t>
      </w:r>
      <w:r w:rsidR="00CD366C" w:rsidRPr="00F23F39">
        <w:t xml:space="preserve"> </w:t>
      </w:r>
      <w:r w:rsidR="0038313C" w:rsidRPr="00F23F39">
        <w:t>board remuneration committee</w:t>
      </w:r>
      <w:r w:rsidR="00DD5606">
        <w:t xml:space="preserve">, without </w:t>
      </w:r>
      <w:r w:rsidR="008F7F03">
        <w:t>unnecessary</w:t>
      </w:r>
      <w:r w:rsidR="00DD5606">
        <w:t xml:space="preserve"> prescription. </w:t>
      </w:r>
      <w:r>
        <w:rPr>
          <w:bCs/>
          <w:iCs/>
        </w:rPr>
        <w:t>APRA will</w:t>
      </w:r>
      <w:r w:rsidR="00F5579F">
        <w:rPr>
          <w:bCs/>
          <w:iCs/>
        </w:rPr>
        <w:t xml:space="preserve"> </w:t>
      </w:r>
      <w:r w:rsidR="00D32379">
        <w:rPr>
          <w:bCs/>
          <w:iCs/>
        </w:rPr>
        <w:t>provide</w:t>
      </w:r>
      <w:r w:rsidR="00F5579F">
        <w:rPr>
          <w:bCs/>
          <w:iCs/>
        </w:rPr>
        <w:t xml:space="preserve"> </w:t>
      </w:r>
      <w:r w:rsidR="001700E2">
        <w:rPr>
          <w:bCs/>
          <w:iCs/>
        </w:rPr>
        <w:t xml:space="preserve">guidance </w:t>
      </w:r>
      <w:r w:rsidR="00F5579F">
        <w:rPr>
          <w:bCs/>
          <w:iCs/>
        </w:rPr>
        <w:t xml:space="preserve">on better practices </w:t>
      </w:r>
      <w:r w:rsidR="00957967">
        <w:rPr>
          <w:bCs/>
          <w:iCs/>
        </w:rPr>
        <w:t xml:space="preserve">for board and committee interactions and management delegation </w:t>
      </w:r>
      <w:r w:rsidR="001700E2">
        <w:rPr>
          <w:bCs/>
          <w:iCs/>
        </w:rPr>
        <w:t>in</w:t>
      </w:r>
      <w:r w:rsidR="0048186C">
        <w:rPr>
          <w:bCs/>
          <w:iCs/>
        </w:rPr>
        <w:t xml:space="preserve"> </w:t>
      </w:r>
      <w:r w:rsidR="000E2932" w:rsidDel="00CD366C">
        <w:rPr>
          <w:bCs/>
          <w:iCs/>
        </w:rPr>
        <w:t xml:space="preserve">a </w:t>
      </w:r>
      <w:r w:rsidR="000E2932">
        <w:rPr>
          <w:bCs/>
          <w:iCs/>
        </w:rPr>
        <w:t xml:space="preserve">new </w:t>
      </w:r>
      <w:r w:rsidR="0048186C">
        <w:rPr>
          <w:bCs/>
          <w:iCs/>
        </w:rPr>
        <w:t>CPG 511.</w:t>
      </w:r>
      <w:r w:rsidR="00F5579F">
        <w:t xml:space="preserve"> </w:t>
      </w:r>
    </w:p>
    <w:p w14:paraId="7E0C410D" w14:textId="77777777" w:rsidR="00487932" w:rsidRDefault="00866161" w:rsidP="00DE05FF">
      <w:pPr>
        <w:pStyle w:val="Heading2Numbers"/>
        <w:numPr>
          <w:ilvl w:val="1"/>
          <w:numId w:val="41"/>
        </w:numPr>
        <w:ind w:left="851"/>
      </w:pPr>
      <w:r>
        <w:t>Board approval of r</w:t>
      </w:r>
      <w:r w:rsidR="00487932">
        <w:t>emuneration outcomes</w:t>
      </w:r>
    </w:p>
    <w:p w14:paraId="372888BC" w14:textId="52F2C6C4" w:rsidR="0048186C" w:rsidRPr="00094706" w:rsidRDefault="00F5579F" w:rsidP="0048186C">
      <w:r>
        <w:t>APRA’s objective in</w:t>
      </w:r>
      <w:r w:rsidR="0048186C">
        <w:t xml:space="preserve"> </w:t>
      </w:r>
      <w:r w:rsidR="00BA36AD">
        <w:t>requiring</w:t>
      </w:r>
      <w:r w:rsidR="0048186C">
        <w:t xml:space="preserve"> board approval of remuneration outcomes is to </w:t>
      </w:r>
      <w:r w:rsidR="001700E2">
        <w:t>improve</w:t>
      </w:r>
      <w:r w:rsidR="0048186C">
        <w:t xml:space="preserve"> board engagement, challenge and </w:t>
      </w:r>
      <w:r w:rsidR="007875F3">
        <w:t>accountability</w:t>
      </w:r>
      <w:r w:rsidR="00BA36AD">
        <w:t>.</w:t>
      </w:r>
      <w:r w:rsidR="0048186C" w:rsidDel="00CD366C">
        <w:t xml:space="preserve"> </w:t>
      </w:r>
      <w:r w:rsidR="00650B84">
        <w:t>Draft CPS 511 proposed that</w:t>
      </w:r>
      <w:r w:rsidR="0048186C">
        <w:t xml:space="preserve"> the board approve the remuneration outcomes of specified roles, some</w:t>
      </w:r>
      <w:r w:rsidR="0048186C" w:rsidRPr="00336466">
        <w:t xml:space="preserve"> </w:t>
      </w:r>
      <w:r w:rsidR="0048186C">
        <w:t xml:space="preserve">on an individual basis and others on a cohort basis, following committee recommendations. </w:t>
      </w:r>
      <w:r w:rsidR="00CD366C">
        <w:t xml:space="preserve">This was intended to </w:t>
      </w:r>
      <w:r w:rsidR="00BA7356">
        <w:t xml:space="preserve">impose heightened </w:t>
      </w:r>
      <w:r w:rsidR="00CD366C">
        <w:t xml:space="preserve">accountability </w:t>
      </w:r>
      <w:r w:rsidR="00BA7356">
        <w:t>on staff with higher responsibility levels and entity impact</w:t>
      </w:r>
      <w:r w:rsidR="0048186C">
        <w:t xml:space="preserve">.  </w:t>
      </w:r>
    </w:p>
    <w:p w14:paraId="29125543" w14:textId="77777777" w:rsidR="004C7338" w:rsidRDefault="004C7338" w:rsidP="00DE05FF">
      <w:pPr>
        <w:pStyle w:val="Heading3Numbers"/>
        <w:numPr>
          <w:ilvl w:val="2"/>
          <w:numId w:val="41"/>
        </w:numPr>
      </w:pPr>
      <w:r>
        <w:t>Comments received</w:t>
      </w:r>
    </w:p>
    <w:p w14:paraId="3F5DB153" w14:textId="77777777" w:rsidR="0048186C" w:rsidRDefault="0048186C" w:rsidP="0048186C">
      <w:r>
        <w:t xml:space="preserve">Industry sought clarity on how the proposals for board remuneration committee recommendations and board approvals would work together in practice. The proposals were </w:t>
      </w:r>
      <w:r w:rsidR="000C0C1F">
        <w:t>considered</w:t>
      </w:r>
      <w:r>
        <w:t xml:space="preserve"> board-heavy and </w:t>
      </w:r>
      <w:r w:rsidR="00B94880">
        <w:t>described as having the potential</w:t>
      </w:r>
      <w:r>
        <w:t xml:space="preserve"> to limit management </w:t>
      </w:r>
      <w:r w:rsidR="00B94880">
        <w:t>accountability</w:t>
      </w:r>
      <w:r>
        <w:t xml:space="preserve"> or dilute senior management’s role in setting the remuneration outcomes of certain staff.</w:t>
      </w:r>
    </w:p>
    <w:p w14:paraId="086889A8" w14:textId="46C03B59" w:rsidR="0048186C" w:rsidRDefault="00CC3D2C" w:rsidP="0048186C">
      <w:r>
        <w:t xml:space="preserve">Another </w:t>
      </w:r>
      <w:r w:rsidR="00BA36AD">
        <w:t>key concern was</w:t>
      </w:r>
      <w:r w:rsidR="0048186C">
        <w:t xml:space="preserve"> that individual approvals of a large number of specified roles would impose a significant burden on the board. HPMRTs were </w:t>
      </w:r>
      <w:r w:rsidR="00176F51">
        <w:t>noted as</w:t>
      </w:r>
      <w:r w:rsidR="0048186C" w:rsidRPr="005C29F5">
        <w:t xml:space="preserve"> </w:t>
      </w:r>
      <w:r w:rsidR="0048186C">
        <w:t xml:space="preserve">particularly </w:t>
      </w:r>
      <w:r w:rsidR="0048186C" w:rsidRPr="005C29F5">
        <w:t>arduous</w:t>
      </w:r>
      <w:r w:rsidR="0048186C">
        <w:t>.</w:t>
      </w:r>
      <w:r w:rsidR="0048186C" w:rsidRPr="005C29F5">
        <w:t xml:space="preserve"> </w:t>
      </w:r>
      <w:r w:rsidR="00BA36AD">
        <w:t>Industry suggested that this could</w:t>
      </w:r>
      <w:r w:rsidR="0048186C">
        <w:t xml:space="preserve"> diminish the board’s ability to </w:t>
      </w:r>
      <w:r w:rsidR="00CD366C">
        <w:t xml:space="preserve">provide oversight of </w:t>
      </w:r>
      <w:r w:rsidR="0048186C">
        <w:t xml:space="preserve">the remuneration framework more broadly and </w:t>
      </w:r>
      <w:r w:rsidR="0048186C" w:rsidRPr="005C29F5">
        <w:t>d</w:t>
      </w:r>
      <w:r w:rsidR="0048186C">
        <w:t>istract from other board duties</w:t>
      </w:r>
      <w:r w:rsidR="0048186C" w:rsidRPr="005C29F5">
        <w:t>.</w:t>
      </w:r>
    </w:p>
    <w:p w14:paraId="2D75B6F7" w14:textId="77777777" w:rsidR="004C7338" w:rsidRDefault="004C7338" w:rsidP="00DE05FF">
      <w:pPr>
        <w:pStyle w:val="Heading3Numbers"/>
        <w:numPr>
          <w:ilvl w:val="2"/>
          <w:numId w:val="41"/>
        </w:numPr>
      </w:pPr>
      <w:r w:rsidRPr="00686F6B">
        <w:t>APRA’s</w:t>
      </w:r>
      <w:r w:rsidRPr="00686F6B">
        <w:rPr>
          <w:bCs w:val="0"/>
        </w:rPr>
        <w:t xml:space="preserve"> response</w:t>
      </w:r>
      <w:r w:rsidR="003A42B2">
        <w:t xml:space="preserve"> </w:t>
      </w:r>
    </w:p>
    <w:p w14:paraId="17F8FFC5" w14:textId="27F9CBE8" w:rsidR="0048186C" w:rsidRPr="0048186C" w:rsidRDefault="0048186C" w:rsidP="0048186C">
      <w:r w:rsidRPr="0048186C">
        <w:t xml:space="preserve">In APRA’s view, </w:t>
      </w:r>
      <w:r w:rsidR="00BA36AD">
        <w:t>requiring the</w:t>
      </w:r>
      <w:r w:rsidRPr="0048186C">
        <w:t xml:space="preserve"> board </w:t>
      </w:r>
      <w:r w:rsidR="00650B84">
        <w:t xml:space="preserve">to </w:t>
      </w:r>
      <w:r w:rsidRPr="0048186C">
        <w:t>approv</w:t>
      </w:r>
      <w:r w:rsidR="00BA36AD">
        <w:t>e</w:t>
      </w:r>
      <w:r w:rsidRPr="0048186C">
        <w:t xml:space="preserve"> remuneration outcomes</w:t>
      </w:r>
      <w:r w:rsidR="00130E50">
        <w:t>,</w:t>
      </w:r>
      <w:r w:rsidRPr="0048186C">
        <w:t xml:space="preserve"> foll</w:t>
      </w:r>
      <w:r w:rsidR="00D91E3C">
        <w:t>owing committee recommendations</w:t>
      </w:r>
      <w:r w:rsidR="00130E50">
        <w:t>,</w:t>
      </w:r>
      <w:r w:rsidRPr="0048186C">
        <w:t xml:space="preserve"> will strengthen board engagement, oversight and accountability</w:t>
      </w:r>
      <w:r w:rsidR="00BA7356">
        <w:t>.</w:t>
      </w:r>
      <w:r w:rsidR="00F928A0">
        <w:t xml:space="preserve"> </w:t>
      </w:r>
      <w:r w:rsidR="008901DD">
        <w:t>However</w:t>
      </w:r>
      <w:r w:rsidRPr="0048186C">
        <w:t xml:space="preserve">, APRA does not consider it an effective use of a board’s time to understand every employee’s individual remuneration arrangement or individually approve the remuneration outcome of each person in a specified role, other than </w:t>
      </w:r>
      <w:r w:rsidR="00650B84">
        <w:t>the CEO, senior managers and executive directors</w:t>
      </w:r>
      <w:r w:rsidRPr="0048186C">
        <w:t xml:space="preserve">. </w:t>
      </w:r>
    </w:p>
    <w:p w14:paraId="4678DA78" w14:textId="7E99BD14" w:rsidR="0048186C" w:rsidRDefault="0048186C" w:rsidP="0048186C">
      <w:r w:rsidRPr="0048186C">
        <w:lastRenderedPageBreak/>
        <w:t xml:space="preserve">APRA has amended HPMRT </w:t>
      </w:r>
      <w:r w:rsidR="00DD2C6B">
        <w:t>recommendations and approvals</w:t>
      </w:r>
      <w:r w:rsidRPr="0048186C">
        <w:t xml:space="preserve"> to be on a cohort basis and</w:t>
      </w:r>
      <w:r w:rsidR="00A95F8B">
        <w:t>,</w:t>
      </w:r>
      <w:r w:rsidRPr="0048186C">
        <w:t xml:space="preserve"> as detailed in chapter 5 of this response paper</w:t>
      </w:r>
      <w:r w:rsidR="00D91E3C">
        <w:t>,</w:t>
      </w:r>
      <w:r w:rsidRPr="0048186C">
        <w:t xml:space="preserve"> the definition of HPMRT has also been </w:t>
      </w:r>
      <w:r w:rsidR="00A95F8B">
        <w:t>narrowed</w:t>
      </w:r>
      <w:r w:rsidRPr="0048186C">
        <w:t xml:space="preserve">. These changes address industry concerns about the burden on an entity’s board, whilst ensuring there is appropriate oversight that is consistent with the collective impact of HPMRTs on an entity’s risk management and long-term soundness. APRA </w:t>
      </w:r>
      <w:r w:rsidR="000E2932">
        <w:t>plans to outline</w:t>
      </w:r>
      <w:r w:rsidRPr="0048186C">
        <w:t xml:space="preserve"> better practice </w:t>
      </w:r>
      <w:r w:rsidR="000E2932">
        <w:t>examples</w:t>
      </w:r>
      <w:r w:rsidR="000E2932" w:rsidRPr="0048186C">
        <w:t xml:space="preserve"> </w:t>
      </w:r>
      <w:r w:rsidRPr="0048186C">
        <w:t xml:space="preserve">for cohort reviews in </w:t>
      </w:r>
      <w:r w:rsidR="00EE250A">
        <w:t>a new</w:t>
      </w:r>
      <w:r w:rsidR="00EE250A" w:rsidRPr="0048186C">
        <w:t xml:space="preserve"> </w:t>
      </w:r>
      <w:r w:rsidRPr="0048186C">
        <w:t>CPG 511.</w:t>
      </w:r>
    </w:p>
    <w:p w14:paraId="25620663" w14:textId="77777777" w:rsidR="00E4756D" w:rsidRDefault="00E4756D" w:rsidP="00DE05FF">
      <w:pPr>
        <w:pStyle w:val="Heading2Numbers"/>
        <w:numPr>
          <w:ilvl w:val="1"/>
          <w:numId w:val="41"/>
        </w:numPr>
        <w:ind w:left="851"/>
      </w:pPr>
      <w:r>
        <w:t>Board reporting</w:t>
      </w:r>
    </w:p>
    <w:p w14:paraId="3E408B8F" w14:textId="1434D472" w:rsidR="00E4756D" w:rsidRDefault="002A5CAC" w:rsidP="00E4756D">
      <w:r>
        <w:t xml:space="preserve">APRA’s objective is </w:t>
      </w:r>
      <w:r w:rsidR="00B84CFF">
        <w:t>that</w:t>
      </w:r>
      <w:r>
        <w:t xml:space="preserve"> the board and</w:t>
      </w:r>
      <w:r w:rsidRPr="008D18F6">
        <w:t xml:space="preserve"> </w:t>
      </w:r>
      <w:r>
        <w:t xml:space="preserve">board remuneration </w:t>
      </w:r>
      <w:r w:rsidRPr="008D18F6">
        <w:t xml:space="preserve">committee </w:t>
      </w:r>
      <w:r w:rsidR="00B84CFF">
        <w:t xml:space="preserve">have </w:t>
      </w:r>
      <w:r w:rsidR="0022675D">
        <w:t xml:space="preserve">appropriate </w:t>
      </w:r>
      <w:r w:rsidR="0022675D" w:rsidRPr="00A906B5">
        <w:t xml:space="preserve">information </w:t>
      </w:r>
      <w:r w:rsidR="0022675D" w:rsidDel="00CD366C">
        <w:t>to</w:t>
      </w:r>
      <w:r w:rsidR="0022675D" w:rsidRPr="00A906B5" w:rsidDel="00CD366C">
        <w:t xml:space="preserve"> facilitate a holistic appraisal of remuneration outcomes</w:t>
      </w:r>
      <w:r w:rsidR="007C16F9">
        <w:t xml:space="preserve"> and</w:t>
      </w:r>
      <w:r w:rsidR="00B84CFF" w:rsidRPr="00B84CFF">
        <w:t xml:space="preserve"> </w:t>
      </w:r>
      <w:r w:rsidR="0022675D">
        <w:t>to underpin</w:t>
      </w:r>
      <w:r w:rsidR="00B84CFF">
        <w:t xml:space="preserve"> </w:t>
      </w:r>
      <w:r w:rsidR="00B84CFF" w:rsidRPr="008D18F6">
        <w:t xml:space="preserve">effective </w:t>
      </w:r>
      <w:r w:rsidR="006B503D">
        <w:t>decision making</w:t>
      </w:r>
      <w:r w:rsidR="00CD366C">
        <w:t xml:space="preserve"> and </w:t>
      </w:r>
      <w:r w:rsidR="00B84CFF" w:rsidRPr="008D18F6">
        <w:t>oversight</w:t>
      </w:r>
      <w:r w:rsidR="005E7608">
        <w:t xml:space="preserve"> </w:t>
      </w:r>
      <w:r w:rsidR="00CD366C">
        <w:t>of remuneration outcomes</w:t>
      </w:r>
      <w:r w:rsidR="00B84CFF">
        <w:t>.</w:t>
      </w:r>
      <w:r w:rsidDel="00B84CFF">
        <w:t xml:space="preserve"> </w:t>
      </w:r>
      <w:r w:rsidR="00CD366C">
        <w:t>While</w:t>
      </w:r>
      <w:r w:rsidR="006B503D" w:rsidRPr="008D18F6">
        <w:t xml:space="preserve"> there is </w:t>
      </w:r>
      <w:r w:rsidR="00CD366C">
        <w:t xml:space="preserve">currently </w:t>
      </w:r>
      <w:r w:rsidR="006B503D" w:rsidRPr="008D18F6">
        <w:t>mixed practice across industries</w:t>
      </w:r>
      <w:r w:rsidR="00CD366C">
        <w:t>, d</w:t>
      </w:r>
      <w:r w:rsidR="006B503D" w:rsidRPr="008D18F6">
        <w:t>raft CPS 511 contained key proposals for the board remuneration committee</w:t>
      </w:r>
      <w:r w:rsidR="006B503D">
        <w:t xml:space="preserve">, </w:t>
      </w:r>
      <w:r w:rsidR="00B84CFF">
        <w:t xml:space="preserve">to </w:t>
      </w:r>
      <w:r w:rsidR="00EE250A">
        <w:t xml:space="preserve">ensure that they </w:t>
      </w:r>
      <w:r w:rsidRPr="008D18F6">
        <w:t>critically examin</w:t>
      </w:r>
      <w:r w:rsidRPr="008D18F6" w:rsidDel="002A5CAC">
        <w:t>e</w:t>
      </w:r>
      <w:r w:rsidRPr="008D18F6">
        <w:t xml:space="preserve"> information reported by management rather than simply relying on it being accurate and complete.</w:t>
      </w:r>
      <w:r>
        <w:t xml:space="preserve"> </w:t>
      </w:r>
    </w:p>
    <w:p w14:paraId="4D36B5EE" w14:textId="77777777" w:rsidR="00E4756D" w:rsidRDefault="00E4756D" w:rsidP="00DE05FF">
      <w:pPr>
        <w:pStyle w:val="Heading3Numbers"/>
        <w:numPr>
          <w:ilvl w:val="2"/>
          <w:numId w:val="41"/>
        </w:numPr>
      </w:pPr>
      <w:r>
        <w:t>Comments received</w:t>
      </w:r>
    </w:p>
    <w:p w14:paraId="46EE4227" w14:textId="77777777" w:rsidR="00E4756D" w:rsidRDefault="006B503D" w:rsidP="00E4756D">
      <w:r>
        <w:t>Feedback</w:t>
      </w:r>
      <w:r w:rsidR="002A5CAC">
        <w:t xml:space="preserve"> acknowledged</w:t>
      </w:r>
      <w:r w:rsidR="00E4756D">
        <w:t xml:space="preserve"> that </w:t>
      </w:r>
      <w:r w:rsidR="00E4756D" w:rsidRPr="00786494">
        <w:t xml:space="preserve">the quality of </w:t>
      </w:r>
      <w:r w:rsidR="00E4756D">
        <w:t xml:space="preserve">reporting from management is of central importance to </w:t>
      </w:r>
      <w:r w:rsidR="00E4756D" w:rsidRPr="00786494">
        <w:t>decision making</w:t>
      </w:r>
      <w:r w:rsidR="00E4756D">
        <w:t xml:space="preserve"> by the board remuneration committee</w:t>
      </w:r>
      <w:r w:rsidR="002A5CAC">
        <w:t>. However, respondents</w:t>
      </w:r>
      <w:r w:rsidR="00E4756D">
        <w:t xml:space="preserve"> questioned </w:t>
      </w:r>
      <w:r w:rsidR="002A5CAC">
        <w:t>why accountability should rest with</w:t>
      </w:r>
      <w:r w:rsidR="00E4756D">
        <w:t xml:space="preserve"> the committee</w:t>
      </w:r>
      <w:r w:rsidR="00130E50">
        <w:t>, instead of management</w:t>
      </w:r>
      <w:r w:rsidR="00E4756D">
        <w:t>. Industry also sought clarification about the content of information, particular</w:t>
      </w:r>
      <w:r>
        <w:t>ly</w:t>
      </w:r>
      <w:r w:rsidR="00E4756D">
        <w:t xml:space="preserve"> with respect to individual and cohort-based remuneration recommendations.</w:t>
      </w:r>
    </w:p>
    <w:p w14:paraId="3D6CB214" w14:textId="77777777" w:rsidR="00E4756D" w:rsidRDefault="00E4756D" w:rsidP="00DE05FF">
      <w:pPr>
        <w:pStyle w:val="Heading3Numbers"/>
        <w:numPr>
          <w:ilvl w:val="2"/>
          <w:numId w:val="41"/>
        </w:numPr>
      </w:pPr>
      <w:r>
        <w:t>APRA’s response</w:t>
      </w:r>
    </w:p>
    <w:p w14:paraId="0DF86FED" w14:textId="3A7E0F49" w:rsidR="00E4756D" w:rsidRDefault="00B84CFF" w:rsidP="00E4756D">
      <w:r>
        <w:t>APRA has retained the original drafting in CPS 511. In APRA’s view, i</w:t>
      </w:r>
      <w:r w:rsidR="00130E50">
        <w:t xml:space="preserve">t is the responsibility of the board remuneration committee to guide management about </w:t>
      </w:r>
      <w:r w:rsidR="001A1B6C">
        <w:t>appropriate</w:t>
      </w:r>
      <w:r w:rsidR="00130E50">
        <w:t xml:space="preserve"> reporting of information, as part of its role to </w:t>
      </w:r>
      <w:r w:rsidR="00CC55F4">
        <w:t xml:space="preserve">provide oversight of </w:t>
      </w:r>
      <w:r w:rsidR="00130E50">
        <w:t xml:space="preserve">the </w:t>
      </w:r>
      <w:r w:rsidR="005E7608">
        <w:t>remu</w:t>
      </w:r>
      <w:r w:rsidR="00130E50">
        <w:t>n</w:t>
      </w:r>
      <w:r w:rsidR="005E7608">
        <w:t>er</w:t>
      </w:r>
      <w:r w:rsidR="00130E50">
        <w:t>ation framework.</w:t>
      </w:r>
      <w:r w:rsidRPr="00B84CFF">
        <w:t xml:space="preserve"> </w:t>
      </w:r>
      <w:r>
        <w:t>APRA’s intent is that entities focus on insightful, rather than voluminous, information and analysis that validates remuneration decisions.</w:t>
      </w:r>
      <w:r w:rsidRPr="00B84CFF">
        <w:t xml:space="preserve"> </w:t>
      </w:r>
      <w:r w:rsidR="00583D0B">
        <w:t xml:space="preserve">In </w:t>
      </w:r>
      <w:r w:rsidR="008C7473">
        <w:t xml:space="preserve">the new </w:t>
      </w:r>
      <w:r w:rsidR="00583D0B">
        <w:t xml:space="preserve">CPG 511, </w:t>
      </w:r>
      <w:r>
        <w:t xml:space="preserve">APRA </w:t>
      </w:r>
      <w:r w:rsidR="008C7473">
        <w:t>plans to outline</w:t>
      </w:r>
      <w:r>
        <w:t xml:space="preserve"> </w:t>
      </w:r>
      <w:r w:rsidR="008C7473">
        <w:t xml:space="preserve">examples of </w:t>
      </w:r>
      <w:r>
        <w:t>better practice.</w:t>
      </w:r>
      <w:r w:rsidR="00F507E1">
        <w:t xml:space="preserve"> </w:t>
      </w:r>
    </w:p>
    <w:p w14:paraId="0EEA9597" w14:textId="77777777" w:rsidR="00E4756D" w:rsidRPr="0048186C" w:rsidRDefault="00E4756D" w:rsidP="0048186C"/>
    <w:p w14:paraId="58798810" w14:textId="77777777" w:rsidR="0048186C" w:rsidRDefault="0048186C" w:rsidP="00F34E01"/>
    <w:p w14:paraId="4965AF38" w14:textId="77777777" w:rsidR="004C7338" w:rsidRDefault="007D1971" w:rsidP="00976F29">
      <w:pPr>
        <w:pStyle w:val="Heading1Numbers"/>
        <w:numPr>
          <w:ilvl w:val="0"/>
          <w:numId w:val="41"/>
        </w:numPr>
      </w:pPr>
      <w:bookmarkStart w:id="17" w:name="_Toc26804336"/>
      <w:bookmarkStart w:id="18" w:name="_Toc30172112"/>
      <w:bookmarkStart w:id="19" w:name="_Toc53000774"/>
      <w:bookmarkStart w:id="20" w:name="_Toc55850356"/>
      <w:r>
        <w:lastRenderedPageBreak/>
        <w:t>Remuneration design</w:t>
      </w:r>
      <w:bookmarkEnd w:id="17"/>
      <w:bookmarkEnd w:id="18"/>
      <w:bookmarkEnd w:id="19"/>
      <w:bookmarkEnd w:id="20"/>
    </w:p>
    <w:p w14:paraId="562F6598" w14:textId="00FF65E0" w:rsidR="004B03CC" w:rsidRDefault="004B03CC" w:rsidP="004B03CC">
      <w:r>
        <w:t xml:space="preserve">This chapter covers CPS 511 proposals relating to general design requirements for remuneration. APRA’s </w:t>
      </w:r>
      <w:r w:rsidR="00CC55F4">
        <w:t>specific</w:t>
      </w:r>
      <w:r>
        <w:t xml:space="preserve"> proposals to limit the use of financial performance measures in variable remuneration are covered in chapter 4.</w:t>
      </w:r>
    </w:p>
    <w:p w14:paraId="7FE49E56" w14:textId="77777777" w:rsidR="008B23B7" w:rsidRDefault="008B23B7" w:rsidP="00DE05FF">
      <w:pPr>
        <w:pStyle w:val="Heading2Numbers"/>
        <w:numPr>
          <w:ilvl w:val="1"/>
          <w:numId w:val="41"/>
        </w:numPr>
        <w:ind w:left="851"/>
      </w:pPr>
      <w:r>
        <w:t>Service providers</w:t>
      </w:r>
    </w:p>
    <w:p w14:paraId="009B574F" w14:textId="3A20897F" w:rsidR="00952C05" w:rsidRPr="00B25FC1" w:rsidRDefault="00952C05" w:rsidP="00952C05">
      <w:r>
        <w:t xml:space="preserve">Draft CPS 511 </w:t>
      </w:r>
      <w:r w:rsidR="00644C75">
        <w:t>proposed</w:t>
      </w:r>
      <w:r w:rsidR="004B03CC">
        <w:t xml:space="preserve"> </w:t>
      </w:r>
      <w:r>
        <w:t xml:space="preserve">to strengthen an entity’s </w:t>
      </w:r>
      <w:r w:rsidR="008B77C1">
        <w:t xml:space="preserve">oversight and </w:t>
      </w:r>
      <w:r>
        <w:t>risk assessment of remuneration arrangements with third</w:t>
      </w:r>
      <w:r w:rsidR="008B5D30">
        <w:t>-</w:t>
      </w:r>
      <w:r>
        <w:t>party service providers</w:t>
      </w:r>
      <w:r w:rsidR="00CC55F4">
        <w:t>. This was intended to address gaps in</w:t>
      </w:r>
      <w:r>
        <w:t xml:space="preserve"> </w:t>
      </w:r>
      <w:r w:rsidR="00CC55F4">
        <w:t xml:space="preserve">existing </w:t>
      </w:r>
      <w:r>
        <w:t xml:space="preserve">CPS 510 and SPS 510 </w:t>
      </w:r>
      <w:r w:rsidR="00644C75">
        <w:t>requirements</w:t>
      </w:r>
      <w:r>
        <w:t>.</w:t>
      </w:r>
      <w:r w:rsidRPr="00B81B30">
        <w:t xml:space="preserve"> </w:t>
      </w:r>
      <w:r>
        <w:t>The proposals were to:</w:t>
      </w:r>
      <w:r w:rsidRPr="00B25FC1">
        <w:t xml:space="preserve"> </w:t>
      </w:r>
    </w:p>
    <w:p w14:paraId="62713429" w14:textId="5F862B34" w:rsidR="00952C05" w:rsidRDefault="00952C05" w:rsidP="00952C05">
      <w:pPr>
        <w:pStyle w:val="ListBullet"/>
        <w:numPr>
          <w:ilvl w:val="0"/>
          <w:numId w:val="5"/>
        </w:numPr>
      </w:pPr>
      <w:r>
        <w:t>expand the scope</w:t>
      </w:r>
      <w:r w:rsidRPr="00B25FC1">
        <w:t xml:space="preserve"> </w:t>
      </w:r>
      <w:r>
        <w:t xml:space="preserve">to </w:t>
      </w:r>
      <w:r w:rsidRPr="00B25FC1">
        <w:t>captur</w:t>
      </w:r>
      <w:r>
        <w:t>e</w:t>
      </w:r>
      <w:r w:rsidRPr="00B25FC1">
        <w:t xml:space="preserve"> </w:t>
      </w:r>
      <w:r w:rsidR="00BB6DCD" w:rsidRPr="00B25FC1">
        <w:t xml:space="preserve">explicitly </w:t>
      </w:r>
      <w:r w:rsidR="00D079A3">
        <w:t xml:space="preserve">the </w:t>
      </w:r>
      <w:r w:rsidRPr="00B25FC1">
        <w:t xml:space="preserve">employees of the </w:t>
      </w:r>
      <w:r>
        <w:t xml:space="preserve">third-party </w:t>
      </w:r>
      <w:r w:rsidRPr="00B25FC1">
        <w:t xml:space="preserve">service provider </w:t>
      </w:r>
      <w:r>
        <w:t xml:space="preserve">rather than setting the requirement at the service contract level; </w:t>
      </w:r>
    </w:p>
    <w:p w14:paraId="2BEAE728" w14:textId="50E01B36" w:rsidR="00952C05" w:rsidRDefault="00952C05" w:rsidP="00952C05">
      <w:pPr>
        <w:pStyle w:val="ListBullet"/>
        <w:numPr>
          <w:ilvl w:val="0"/>
          <w:numId w:val="5"/>
        </w:numPr>
      </w:pPr>
      <w:r>
        <w:t xml:space="preserve">expand the focus </w:t>
      </w:r>
      <w:r w:rsidR="00915E8A">
        <w:t xml:space="preserve">from </w:t>
      </w:r>
      <w:r w:rsidDel="0085784A">
        <w:t>f</w:t>
      </w:r>
      <w:r>
        <w:t xml:space="preserve">inancial soundness to </w:t>
      </w:r>
      <w:r w:rsidR="00915E8A">
        <w:t xml:space="preserve">also include </w:t>
      </w:r>
      <w:r>
        <w:t>risk, sustainable performance and long-term soundness; and</w:t>
      </w:r>
    </w:p>
    <w:p w14:paraId="6DB2BBCD" w14:textId="4080D4C3" w:rsidR="00952C05" w:rsidRDefault="00A962D3" w:rsidP="00952C05">
      <w:pPr>
        <w:pStyle w:val="ListBullet"/>
        <w:numPr>
          <w:ilvl w:val="0"/>
          <w:numId w:val="5"/>
        </w:numPr>
      </w:pPr>
      <w:r>
        <w:t>require</w:t>
      </w:r>
      <w:r w:rsidR="00952C05" w:rsidDel="004B03CC">
        <w:t xml:space="preserve"> </w:t>
      </w:r>
      <w:r w:rsidR="004B03CC">
        <w:t xml:space="preserve">an </w:t>
      </w:r>
      <w:r w:rsidR="00952C05">
        <w:t>assess</w:t>
      </w:r>
      <w:r>
        <w:t>ment of</w:t>
      </w:r>
      <w:r w:rsidR="00952C05">
        <w:t xml:space="preserve"> third-party service provider </w:t>
      </w:r>
      <w:r>
        <w:t xml:space="preserve">remuneration </w:t>
      </w:r>
      <w:r w:rsidR="00952C05">
        <w:t xml:space="preserve">arrangements </w:t>
      </w:r>
      <w:r>
        <w:t>to be part of</w:t>
      </w:r>
      <w:r w:rsidR="00952C05">
        <w:t xml:space="preserve"> the entity’s </w:t>
      </w:r>
      <w:r>
        <w:t>remuneration</w:t>
      </w:r>
      <w:r w:rsidR="00952C05">
        <w:t xml:space="preserve"> framework. </w:t>
      </w:r>
    </w:p>
    <w:p w14:paraId="7CDB923E" w14:textId="77777777" w:rsidR="008B23B7" w:rsidRDefault="008B23B7" w:rsidP="00DE05FF">
      <w:pPr>
        <w:pStyle w:val="Heading3Numbers"/>
        <w:numPr>
          <w:ilvl w:val="2"/>
          <w:numId w:val="41"/>
        </w:numPr>
      </w:pPr>
      <w:r>
        <w:t>Comments received</w:t>
      </w:r>
    </w:p>
    <w:p w14:paraId="0E864E96" w14:textId="39345ACF" w:rsidR="00952C05" w:rsidRDefault="004B03CC" w:rsidP="00952C05">
      <w:r>
        <w:t>Entities were concerned that the draft CPS 511 proposals could</w:t>
      </w:r>
      <w:r w:rsidDel="00BB6DCD">
        <w:t xml:space="preserve"> </w:t>
      </w:r>
      <w:r w:rsidR="00BB6DCD">
        <w:t xml:space="preserve">affect </w:t>
      </w:r>
      <w:r>
        <w:t>their capacity to contract with service providers, especially for key business functions. This was a particular focus of superannuation entities, given their significant reliance on service providers to undertake major functions such as administration, investment management and insurance. Entities also raised concerns that draft CPS 511 implied they needed</w:t>
      </w:r>
      <w:r w:rsidR="00CC55F4">
        <w:t xml:space="preserve"> to have</w:t>
      </w:r>
      <w:r w:rsidDel="0085784A">
        <w:t xml:space="preserve"> </w:t>
      </w:r>
      <w:r>
        <w:t xml:space="preserve">influence over the remuneration arrangements of third-party service providers. </w:t>
      </w:r>
      <w:r w:rsidR="00952C05">
        <w:t xml:space="preserve">Stakeholders highlighted this as impractical, particularly where the contract </w:t>
      </w:r>
      <w:r w:rsidR="00602039">
        <w:t xml:space="preserve">size </w:t>
      </w:r>
      <w:r w:rsidR="00952C05">
        <w:t xml:space="preserve">was immaterial relative to the overall business of the third party, </w:t>
      </w:r>
      <w:r w:rsidR="00F57F4B">
        <w:t xml:space="preserve">or </w:t>
      </w:r>
      <w:r w:rsidR="00952C05">
        <w:t xml:space="preserve">when </w:t>
      </w:r>
      <w:r w:rsidR="00602039">
        <w:t>dealing with an internationally based provider</w:t>
      </w:r>
      <w:r w:rsidR="00952C05">
        <w:t xml:space="preserve">. </w:t>
      </w:r>
    </w:p>
    <w:p w14:paraId="701559BF" w14:textId="77777777" w:rsidR="008B23B7" w:rsidRDefault="008B23B7" w:rsidP="00DE05FF">
      <w:pPr>
        <w:pStyle w:val="Heading3Numbers"/>
        <w:numPr>
          <w:ilvl w:val="2"/>
          <w:numId w:val="41"/>
        </w:numPr>
      </w:pPr>
      <w:r>
        <w:t>APRA’s response</w:t>
      </w:r>
    </w:p>
    <w:p w14:paraId="7E20EC7E" w14:textId="162019C9" w:rsidR="00952C05" w:rsidRDefault="00952C05" w:rsidP="00952C05">
      <w:r>
        <w:t xml:space="preserve">APRA’s intent </w:t>
      </w:r>
      <w:r w:rsidR="00E608A3">
        <w:t>is that e</w:t>
      </w:r>
      <w:r>
        <w:t>ntit</w:t>
      </w:r>
      <w:r w:rsidR="00E608A3">
        <w:t>ies</w:t>
      </w:r>
      <w:r>
        <w:t xml:space="preserve"> </w:t>
      </w:r>
      <w:r w:rsidR="00E608A3">
        <w:t xml:space="preserve">make prudent </w:t>
      </w:r>
      <w:r>
        <w:t>assess</w:t>
      </w:r>
      <w:r w:rsidR="00E608A3">
        <w:t>ments of</w:t>
      </w:r>
      <w:r>
        <w:t xml:space="preserve"> how the </w:t>
      </w:r>
      <w:r w:rsidR="00C96D7E">
        <w:t xml:space="preserve">service provider’s </w:t>
      </w:r>
      <w:r w:rsidR="00CC55F4">
        <w:t>remuneration arrangements</w:t>
      </w:r>
      <w:r>
        <w:t xml:space="preserve"> may result in actions or risks that </w:t>
      </w:r>
      <w:r w:rsidR="00CC55F4">
        <w:t xml:space="preserve">could </w:t>
      </w:r>
      <w:r w:rsidR="00362C55">
        <w:t>adversely</w:t>
      </w:r>
      <w:r w:rsidR="00E608A3">
        <w:t xml:space="preserve"> impact </w:t>
      </w:r>
      <w:r w:rsidR="00362C55">
        <w:t>an</w:t>
      </w:r>
      <w:r>
        <w:t xml:space="preserve"> entity’s risk profile, sustainable performance</w:t>
      </w:r>
      <w:r w:rsidR="00980829">
        <w:t>,</w:t>
      </w:r>
      <w:r w:rsidDel="00980829">
        <w:t xml:space="preserve"> </w:t>
      </w:r>
      <w:r w:rsidR="005E6278">
        <w:t xml:space="preserve">beneficiaries </w:t>
      </w:r>
      <w:r w:rsidR="00980829">
        <w:t xml:space="preserve">or </w:t>
      </w:r>
      <w:r w:rsidR="005E6278">
        <w:t>customers</w:t>
      </w:r>
      <w:r>
        <w:t xml:space="preserve">. </w:t>
      </w:r>
      <w:r w:rsidR="00741FEF">
        <w:t>S</w:t>
      </w:r>
      <w:r w:rsidR="00980829">
        <w:t>ervice providers that distribute or sell retail products on behalf of the entity, such as brokers or customer advisors</w:t>
      </w:r>
      <w:r w:rsidR="00741FEF">
        <w:t xml:space="preserve">, </w:t>
      </w:r>
      <w:r w:rsidR="00F952E5">
        <w:t xml:space="preserve">should be subject to </w:t>
      </w:r>
      <w:r w:rsidR="00D14242">
        <w:t xml:space="preserve">a </w:t>
      </w:r>
      <w:r w:rsidR="00F952E5">
        <w:t>heightened focus</w:t>
      </w:r>
      <w:r w:rsidR="00980829">
        <w:t xml:space="preserve">. </w:t>
      </w:r>
    </w:p>
    <w:p w14:paraId="1C3F4630" w14:textId="133105FF" w:rsidR="008B23B7" w:rsidRPr="00607DAF" w:rsidRDefault="00CC55F4" w:rsidP="008B23B7">
      <w:r>
        <w:lastRenderedPageBreak/>
        <w:t xml:space="preserve">Under the revised CPS 511, </w:t>
      </w:r>
      <w:r w:rsidR="00952C05" w:rsidDel="004B03CC">
        <w:t xml:space="preserve">APRA has </w:t>
      </w:r>
      <w:r w:rsidR="00A962D3" w:rsidDel="004B03CC">
        <w:t>clarif</w:t>
      </w:r>
      <w:r>
        <w:t>ied</w:t>
      </w:r>
      <w:r w:rsidR="00A962D3" w:rsidDel="004B03CC">
        <w:t xml:space="preserve"> </w:t>
      </w:r>
      <w:r w:rsidR="004B03CC">
        <w:t xml:space="preserve">that entities </w:t>
      </w:r>
      <w:r>
        <w:t xml:space="preserve">are required to </w:t>
      </w:r>
      <w:r w:rsidR="004B03CC">
        <w:t>mak</w:t>
      </w:r>
      <w:r>
        <w:t>e</w:t>
      </w:r>
      <w:r w:rsidR="004B03CC">
        <w:t xml:space="preserve"> an overall assessment of </w:t>
      </w:r>
      <w:r w:rsidR="00C96D7E">
        <w:t>a</w:t>
      </w:r>
      <w:r w:rsidR="004B03CC">
        <w:t xml:space="preserve"> service provider</w:t>
      </w:r>
      <w:r w:rsidR="00C96D7E">
        <w:t>’s</w:t>
      </w:r>
      <w:r w:rsidR="00602039" w:rsidRPr="00602039">
        <w:t xml:space="preserve"> </w:t>
      </w:r>
      <w:r w:rsidR="00602039">
        <w:t>remuneration arrangements</w:t>
      </w:r>
      <w:r w:rsidR="004B03CC">
        <w:t xml:space="preserve">. </w:t>
      </w:r>
      <w:r>
        <w:t xml:space="preserve">They </w:t>
      </w:r>
      <w:r w:rsidR="00A962D3">
        <w:t xml:space="preserve">are not required to influence the remuneration arrangements of </w:t>
      </w:r>
      <w:r w:rsidR="00A962D3" w:rsidRPr="009C73C2">
        <w:t>third-party service provider</w:t>
      </w:r>
      <w:r w:rsidR="00A962D3">
        <w:t xml:space="preserve"> employees or contractors.</w:t>
      </w:r>
      <w:r w:rsidR="001841DF">
        <w:t xml:space="preserve"> </w:t>
      </w:r>
      <w:r w:rsidR="00952C05">
        <w:t xml:space="preserve">The </w:t>
      </w:r>
      <w:r w:rsidR="00F952E5">
        <w:t xml:space="preserve">revised </w:t>
      </w:r>
      <w:r w:rsidR="00952C05">
        <w:t xml:space="preserve">proposal requires a risk assessment </w:t>
      </w:r>
      <w:r w:rsidR="0064285A">
        <w:t xml:space="preserve">and </w:t>
      </w:r>
      <w:r w:rsidR="00952C05">
        <w:t xml:space="preserve">provides </w:t>
      </w:r>
      <w:r w:rsidR="00AE221B">
        <w:t>entit</w:t>
      </w:r>
      <w:r w:rsidR="00C96D7E">
        <w:t xml:space="preserve">y </w:t>
      </w:r>
      <w:r w:rsidR="00952C05">
        <w:t xml:space="preserve">discretion </w:t>
      </w:r>
      <w:r w:rsidR="00C96D7E">
        <w:t>on</w:t>
      </w:r>
      <w:r w:rsidR="00952C05">
        <w:t xml:space="preserve"> </w:t>
      </w:r>
      <w:r w:rsidR="00C96D7E">
        <w:t>the</w:t>
      </w:r>
      <w:r w:rsidR="00952C05">
        <w:t xml:space="preserve"> process. </w:t>
      </w:r>
      <w:r w:rsidR="00A962D3">
        <w:t xml:space="preserve">Revised </w:t>
      </w:r>
      <w:r w:rsidR="001841DF">
        <w:t>CPS</w:t>
      </w:r>
      <w:r w:rsidR="00A962D3">
        <w:t xml:space="preserve"> 511 </w:t>
      </w:r>
      <w:r w:rsidR="000F4D8E">
        <w:t xml:space="preserve">also </w:t>
      </w:r>
      <w:r w:rsidR="00A962D3" w:rsidRPr="00A962D3">
        <w:t>enabl</w:t>
      </w:r>
      <w:r w:rsidR="00A962D3">
        <w:t>es</w:t>
      </w:r>
      <w:r w:rsidR="00A962D3" w:rsidRPr="00A962D3">
        <w:t xml:space="preserve"> an entity to determine its own actions to mitigate risk</w:t>
      </w:r>
      <w:r w:rsidR="00176A87">
        <w:t>s</w:t>
      </w:r>
      <w:r w:rsidR="00A962D3" w:rsidRPr="00A962D3">
        <w:t>.</w:t>
      </w:r>
      <w:r w:rsidR="00952C05">
        <w:t xml:space="preserve"> </w:t>
      </w:r>
      <w:r w:rsidR="00AE221B">
        <w:t xml:space="preserve">APRA intends to outline better </w:t>
      </w:r>
      <w:r w:rsidR="00952C05">
        <w:t>practice examples in</w:t>
      </w:r>
      <w:r w:rsidR="00644C75">
        <w:t xml:space="preserve"> </w:t>
      </w:r>
      <w:r w:rsidR="004B03CC">
        <w:t xml:space="preserve">a </w:t>
      </w:r>
      <w:r w:rsidR="00176A87">
        <w:t>new CPG 511</w:t>
      </w:r>
      <w:r w:rsidR="00952C05">
        <w:t>.</w:t>
      </w:r>
      <w:r w:rsidR="00602039">
        <w:t xml:space="preserve"> </w:t>
      </w:r>
      <w:r w:rsidR="008B23B7">
        <w:t xml:space="preserve">  </w:t>
      </w:r>
    </w:p>
    <w:p w14:paraId="42746E69" w14:textId="77777777" w:rsidR="004C7338" w:rsidRDefault="008B23B7" w:rsidP="00976F29">
      <w:pPr>
        <w:pStyle w:val="Heading1Numbers"/>
        <w:numPr>
          <w:ilvl w:val="0"/>
          <w:numId w:val="41"/>
        </w:numPr>
      </w:pPr>
      <w:bookmarkStart w:id="21" w:name="_Toc53000775"/>
      <w:bookmarkStart w:id="22" w:name="_Toc55850357"/>
      <w:r>
        <w:lastRenderedPageBreak/>
        <w:t>Limit on financial measures</w:t>
      </w:r>
      <w:bookmarkEnd w:id="21"/>
      <w:bookmarkEnd w:id="22"/>
      <w:r>
        <w:t xml:space="preserve"> </w:t>
      </w:r>
    </w:p>
    <w:p w14:paraId="07BC9D39" w14:textId="27427F06" w:rsidR="00BF769A" w:rsidRDefault="00B548E0" w:rsidP="00DE05FF">
      <w:pPr>
        <w:pStyle w:val="Heading2Numbers"/>
        <w:numPr>
          <w:ilvl w:val="1"/>
          <w:numId w:val="41"/>
        </w:numPr>
        <w:ind w:left="851"/>
      </w:pPr>
      <w:r>
        <w:t>Initial c</w:t>
      </w:r>
      <w:r w:rsidR="009F5F2F">
        <w:t>onsultation</w:t>
      </w:r>
      <w:r w:rsidR="00BF769A">
        <w:t xml:space="preserve"> proposal</w:t>
      </w:r>
    </w:p>
    <w:p w14:paraId="69E83679" w14:textId="2F35DBF1" w:rsidR="005E26F6" w:rsidRDefault="005E26F6" w:rsidP="005E26F6">
      <w:r>
        <w:t>The Royal Commission recommended that APRA limit the use of financial metrics in connection with long-term variable remuneration. APRA sought to promote a balance between financial and non-financial measures</w:t>
      </w:r>
      <w:r w:rsidDel="00C77BD9">
        <w:t xml:space="preserve"> </w:t>
      </w:r>
      <w:r>
        <w:t xml:space="preserve">and </w:t>
      </w:r>
      <w:r w:rsidR="00F952E5">
        <w:t xml:space="preserve">draft CPS 511 </w:t>
      </w:r>
      <w:r>
        <w:t>proposed that:</w:t>
      </w:r>
    </w:p>
    <w:p w14:paraId="0C7EA497" w14:textId="77777777" w:rsidR="005E26F6" w:rsidRPr="000460DE" w:rsidRDefault="005E26F6" w:rsidP="005E26F6">
      <w:pPr>
        <w:pStyle w:val="ListBullet"/>
        <w:numPr>
          <w:ilvl w:val="0"/>
          <w:numId w:val="24"/>
        </w:numPr>
      </w:pPr>
      <w:r w:rsidRPr="000460DE">
        <w:t xml:space="preserve">financial performance measures must not exceed 50 per cent of the total performance criteria used to determine variable remuneration; and </w:t>
      </w:r>
    </w:p>
    <w:p w14:paraId="717CE628" w14:textId="77777777" w:rsidR="005E26F6" w:rsidRPr="000460DE" w:rsidRDefault="005E26F6" w:rsidP="005E26F6">
      <w:pPr>
        <w:pStyle w:val="ListBullet"/>
        <w:numPr>
          <w:ilvl w:val="0"/>
          <w:numId w:val="24"/>
        </w:numPr>
      </w:pPr>
      <w:r w:rsidRPr="000460DE">
        <w:t xml:space="preserve">individual financial performance measures must not comprise more than 25 per cent of the total measures used. </w:t>
      </w:r>
    </w:p>
    <w:p w14:paraId="3526085C" w14:textId="288C86C6" w:rsidR="0028051D" w:rsidRDefault="0028051D" w:rsidP="0028051D">
      <w:r>
        <w:t>The draft proposals were to apply to all staff receiving variable remuneration and across all incentive plans.</w:t>
      </w:r>
      <w:r w:rsidRPr="00135E7B">
        <w:t xml:space="preserve"> </w:t>
      </w:r>
      <w:r>
        <w:t>APRA did not specify particular non-financial measures, but highlighted examples of better practice from international jurisdictions which were more progressed.</w:t>
      </w:r>
      <w:r w:rsidRPr="00530297">
        <w:t xml:space="preserve"> </w:t>
      </w:r>
      <w:r>
        <w:t>APRA noted that an entity would be expected to justify its</w:t>
      </w:r>
      <w:r w:rsidRPr="00530297">
        <w:t xml:space="preserve"> </w:t>
      </w:r>
      <w:r>
        <w:t>selection of non-financial measures, and that these</w:t>
      </w:r>
      <w:r w:rsidDel="0094465F">
        <w:t xml:space="preserve"> </w:t>
      </w:r>
      <w:r>
        <w:t xml:space="preserve">must be tailored and specific to the entity’s business. </w:t>
      </w:r>
    </w:p>
    <w:p w14:paraId="3D8CF740" w14:textId="77777777" w:rsidR="008B23B7" w:rsidRDefault="008B23B7" w:rsidP="00D20E28">
      <w:pPr>
        <w:pStyle w:val="Heading2Numbers"/>
        <w:numPr>
          <w:ilvl w:val="1"/>
          <w:numId w:val="41"/>
        </w:numPr>
        <w:ind w:left="851"/>
      </w:pPr>
      <w:r>
        <w:t>Comments received</w:t>
      </w:r>
    </w:p>
    <w:p w14:paraId="63F63348" w14:textId="68E2FDB1" w:rsidR="005E26F6" w:rsidRPr="00BA1FA9" w:rsidRDefault="005E26F6" w:rsidP="005E26F6">
      <w:r>
        <w:t>APRA’s proposal to limit financial</w:t>
      </w:r>
      <w:r w:rsidR="00433898">
        <w:t xml:space="preserve"> </w:t>
      </w:r>
      <w:r>
        <w:t xml:space="preserve">performance measures </w:t>
      </w:r>
      <w:r w:rsidR="008819C6">
        <w:t xml:space="preserve">was </w:t>
      </w:r>
      <w:r>
        <w:t xml:space="preserve">the primary topic addressed in over three-quarters of submissions.  </w:t>
      </w:r>
      <w:r w:rsidR="000203A2">
        <w:t>Submissions</w:t>
      </w:r>
      <w:r w:rsidR="00785993">
        <w:t xml:space="preserve"> </w:t>
      </w:r>
      <w:r w:rsidR="00CD1D5D">
        <w:t xml:space="preserve">generally acknowledged APRA’s overall objective, but </w:t>
      </w:r>
      <w:r w:rsidR="00CD1D5D" w:rsidRPr="007335C8">
        <w:t xml:space="preserve">questioned </w:t>
      </w:r>
      <w:r w:rsidR="00CD1D5D">
        <w:t>the appropriateness of a prescriptive approach</w:t>
      </w:r>
      <w:r w:rsidR="001F55C3">
        <w:t>,</w:t>
      </w:r>
      <w:r w:rsidR="00785993">
        <w:t xml:space="preserve"> </w:t>
      </w:r>
      <w:r w:rsidR="00945967">
        <w:t>which could introduce a number of risks;</w:t>
      </w:r>
      <w:r w:rsidR="0072350E">
        <w:t xml:space="preserve"> for example</w:t>
      </w:r>
      <w:r w:rsidRPr="00BA1FA9">
        <w:t>:</w:t>
      </w:r>
    </w:p>
    <w:p w14:paraId="771A339C" w14:textId="77777777" w:rsidR="005E26F6" w:rsidRDefault="005E26F6" w:rsidP="005E26F6">
      <w:pPr>
        <w:pStyle w:val="ListParagraph"/>
        <w:numPr>
          <w:ilvl w:val="0"/>
          <w:numId w:val="10"/>
        </w:numPr>
        <w:rPr>
          <w:rFonts w:ascii="DIN OT Light" w:hAnsi="DIN OT Light"/>
        </w:rPr>
      </w:pPr>
      <w:bookmarkStart w:id="23" w:name="_Hlk55483465"/>
      <w:r w:rsidRPr="001A1672">
        <w:rPr>
          <w:rFonts w:ascii="DIN OT Light" w:hAnsi="DIN OT Light"/>
        </w:rPr>
        <w:t>a one-size-fits-all approach</w:t>
      </w:r>
      <w:r w:rsidR="00785993">
        <w:rPr>
          <w:rFonts w:ascii="DIN OT Light" w:hAnsi="DIN OT Light"/>
        </w:rPr>
        <w:t xml:space="preserve"> would not account for</w:t>
      </w:r>
      <w:r w:rsidRPr="001A1672">
        <w:rPr>
          <w:rFonts w:ascii="DIN OT Light" w:hAnsi="DIN OT Light"/>
        </w:rPr>
        <w:t xml:space="preserve"> </w:t>
      </w:r>
      <w:r w:rsidR="00A962D3">
        <w:rPr>
          <w:rFonts w:ascii="DIN OT Light" w:hAnsi="DIN OT Light"/>
        </w:rPr>
        <w:t>varying</w:t>
      </w:r>
      <w:r w:rsidRPr="001A1672">
        <w:rPr>
          <w:rFonts w:ascii="DIN OT Light" w:hAnsi="DIN OT Light"/>
        </w:rPr>
        <w:t xml:space="preserve"> remuneration design, strategy and risk appetite</w:t>
      </w:r>
      <w:r w:rsidR="00150453">
        <w:rPr>
          <w:rFonts w:ascii="DIN OT Light" w:hAnsi="DIN OT Light"/>
        </w:rPr>
        <w:t xml:space="preserve"> across entities and industries</w:t>
      </w:r>
      <w:r w:rsidRPr="001A1672">
        <w:rPr>
          <w:rFonts w:ascii="DIN OT Light" w:hAnsi="DIN OT Light"/>
        </w:rPr>
        <w:t>;</w:t>
      </w:r>
      <w:r w:rsidRPr="00BA1FA9">
        <w:rPr>
          <w:rFonts w:ascii="DIN OT Light" w:hAnsi="DIN OT Light"/>
        </w:rPr>
        <w:t xml:space="preserve"> </w:t>
      </w:r>
    </w:p>
    <w:p w14:paraId="433ADB70" w14:textId="7762765D" w:rsidR="005E26F6" w:rsidRPr="00276C04" w:rsidRDefault="005E26F6" w:rsidP="005E26F6">
      <w:pPr>
        <w:pStyle w:val="ListParagraph"/>
        <w:numPr>
          <w:ilvl w:val="0"/>
          <w:numId w:val="10"/>
        </w:numPr>
        <w:rPr>
          <w:rFonts w:ascii="DIN OT Light" w:hAnsi="DIN OT Light"/>
        </w:rPr>
      </w:pPr>
      <w:r w:rsidRPr="00276C04">
        <w:rPr>
          <w:rFonts w:ascii="DIN OT Light" w:hAnsi="DIN OT Light"/>
        </w:rPr>
        <w:t xml:space="preserve">design alternatives </w:t>
      </w:r>
      <w:r w:rsidR="00785993">
        <w:rPr>
          <w:rFonts w:ascii="DIN OT Light" w:hAnsi="DIN OT Light"/>
        </w:rPr>
        <w:t xml:space="preserve">would be limited, </w:t>
      </w:r>
      <w:r w:rsidRPr="00276C04">
        <w:rPr>
          <w:rFonts w:ascii="DIN OT Light" w:hAnsi="DIN OT Light"/>
        </w:rPr>
        <w:t>by forcing adoption of a scorecard approach</w:t>
      </w:r>
      <w:r>
        <w:rPr>
          <w:rFonts w:ascii="DIN OT Light" w:hAnsi="DIN OT Light"/>
        </w:rPr>
        <w:t xml:space="preserve"> </w:t>
      </w:r>
      <w:r w:rsidRPr="001841DF">
        <w:rPr>
          <w:rFonts w:ascii="DIN OT Light" w:hAnsi="DIN OT Light"/>
        </w:rPr>
        <w:t xml:space="preserve">and </w:t>
      </w:r>
      <w:r w:rsidRPr="00276C04">
        <w:rPr>
          <w:rFonts w:ascii="DIN OT Light" w:hAnsi="DIN OT Light"/>
        </w:rPr>
        <w:t>discourag</w:t>
      </w:r>
      <w:r>
        <w:rPr>
          <w:rFonts w:ascii="DIN OT Light" w:hAnsi="DIN OT Light"/>
        </w:rPr>
        <w:t>ing</w:t>
      </w:r>
      <w:r w:rsidRPr="00276C04">
        <w:rPr>
          <w:rFonts w:ascii="DIN OT Light" w:hAnsi="DIN OT Light"/>
        </w:rPr>
        <w:t xml:space="preserve"> consideration of other remuneration tools e.g. gateways and modifiers; </w:t>
      </w:r>
    </w:p>
    <w:p w14:paraId="44012397" w14:textId="77777777" w:rsidR="005E26F6" w:rsidRDefault="005E26F6" w:rsidP="005E26F6">
      <w:pPr>
        <w:pStyle w:val="ListParagraph"/>
        <w:numPr>
          <w:ilvl w:val="0"/>
          <w:numId w:val="10"/>
        </w:numPr>
        <w:rPr>
          <w:rFonts w:ascii="DIN OT Light" w:hAnsi="DIN OT Light"/>
        </w:rPr>
      </w:pPr>
      <w:r>
        <w:rPr>
          <w:rFonts w:ascii="DIN OT Light" w:hAnsi="DIN OT Light"/>
        </w:rPr>
        <w:t xml:space="preserve">APRA’s broader goal of encouraging active use of board discretion </w:t>
      </w:r>
      <w:r w:rsidR="00785993">
        <w:rPr>
          <w:rFonts w:ascii="DIN OT Light" w:hAnsi="DIN OT Light"/>
        </w:rPr>
        <w:t>could be undermined, potentially creating</w:t>
      </w:r>
      <w:r>
        <w:rPr>
          <w:rFonts w:ascii="DIN OT Light" w:hAnsi="DIN OT Light"/>
        </w:rPr>
        <w:t xml:space="preserve"> a compliance exercise in practice; and</w:t>
      </w:r>
    </w:p>
    <w:p w14:paraId="7ABF31C4" w14:textId="5CE7A387" w:rsidR="005E26F6" w:rsidRPr="00454D86" w:rsidRDefault="005E26F6" w:rsidP="005E26F6">
      <w:pPr>
        <w:pStyle w:val="ListParagraph"/>
        <w:numPr>
          <w:ilvl w:val="0"/>
          <w:numId w:val="10"/>
        </w:numPr>
        <w:rPr>
          <w:rFonts w:ascii="DIN OT Light" w:hAnsi="DIN OT Light"/>
        </w:rPr>
      </w:pPr>
      <w:r w:rsidRPr="00454D86">
        <w:rPr>
          <w:rFonts w:ascii="DIN OT Light" w:hAnsi="DIN OT Light"/>
        </w:rPr>
        <w:t xml:space="preserve">entities could still pay up to 50 </w:t>
      </w:r>
      <w:r>
        <w:rPr>
          <w:rFonts w:ascii="DIN OT Light" w:hAnsi="DIN OT Light"/>
        </w:rPr>
        <w:t xml:space="preserve">per cent of an award, </w:t>
      </w:r>
      <w:r w:rsidRPr="00454D86">
        <w:rPr>
          <w:rFonts w:ascii="DIN OT Light" w:hAnsi="DIN OT Light"/>
        </w:rPr>
        <w:t xml:space="preserve">even if non-financial </w:t>
      </w:r>
      <w:r w:rsidR="00305181">
        <w:rPr>
          <w:rFonts w:ascii="DIN OT Light" w:hAnsi="DIN OT Light"/>
        </w:rPr>
        <w:t>performance outcomes</w:t>
      </w:r>
      <w:r w:rsidRPr="00454D86">
        <w:rPr>
          <w:rFonts w:ascii="DIN OT Light" w:hAnsi="DIN OT Light"/>
        </w:rPr>
        <w:t xml:space="preserve"> </w:t>
      </w:r>
      <w:r w:rsidR="00D450FE">
        <w:rPr>
          <w:rFonts w:ascii="DIN OT Light" w:hAnsi="DIN OT Light"/>
        </w:rPr>
        <w:t>was</w:t>
      </w:r>
      <w:r w:rsidR="00D450FE" w:rsidRPr="00454D86">
        <w:rPr>
          <w:rFonts w:ascii="DIN OT Light" w:hAnsi="DIN OT Light"/>
        </w:rPr>
        <w:t xml:space="preserve"> </w:t>
      </w:r>
      <w:r w:rsidR="00CD13AC">
        <w:rPr>
          <w:rFonts w:ascii="DIN OT Light" w:hAnsi="DIN OT Light"/>
        </w:rPr>
        <w:t xml:space="preserve">significantly </w:t>
      </w:r>
      <w:r w:rsidRPr="00454D86">
        <w:rPr>
          <w:rFonts w:ascii="DIN OT Light" w:hAnsi="DIN OT Light"/>
        </w:rPr>
        <w:t>poor.</w:t>
      </w:r>
    </w:p>
    <w:bookmarkEnd w:id="23"/>
    <w:p w14:paraId="13E52B36" w14:textId="465A021A" w:rsidR="005E26F6" w:rsidRDefault="005E26F6" w:rsidP="005E26F6">
      <w:r>
        <w:lastRenderedPageBreak/>
        <w:t>A</w:t>
      </w:r>
      <w:r w:rsidR="0072350E">
        <w:t xml:space="preserve"> common </w:t>
      </w:r>
      <w:r>
        <w:t xml:space="preserve">critique was that </w:t>
      </w:r>
      <w:r w:rsidR="0072350E">
        <w:t>the proposal</w:t>
      </w:r>
      <w:r w:rsidR="0072350E" w:rsidRPr="00454D86">
        <w:t xml:space="preserve"> </w:t>
      </w:r>
      <w:r w:rsidRPr="00454D86">
        <w:t>place</w:t>
      </w:r>
      <w:r w:rsidR="005276DC">
        <w:t>d</w:t>
      </w:r>
      <w:r w:rsidRPr="00454D86">
        <w:t xml:space="preserve"> </w:t>
      </w:r>
      <w:r w:rsidR="001841DF">
        <w:t>excessive</w:t>
      </w:r>
      <w:r w:rsidRPr="00454D86">
        <w:t xml:space="preserve"> weight on non-financial measures</w:t>
      </w:r>
      <w:r w:rsidR="001841DF">
        <w:t xml:space="preserve"> at the expense of financial measures</w:t>
      </w:r>
      <w:r w:rsidRPr="00454D86">
        <w:t xml:space="preserve">. A number of industry participants </w:t>
      </w:r>
      <w:r w:rsidR="00785993">
        <w:t>cautioned</w:t>
      </w:r>
      <w:r w:rsidR="00785993" w:rsidRPr="00454D86">
        <w:t xml:space="preserve"> </w:t>
      </w:r>
      <w:r w:rsidRPr="00454D86">
        <w:t>that</w:t>
      </w:r>
      <w:r>
        <w:t>:</w:t>
      </w:r>
    </w:p>
    <w:p w14:paraId="59B76599" w14:textId="77777777" w:rsidR="005E26F6" w:rsidRPr="002F4807" w:rsidRDefault="005E26F6" w:rsidP="005E26F6">
      <w:pPr>
        <w:pStyle w:val="ListParagraph"/>
        <w:numPr>
          <w:ilvl w:val="0"/>
          <w:numId w:val="10"/>
        </w:numPr>
        <w:rPr>
          <w:rFonts w:ascii="DIN OT Light" w:hAnsi="DIN OT Light"/>
        </w:rPr>
      </w:pPr>
      <w:r w:rsidRPr="002F4807">
        <w:rPr>
          <w:rFonts w:ascii="DIN OT Light" w:hAnsi="DIN OT Light"/>
        </w:rPr>
        <w:t>there is a lack of maturity in the use of non-financial measures.</w:t>
      </w:r>
      <w:r w:rsidRPr="002F4807">
        <w:t xml:space="preserve"> </w:t>
      </w:r>
      <w:r>
        <w:rPr>
          <w:rFonts w:ascii="DIN OT Light" w:hAnsi="DIN OT Light"/>
        </w:rPr>
        <w:t>W</w:t>
      </w:r>
      <w:r w:rsidRPr="002F4807">
        <w:rPr>
          <w:rFonts w:ascii="DIN OT Light" w:hAnsi="DIN OT Light"/>
        </w:rPr>
        <w:t xml:space="preserve">ithout clarity on definitional issues there will be </w:t>
      </w:r>
      <w:r w:rsidR="00380D99">
        <w:rPr>
          <w:rFonts w:ascii="DIN OT Light" w:hAnsi="DIN OT Light"/>
        </w:rPr>
        <w:t>operational</w:t>
      </w:r>
      <w:r w:rsidRPr="002F4807">
        <w:rPr>
          <w:rFonts w:ascii="DIN OT Light" w:hAnsi="DIN OT Light"/>
        </w:rPr>
        <w:t xml:space="preserve"> </w:t>
      </w:r>
      <w:r w:rsidR="00380D99">
        <w:rPr>
          <w:rFonts w:ascii="DIN OT Light" w:hAnsi="DIN OT Light"/>
        </w:rPr>
        <w:t>inconsistencies</w:t>
      </w:r>
      <w:r w:rsidRPr="002F4807">
        <w:rPr>
          <w:rFonts w:ascii="DIN OT Light" w:hAnsi="DIN OT Light"/>
        </w:rPr>
        <w:t>;</w:t>
      </w:r>
    </w:p>
    <w:p w14:paraId="6BC17426" w14:textId="1FD7994B" w:rsidR="005E26F6" w:rsidRPr="006F5243" w:rsidRDefault="005E26F6" w:rsidP="005E26F6">
      <w:pPr>
        <w:pStyle w:val="ListParagraph"/>
        <w:numPr>
          <w:ilvl w:val="0"/>
          <w:numId w:val="10"/>
        </w:numPr>
        <w:rPr>
          <w:rFonts w:ascii="DIN OT Light" w:hAnsi="DIN OT Light"/>
        </w:rPr>
      </w:pPr>
      <w:r w:rsidRPr="006F5243">
        <w:rPr>
          <w:rFonts w:ascii="DIN OT Light" w:hAnsi="DIN OT Light"/>
        </w:rPr>
        <w:t>in comparison to financial</w:t>
      </w:r>
      <w:r w:rsidR="00D450FE">
        <w:rPr>
          <w:rFonts w:ascii="DIN OT Light" w:hAnsi="DIN OT Light"/>
        </w:rPr>
        <w:t xml:space="preserve"> </w:t>
      </w:r>
      <w:r w:rsidRPr="006F5243">
        <w:rPr>
          <w:rFonts w:ascii="DIN OT Light" w:hAnsi="DIN OT Light"/>
        </w:rPr>
        <w:t xml:space="preserve">performance measures, non-financial measures may not be </w:t>
      </w:r>
      <w:r w:rsidR="0086417C">
        <w:rPr>
          <w:rFonts w:ascii="DIN OT Light" w:hAnsi="DIN OT Light"/>
        </w:rPr>
        <w:t xml:space="preserve">as </w:t>
      </w:r>
      <w:r w:rsidRPr="006F5243">
        <w:rPr>
          <w:rFonts w:ascii="DIN OT Light" w:hAnsi="DIN OT Light"/>
        </w:rPr>
        <w:t>reliable, verifiable</w:t>
      </w:r>
      <w:r w:rsidR="0086417C">
        <w:rPr>
          <w:rFonts w:ascii="DIN OT Light" w:hAnsi="DIN OT Light"/>
        </w:rPr>
        <w:t xml:space="preserve"> and</w:t>
      </w:r>
      <w:r>
        <w:rPr>
          <w:rFonts w:ascii="DIN OT Light" w:hAnsi="DIN OT Light"/>
        </w:rPr>
        <w:t xml:space="preserve"> </w:t>
      </w:r>
      <w:r w:rsidRPr="006F5243">
        <w:rPr>
          <w:rFonts w:ascii="DIN OT Light" w:hAnsi="DIN OT Light"/>
        </w:rPr>
        <w:t xml:space="preserve">transparent; and </w:t>
      </w:r>
    </w:p>
    <w:p w14:paraId="7791C046" w14:textId="77777777" w:rsidR="005E26F6" w:rsidRPr="006F5243" w:rsidRDefault="005E26F6" w:rsidP="005E26F6">
      <w:pPr>
        <w:pStyle w:val="ListParagraph"/>
        <w:numPr>
          <w:ilvl w:val="0"/>
          <w:numId w:val="10"/>
        </w:numPr>
        <w:rPr>
          <w:rFonts w:ascii="DIN OT Light" w:hAnsi="DIN OT Light"/>
        </w:rPr>
      </w:pPr>
      <w:r>
        <w:rPr>
          <w:rFonts w:ascii="DIN OT Light" w:hAnsi="DIN OT Light"/>
        </w:rPr>
        <w:t>when the above is</w:t>
      </w:r>
      <w:r w:rsidRPr="00A71CC5">
        <w:rPr>
          <w:rFonts w:ascii="DIN OT Light" w:hAnsi="DIN OT Light"/>
        </w:rPr>
        <w:t xml:space="preserve"> coupled with entity discretion</w:t>
      </w:r>
      <w:r w:rsidR="00E43560">
        <w:rPr>
          <w:rFonts w:ascii="DIN OT Light" w:hAnsi="DIN OT Light"/>
        </w:rPr>
        <w:t xml:space="preserve"> on choice of metrics</w:t>
      </w:r>
      <w:r>
        <w:rPr>
          <w:rFonts w:ascii="DIN OT Light" w:hAnsi="DIN OT Light"/>
        </w:rPr>
        <w:t>,</w:t>
      </w:r>
      <w:r w:rsidRPr="00A71CC5">
        <w:rPr>
          <w:rFonts w:ascii="DIN OT Light" w:hAnsi="DIN OT Light"/>
        </w:rPr>
        <w:t xml:space="preserve"> </w:t>
      </w:r>
      <w:r w:rsidRPr="006F5243">
        <w:rPr>
          <w:rFonts w:ascii="DIN OT Light" w:hAnsi="DIN OT Light"/>
        </w:rPr>
        <w:t xml:space="preserve">inappropriate non-financial measures not </w:t>
      </w:r>
      <w:r>
        <w:rPr>
          <w:rFonts w:ascii="DIN OT Light" w:hAnsi="DIN OT Light"/>
        </w:rPr>
        <w:t>related to risk will</w:t>
      </w:r>
      <w:r w:rsidRPr="00A71CC5">
        <w:rPr>
          <w:rFonts w:ascii="DIN OT Light" w:hAnsi="DIN OT Light"/>
        </w:rPr>
        <w:t xml:space="preserve"> lead to poor design and misaligned outcomes</w:t>
      </w:r>
      <w:r w:rsidRPr="006F5243">
        <w:rPr>
          <w:rFonts w:ascii="DIN OT Light" w:hAnsi="DIN OT Light"/>
        </w:rPr>
        <w:t xml:space="preserve">. </w:t>
      </w:r>
    </w:p>
    <w:p w14:paraId="2D8A41FB" w14:textId="6B30A688" w:rsidR="005E26F6" w:rsidRDefault="003302E8" w:rsidP="005E26F6">
      <w:r>
        <w:t>On the other hand, some submissions suggested ways to support APRA’s objective of increased focus on non-financial risks in variable remuneration.</w:t>
      </w:r>
      <w:r w:rsidRPr="003302E8">
        <w:t xml:space="preserve"> </w:t>
      </w:r>
      <w:r>
        <w:t xml:space="preserve">A number of stakeholders emphasised the importance of market discipline, suggesting that APRA implement tougher public disclosure requirements </w:t>
      </w:r>
      <w:r w:rsidR="0086417C">
        <w:t>for</w:t>
      </w:r>
      <w:r w:rsidR="005E26F6">
        <w:t xml:space="preserve"> non-financial measures that focused on the rationale for the measure, the target set for performance assessment, and how it best suits the operations of the entity. </w:t>
      </w:r>
    </w:p>
    <w:p w14:paraId="2C11FA19" w14:textId="77777777" w:rsidR="008B23B7" w:rsidRDefault="001A41E1" w:rsidP="00DE05FF">
      <w:pPr>
        <w:pStyle w:val="Heading2Numbers"/>
        <w:numPr>
          <w:ilvl w:val="1"/>
          <w:numId w:val="41"/>
        </w:numPr>
        <w:ind w:left="851"/>
      </w:pPr>
      <w:r>
        <w:t>APRA’s response - r</w:t>
      </w:r>
      <w:r w:rsidR="008B23B7">
        <w:t xml:space="preserve">evised proposal </w:t>
      </w:r>
    </w:p>
    <w:p w14:paraId="48B46899" w14:textId="5AFA8F2C" w:rsidR="00583ED9" w:rsidRDefault="005E0919" w:rsidP="00583ED9">
      <w:r>
        <w:t xml:space="preserve">APRA has revised its approach and now proposes to limit the use of financial measures in a broader </w:t>
      </w:r>
      <w:r w:rsidR="00DF31F0">
        <w:t xml:space="preserve">and </w:t>
      </w:r>
      <w:r>
        <w:t xml:space="preserve">stronger way. </w:t>
      </w:r>
      <w:r w:rsidR="001A41E1">
        <w:t xml:space="preserve">APRA carefully considered industry’s concerns particularly in light of Commissioner Hayne’s comment that the optimal balance will be a process of trial and error and, as such, different for each organisation and at each staff level. </w:t>
      </w:r>
    </w:p>
    <w:p w14:paraId="410EC09A" w14:textId="0DBEF3F9" w:rsidR="008E29E1" w:rsidRDefault="008E29E1" w:rsidP="008E29E1">
      <w:pPr>
        <w:pStyle w:val="Heading5"/>
      </w:pPr>
      <w:r>
        <w:t>Limiting the use of financial measures</w:t>
      </w:r>
    </w:p>
    <w:p w14:paraId="38AA78EE" w14:textId="033458B0" w:rsidR="005E26F6" w:rsidRPr="003C0075" w:rsidRDefault="005E26F6" w:rsidP="005E26F6">
      <w:r>
        <w:t xml:space="preserve">APRA has </w:t>
      </w:r>
      <w:r w:rsidR="00383687">
        <w:t>reverted</w:t>
      </w:r>
      <w:r>
        <w:t xml:space="preserve"> to first principles and reframed the problem. </w:t>
      </w:r>
      <w:r w:rsidR="00D20E28" w:rsidRPr="00D20E28">
        <w:t xml:space="preserve">APRA recognises that a hard limit </w:t>
      </w:r>
      <w:r w:rsidR="005720E8">
        <w:t>on</w:t>
      </w:r>
      <w:r w:rsidR="00D20E28" w:rsidRPr="00D20E28">
        <w:t xml:space="preserve"> performance measures </w:t>
      </w:r>
      <w:r w:rsidR="005720E8">
        <w:t>embeds scorecards as</w:t>
      </w:r>
      <w:r w:rsidR="00D20E28" w:rsidRPr="00D20E28">
        <w:t xml:space="preserve"> the sole means </w:t>
      </w:r>
      <w:r w:rsidR="00AB1537">
        <w:t>to determine</w:t>
      </w:r>
      <w:r w:rsidR="005720E8">
        <w:t xml:space="preserve"> </w:t>
      </w:r>
      <w:r w:rsidR="00D20E28" w:rsidRPr="00D20E28">
        <w:t>remuneration outcome</w:t>
      </w:r>
      <w:r w:rsidR="005720E8">
        <w:t>s</w:t>
      </w:r>
      <w:r w:rsidR="00D20E28" w:rsidRPr="00D20E28">
        <w:t xml:space="preserve">. </w:t>
      </w:r>
      <w:r w:rsidR="00D20E28" w:rsidRPr="008C090E">
        <w:t>A principles-based approach provides for flexibility</w:t>
      </w:r>
      <w:r w:rsidR="008C090E">
        <w:t xml:space="preserve"> to accommodate various remuneration structures while still requiring entities to demonstrate they are </w:t>
      </w:r>
      <w:r w:rsidR="00AB1537">
        <w:t>giving material weight to</w:t>
      </w:r>
      <w:r w:rsidR="008C090E">
        <w:t xml:space="preserve"> non-financial risks</w:t>
      </w:r>
      <w:r w:rsidR="00D20E28" w:rsidRPr="008C090E">
        <w:t>.</w:t>
      </w:r>
    </w:p>
    <w:p w14:paraId="7EEE2763" w14:textId="77777777" w:rsidR="00DE2226" w:rsidRDefault="00DE2226" w:rsidP="004B4B71">
      <w:pPr>
        <w:pStyle w:val="Heading5"/>
      </w:pPr>
      <w:r>
        <w:t>Revised proposal</w:t>
      </w:r>
    </w:p>
    <w:p w14:paraId="1169F482" w14:textId="77777777" w:rsidR="005E26F6" w:rsidRDefault="005E26F6" w:rsidP="005E26F6">
      <w:r>
        <w:t xml:space="preserve">APRA proposes that </w:t>
      </w:r>
      <w:r w:rsidRPr="0091270D">
        <w:t>each component of a</w:t>
      </w:r>
      <w:r>
        <w:t xml:space="preserve"> person’s variable remuneration: </w:t>
      </w:r>
    </w:p>
    <w:p w14:paraId="28D5D64D" w14:textId="77777777" w:rsidR="005E26F6" w:rsidRPr="00934D18" w:rsidRDefault="005E26F6" w:rsidP="005E26F6">
      <w:pPr>
        <w:pStyle w:val="ListBullet"/>
        <w:numPr>
          <w:ilvl w:val="0"/>
          <w:numId w:val="5"/>
        </w:numPr>
        <w:rPr>
          <w:bCs/>
          <w:iCs/>
        </w:rPr>
      </w:pPr>
      <w:r w:rsidRPr="00934D18">
        <w:rPr>
          <w:bCs/>
          <w:iCs/>
        </w:rPr>
        <w:t xml:space="preserve">give material weight to non-financial measures, where the remuneration is performance related; and </w:t>
      </w:r>
    </w:p>
    <w:p w14:paraId="2E8B0EDB" w14:textId="77777777" w:rsidR="005E26F6" w:rsidRPr="00CB2F5F" w:rsidRDefault="005E26F6" w:rsidP="005E26F6">
      <w:pPr>
        <w:pStyle w:val="ListBullet"/>
        <w:numPr>
          <w:ilvl w:val="0"/>
          <w:numId w:val="5"/>
        </w:numPr>
        <w:rPr>
          <w:bCs/>
          <w:iCs/>
        </w:rPr>
      </w:pPr>
      <w:r w:rsidRPr="00CB2F5F">
        <w:rPr>
          <w:bCs/>
          <w:iCs/>
        </w:rPr>
        <w:lastRenderedPageBreak/>
        <w:t xml:space="preserve">be adjusted, potentially to nil, </w:t>
      </w:r>
      <w:r w:rsidR="00D10E97">
        <w:rPr>
          <w:bCs/>
          <w:iCs/>
        </w:rPr>
        <w:t>for</w:t>
      </w:r>
      <w:r w:rsidRPr="00CB2F5F">
        <w:rPr>
          <w:bCs/>
          <w:iCs/>
        </w:rPr>
        <w:t xml:space="preserve"> adverse risk </w:t>
      </w:r>
      <w:r w:rsidR="00D10E97">
        <w:rPr>
          <w:bCs/>
          <w:iCs/>
        </w:rPr>
        <w:t xml:space="preserve">and conduct </w:t>
      </w:r>
      <w:r w:rsidRPr="00CB2F5F">
        <w:rPr>
          <w:bCs/>
          <w:iCs/>
        </w:rPr>
        <w:t>outcomes</w:t>
      </w:r>
      <w:r w:rsidR="00D10E97">
        <w:rPr>
          <w:bCs/>
          <w:iCs/>
        </w:rPr>
        <w:t>,</w:t>
      </w:r>
      <w:r w:rsidR="00D10E97" w:rsidRPr="00D10E97">
        <w:rPr>
          <w:bCs/>
          <w:iCs/>
        </w:rPr>
        <w:t xml:space="preserve"> </w:t>
      </w:r>
      <w:r w:rsidR="00D10E97" w:rsidRPr="00CB2F5F">
        <w:rPr>
          <w:bCs/>
          <w:iCs/>
        </w:rPr>
        <w:t xml:space="preserve">based on </w:t>
      </w:r>
      <w:r w:rsidR="00D10E97">
        <w:rPr>
          <w:bCs/>
          <w:iCs/>
        </w:rPr>
        <w:t>clearly identified risk criteria</w:t>
      </w:r>
      <w:r w:rsidRPr="00CB2F5F">
        <w:rPr>
          <w:bCs/>
          <w:iCs/>
        </w:rPr>
        <w:t>.</w:t>
      </w:r>
    </w:p>
    <w:p w14:paraId="562EC814" w14:textId="17DE78B5" w:rsidR="0035761C" w:rsidRDefault="0035761C" w:rsidP="005E26F6">
      <w:r>
        <w:t>A</w:t>
      </w:r>
      <w:r w:rsidRPr="008C090E">
        <w:t>t the individual level, an adjustment for adverse risk and conduct outcomes alone would not satisfy the need to give material weight to non-financial measures</w:t>
      </w:r>
      <w:r>
        <w:t>.</w:t>
      </w:r>
      <w:r w:rsidRPr="003C0075">
        <w:t xml:space="preserve"> </w:t>
      </w:r>
    </w:p>
    <w:p w14:paraId="27C5BAF5" w14:textId="41F413FA" w:rsidR="005E26F6" w:rsidRDefault="005720E8" w:rsidP="005E26F6">
      <w:r w:rsidRPr="003C0075">
        <w:t xml:space="preserve">Current industry practice in balancing financial and non-financial risks has not </w:t>
      </w:r>
      <w:r>
        <w:t>gone far enough</w:t>
      </w:r>
      <w:r w:rsidRPr="003C0075">
        <w:t xml:space="preserve">. </w:t>
      </w:r>
      <w:r>
        <w:t xml:space="preserve">While </w:t>
      </w:r>
      <w:r w:rsidRPr="003C0075">
        <w:t>APRA has observed</w:t>
      </w:r>
      <w:r w:rsidR="00D20E28" w:rsidRPr="00D20E28">
        <w:t xml:space="preserve"> the </w:t>
      </w:r>
      <w:r w:rsidRPr="003C0075">
        <w:t>considera</w:t>
      </w:r>
      <w:r>
        <w:t xml:space="preserve">tion of non-financial risks </w:t>
      </w:r>
      <w:r w:rsidRPr="003C0075">
        <w:t>in</w:t>
      </w:r>
      <w:r w:rsidR="00D20E28" w:rsidRPr="00D20E28">
        <w:t xml:space="preserve"> remuneration </w:t>
      </w:r>
      <w:r w:rsidRPr="003C0075">
        <w:t>design</w:t>
      </w:r>
      <w:r>
        <w:t>,</w:t>
      </w:r>
      <w:r w:rsidRPr="003C0075">
        <w:t xml:space="preserve"> it is not standard practice </w:t>
      </w:r>
      <w:r>
        <w:t xml:space="preserve">and </w:t>
      </w:r>
      <w:r w:rsidRPr="003C0075">
        <w:t>there is inconsisten</w:t>
      </w:r>
      <w:r>
        <w:t>t</w:t>
      </w:r>
      <w:r w:rsidRPr="003C0075">
        <w:t xml:space="preserve"> implement</w:t>
      </w:r>
      <w:r>
        <w:t>ation</w:t>
      </w:r>
      <w:r w:rsidRPr="003C0075">
        <w:t>.</w:t>
      </w:r>
      <w:r w:rsidR="00D20E28" w:rsidRPr="00D20E28">
        <w:t xml:space="preserve"> Industry must strengthen the way they adjust variable remuneration. An entity must, at the individual level, apply non-financial measures and then bolster the outcome by enforcing accountability for poor risk and conduct. The revised proposal provides for stronger outcomes, but </w:t>
      </w:r>
      <w:bookmarkStart w:id="24" w:name="_Hlk55555873"/>
      <w:r w:rsidR="00D20E28" w:rsidRPr="00D20E28">
        <w:t xml:space="preserve">allows increased flexibility for entities to meet the requirement in a way that accommodates their remuneration models and best suits their particular risks and circumstances. </w:t>
      </w:r>
    </w:p>
    <w:bookmarkEnd w:id="24"/>
    <w:p w14:paraId="67A202D9" w14:textId="77777777" w:rsidR="003C0075" w:rsidRDefault="003C0075" w:rsidP="003C0075">
      <w:pPr>
        <w:pStyle w:val="Heading5"/>
      </w:pPr>
      <w:r>
        <w:t>Material weight to non-financial measures</w:t>
      </w:r>
    </w:p>
    <w:p w14:paraId="2A92C01F" w14:textId="6D3E0AA4" w:rsidR="001D198A" w:rsidRPr="00D20E28" w:rsidRDefault="00D20E28" w:rsidP="00D20E28">
      <w:r w:rsidRPr="00D20E28">
        <w:t>Under revised CPS 511, an entity must give material weight to non-financial considerations where performance measures exist. This must apply to each component of an individual’s variable remuneration, or each incentive plan. Entities that have adopted non-financial measures in short-term incentive (STI) plans will now be required to incorporate non-financial measures in long-term incentive (LTI) plans as well</w:t>
      </w:r>
      <w:r w:rsidR="00747FB3" w:rsidRPr="00D20E28">
        <w:t>.</w:t>
      </w:r>
    </w:p>
    <w:p w14:paraId="0B776613" w14:textId="1A1435CC" w:rsidR="00747FB3" w:rsidRDefault="00112F10" w:rsidP="00112F10">
      <w:r>
        <w:t>A</w:t>
      </w:r>
      <w:r w:rsidRPr="00EF13FB">
        <w:t xml:space="preserve">n entity that </w:t>
      </w:r>
      <w:r w:rsidR="00433898">
        <w:t xml:space="preserve">currently </w:t>
      </w:r>
      <w:r w:rsidRPr="00EF13FB">
        <w:t>predominantly relie</w:t>
      </w:r>
      <w:r w:rsidR="00433898">
        <w:t>s</w:t>
      </w:r>
      <w:r w:rsidRPr="00EF13FB">
        <w:t xml:space="preserve"> on financial measures to determine the entity-</w:t>
      </w:r>
      <w:r w:rsidRPr="005B7F16">
        <w:t xml:space="preserve">wide </w:t>
      </w:r>
      <w:r w:rsidRPr="002B3819">
        <w:t xml:space="preserve">bonus pool, </w:t>
      </w:r>
      <w:r>
        <w:t xml:space="preserve">allocate the pool to </w:t>
      </w:r>
      <w:r w:rsidRPr="002B3819">
        <w:t>business</w:t>
      </w:r>
      <w:r w:rsidR="003E6487">
        <w:t xml:space="preserve"> </w:t>
      </w:r>
      <w:r w:rsidRPr="002B3819">
        <w:t>unit</w:t>
      </w:r>
      <w:r>
        <w:t>s,</w:t>
      </w:r>
      <w:r w:rsidRPr="002B3819">
        <w:t xml:space="preserve"> or in an individual’s scorecard,</w:t>
      </w:r>
      <w:r>
        <w:t xml:space="preserve"> </w:t>
      </w:r>
      <w:r w:rsidRPr="00EF13FB">
        <w:t xml:space="preserve">must now </w:t>
      </w:r>
      <w:r w:rsidR="00A03887">
        <w:t>adopt non-financi</w:t>
      </w:r>
      <w:r>
        <w:t xml:space="preserve">al measures </w:t>
      </w:r>
      <w:r w:rsidR="00BC3D53">
        <w:t>in a way that ensures</w:t>
      </w:r>
      <w:r w:rsidR="00A03887">
        <w:t xml:space="preserve"> the individual’s varia</w:t>
      </w:r>
      <w:r w:rsidR="00A43EC1">
        <w:t>ble remu</w:t>
      </w:r>
      <w:r w:rsidR="00A03887">
        <w:t>n</w:t>
      </w:r>
      <w:r w:rsidR="00A43EC1">
        <w:t>er</w:t>
      </w:r>
      <w:r w:rsidR="00A03887">
        <w:t>ation</w:t>
      </w:r>
      <w:r w:rsidR="00BC3D53">
        <w:t xml:space="preserve"> gives mat</w:t>
      </w:r>
      <w:r w:rsidR="00A03887">
        <w:t>er</w:t>
      </w:r>
      <w:r w:rsidR="00BC3D53">
        <w:t>i</w:t>
      </w:r>
      <w:r w:rsidR="00A03887">
        <w:t>al weight to non-financial considerations</w:t>
      </w:r>
      <w:r>
        <w:t>.</w:t>
      </w:r>
      <w:r w:rsidRPr="002B3819">
        <w:t xml:space="preserve"> </w:t>
      </w:r>
      <w:r w:rsidR="00747FB3">
        <w:t xml:space="preserve">Entities may also consider how they need to tailor non-financial measures to staff at different levels and in different divisions. </w:t>
      </w:r>
    </w:p>
    <w:p w14:paraId="2F90C128" w14:textId="7E256518" w:rsidR="00112F10" w:rsidRDefault="00CB4CDE" w:rsidP="00072820">
      <w:pPr>
        <w:pStyle w:val="CommentText"/>
      </w:pPr>
      <w:r>
        <w:t>I</w:t>
      </w:r>
      <w:r w:rsidR="00072820">
        <w:t xml:space="preserve">ndustry has sought greater clarity on non-financial measures and </w:t>
      </w:r>
      <w:r>
        <w:t xml:space="preserve">APRA </w:t>
      </w:r>
      <w:r w:rsidR="00072820">
        <w:t>plans to develop a framework to help entities to determine appropriate measures in a new CPG 511. Revised CPS 511 also provides clarity on the definition of financial measures.</w:t>
      </w:r>
    </w:p>
    <w:p w14:paraId="5F4EE33C" w14:textId="77777777" w:rsidR="005003B1" w:rsidRPr="005003B1" w:rsidRDefault="005003B1" w:rsidP="005003B1">
      <w:pPr>
        <w:pStyle w:val="Heading5"/>
      </w:pPr>
      <w:r>
        <w:t>A</w:t>
      </w:r>
      <w:r w:rsidRPr="005003B1">
        <w:t xml:space="preserve">djustment for adverse risk </w:t>
      </w:r>
      <w:r w:rsidR="00BC3D53">
        <w:t xml:space="preserve">and conduct </w:t>
      </w:r>
      <w:r w:rsidRPr="005003B1">
        <w:t>outcomes</w:t>
      </w:r>
    </w:p>
    <w:p w14:paraId="53AF52EC" w14:textId="00711A61" w:rsidR="0035761C" w:rsidRDefault="005E1388" w:rsidP="005E26F6">
      <w:pPr>
        <w:pStyle w:val="CommentText"/>
      </w:pPr>
      <w:r>
        <w:t>To</w:t>
      </w:r>
      <w:r w:rsidDel="00383687">
        <w:t xml:space="preserve"> </w:t>
      </w:r>
      <w:r>
        <w:t>reinforce the focus on non-financial measures, entities will be required to</w:t>
      </w:r>
      <w:r w:rsidRPr="007045D2">
        <w:t xml:space="preserve"> </w:t>
      </w:r>
      <w:r w:rsidR="005E26F6" w:rsidRPr="007045D2">
        <w:t xml:space="preserve">adjust </w:t>
      </w:r>
      <w:r w:rsidR="00342396">
        <w:t xml:space="preserve">variable remuneration </w:t>
      </w:r>
      <w:r w:rsidR="005E26F6" w:rsidRPr="007045D2">
        <w:t xml:space="preserve">for adverse risk </w:t>
      </w:r>
      <w:r w:rsidR="00BC3D53">
        <w:t xml:space="preserve">and conduct </w:t>
      </w:r>
      <w:r w:rsidR="005E26F6" w:rsidRPr="007045D2">
        <w:t xml:space="preserve">outcomes. </w:t>
      </w:r>
      <w:r w:rsidR="00976B47" w:rsidRPr="00740DD9">
        <w:t>APRA anticipates that most entities will design</w:t>
      </w:r>
      <w:r w:rsidR="00976B47" w:rsidRPr="007045D2">
        <w:t xml:space="preserve"> a </w:t>
      </w:r>
      <w:r w:rsidR="00976B47" w:rsidRPr="00740DD9">
        <w:t xml:space="preserve">risk and conduct </w:t>
      </w:r>
      <w:r w:rsidR="00976B47" w:rsidRPr="007045D2">
        <w:t xml:space="preserve">modifier </w:t>
      </w:r>
      <w:r w:rsidR="00976B47">
        <w:t>to meet the requirement</w:t>
      </w:r>
      <w:r w:rsidR="00976B47" w:rsidRPr="007045D2">
        <w:t>.</w:t>
      </w:r>
      <w:r w:rsidR="00976B47" w:rsidRPr="007045D2" w:rsidDel="00AD1811">
        <w:t xml:space="preserve"> </w:t>
      </w:r>
      <w:r>
        <w:t xml:space="preserve">Under </w:t>
      </w:r>
      <w:r w:rsidR="007C245C">
        <w:t>the revised proposal</w:t>
      </w:r>
      <w:r>
        <w:t>,</w:t>
      </w:r>
      <w:r w:rsidR="005E26F6" w:rsidRPr="007045D2">
        <w:t xml:space="preserve"> </w:t>
      </w:r>
      <w:r w:rsidR="005E26F6">
        <w:t>an</w:t>
      </w:r>
      <w:r w:rsidR="005E26F6" w:rsidRPr="007045D2">
        <w:t xml:space="preserve"> entity </w:t>
      </w:r>
      <w:r>
        <w:t xml:space="preserve">would be </w:t>
      </w:r>
      <w:r w:rsidR="005E26F6">
        <w:t>expected to</w:t>
      </w:r>
      <w:r w:rsidR="005E26F6" w:rsidRPr="007045D2">
        <w:t xml:space="preserve"> scale </w:t>
      </w:r>
      <w:r w:rsidR="00342396">
        <w:t xml:space="preserve">variable </w:t>
      </w:r>
      <w:r w:rsidR="00342396">
        <w:lastRenderedPageBreak/>
        <w:t>remuneration, including potentially to zero</w:t>
      </w:r>
      <w:r w:rsidR="00572DFC">
        <w:t>,</w:t>
      </w:r>
      <w:r w:rsidR="00342396">
        <w:t xml:space="preserve"> for </w:t>
      </w:r>
      <w:r w:rsidR="008E2824">
        <w:t>known</w:t>
      </w:r>
      <w:r w:rsidR="005E26F6" w:rsidRPr="007045D2">
        <w:t xml:space="preserve"> risk </w:t>
      </w:r>
      <w:r w:rsidR="005E26F6">
        <w:t xml:space="preserve">and conduct </w:t>
      </w:r>
      <w:r w:rsidR="008E2824">
        <w:t>incidents</w:t>
      </w:r>
      <w:r w:rsidR="005C2DEA" w:rsidRPr="007045D2" w:rsidDel="00AD1811">
        <w:t>.</w:t>
      </w:r>
      <w:r w:rsidR="005C2DEA">
        <w:t xml:space="preserve"> </w:t>
      </w:r>
      <w:r w:rsidR="0035761C">
        <w:t xml:space="preserve">APRA expects this would occur following assessment </w:t>
      </w:r>
      <w:r w:rsidR="0035761C" w:rsidRPr="008C090E">
        <w:t>of performance for a STI</w:t>
      </w:r>
      <w:r w:rsidR="00522816">
        <w:t>,</w:t>
      </w:r>
      <w:r w:rsidR="0035761C" w:rsidRPr="008C090E">
        <w:t xml:space="preserve"> and prior to the grant being made for an LTI</w:t>
      </w:r>
      <w:r w:rsidR="0035761C">
        <w:t xml:space="preserve">. </w:t>
      </w:r>
      <w:r w:rsidR="0035761C" w:rsidRPr="008C090E">
        <w:t xml:space="preserve"> </w:t>
      </w:r>
    </w:p>
    <w:p w14:paraId="244B3DED" w14:textId="42FDFC46" w:rsidR="005E26F6" w:rsidRPr="007045D2" w:rsidDel="00AD1811" w:rsidRDefault="00E00B82" w:rsidP="005E26F6">
      <w:pPr>
        <w:pStyle w:val="CommentText"/>
      </w:pPr>
      <w:r>
        <w:rPr>
          <w:bCs/>
          <w:iCs/>
        </w:rPr>
        <w:t>Many e</w:t>
      </w:r>
      <w:r w:rsidR="00976B47" w:rsidRPr="007045D2" w:rsidDel="00AD1811">
        <w:t xml:space="preserve">ntities already use </w:t>
      </w:r>
      <w:r w:rsidR="00976B47" w:rsidRPr="007045D2">
        <w:t>modifiers</w:t>
      </w:r>
      <w:r w:rsidR="0010414B">
        <w:t xml:space="preserve"> but in some cases these are limited to </w:t>
      </w:r>
      <w:r w:rsidR="00E87705">
        <w:t xml:space="preserve">financial modifiers or </w:t>
      </w:r>
      <w:r w:rsidR="0010414B">
        <w:t xml:space="preserve">purely based on </w:t>
      </w:r>
      <w:r w:rsidR="00E87705">
        <w:t xml:space="preserve">discretion. </w:t>
      </w:r>
      <w:r w:rsidR="0010414B">
        <w:t xml:space="preserve">To meet </w:t>
      </w:r>
      <w:r w:rsidR="008C697E">
        <w:t>APRA’s</w:t>
      </w:r>
      <w:r w:rsidR="0010414B">
        <w:t xml:space="preserve"> requirement, </w:t>
      </w:r>
      <w:r w:rsidR="008C697E">
        <w:t>many of these entities will</w:t>
      </w:r>
      <w:r w:rsidR="0010414B">
        <w:t xml:space="preserve"> need to </w:t>
      </w:r>
      <w:r w:rsidR="008C697E">
        <w:t>strengthen their approach to more robustly apply modifiers.</w:t>
      </w:r>
      <w:r w:rsidR="0010414B">
        <w:t xml:space="preserve"> </w:t>
      </w:r>
    </w:p>
    <w:p w14:paraId="79F59916" w14:textId="3F4C9F43" w:rsidR="005607F9" w:rsidRDefault="005607F9" w:rsidP="005607F9">
      <w:pPr>
        <w:pStyle w:val="Heading5"/>
      </w:pPr>
      <w:r>
        <w:t xml:space="preserve">Royal Commission recommendation 5.3 </w:t>
      </w:r>
    </w:p>
    <w:p w14:paraId="13F5A53A" w14:textId="48078E82" w:rsidR="005607F9" w:rsidRDefault="005607F9" w:rsidP="005607F9">
      <w:r>
        <w:t xml:space="preserve">The revised proposal will limit the use of financial metrics used for </w:t>
      </w:r>
      <w:r w:rsidR="005E1388">
        <w:t>STI and LTI</w:t>
      </w:r>
      <w:r w:rsidR="00D46D4E">
        <w:t xml:space="preserve"> plans</w:t>
      </w:r>
      <w:r>
        <w:t>. At present, LTI</w:t>
      </w:r>
      <w:r w:rsidR="00D46D4E">
        <w:t xml:space="preserve"> plans</w:t>
      </w:r>
      <w:r>
        <w:t xml:space="preserve"> are commonly solely based on total shareholder return (TSR) and return on equity (ROE). Under this revised proposal, an entity </w:t>
      </w:r>
      <w:r>
        <w:rPr>
          <w:rFonts w:cs="Arial"/>
          <w:lang w:eastAsia="en-AU"/>
        </w:rPr>
        <w:t xml:space="preserve">can no longer </w:t>
      </w:r>
      <w:r w:rsidR="00C70AD4">
        <w:rPr>
          <w:rFonts w:cs="Arial"/>
          <w:lang w:eastAsia="en-AU"/>
        </w:rPr>
        <w:t>rely on</w:t>
      </w:r>
      <w:r w:rsidRPr="00BA385F">
        <w:t xml:space="preserve"> </w:t>
      </w:r>
      <w:r w:rsidR="00D46D4E">
        <w:t>these measures</w:t>
      </w:r>
      <w:r>
        <w:t xml:space="preserve"> and must give material consideration to non-financial measures </w:t>
      </w:r>
      <w:r w:rsidRPr="00942E6F">
        <w:rPr>
          <w:rFonts w:cs="Arial"/>
          <w:lang w:eastAsia="en-AU"/>
        </w:rPr>
        <w:t>in</w:t>
      </w:r>
      <w:r>
        <w:rPr>
          <w:rFonts w:cs="Arial"/>
          <w:lang w:eastAsia="en-AU"/>
        </w:rPr>
        <w:t xml:space="preserve"> the </w:t>
      </w:r>
      <w:r w:rsidRPr="00942E6F">
        <w:rPr>
          <w:rFonts w:cs="Arial"/>
          <w:lang w:eastAsia="en-AU"/>
        </w:rPr>
        <w:t>design and outcome</w:t>
      </w:r>
      <w:r>
        <w:rPr>
          <w:rFonts w:cs="Arial"/>
          <w:lang w:eastAsia="en-AU"/>
        </w:rPr>
        <w:t xml:space="preserve"> of LTI </w:t>
      </w:r>
      <w:r w:rsidRPr="00942E6F">
        <w:rPr>
          <w:rFonts w:cs="Arial"/>
          <w:lang w:eastAsia="en-AU"/>
        </w:rPr>
        <w:t>awards</w:t>
      </w:r>
      <w:r>
        <w:rPr>
          <w:rFonts w:cs="Arial"/>
          <w:lang w:eastAsia="en-AU"/>
        </w:rPr>
        <w:t xml:space="preserve">. The adjustment for adverse risk </w:t>
      </w:r>
      <w:r w:rsidRPr="005E777D">
        <w:rPr>
          <w:rFonts w:cs="Arial"/>
          <w:lang w:eastAsia="en-AU"/>
        </w:rPr>
        <w:t xml:space="preserve">and conduct </w:t>
      </w:r>
      <w:r>
        <w:rPr>
          <w:rFonts w:cs="Arial"/>
          <w:lang w:eastAsia="en-AU"/>
        </w:rPr>
        <w:t xml:space="preserve">outcomes is a mechanism that further limits the outcome of financial metrics used for LTIs. </w:t>
      </w:r>
    </w:p>
    <w:p w14:paraId="51D0638F" w14:textId="77777777" w:rsidR="009E4386" w:rsidRDefault="00B02335" w:rsidP="00926DF5">
      <w:pPr>
        <w:pStyle w:val="Heading5"/>
      </w:pPr>
      <w:r w:rsidRPr="00522961">
        <w:t>D</w:t>
      </w:r>
      <w:r w:rsidR="00522961" w:rsidRPr="00522961">
        <w:t>isclosure</w:t>
      </w:r>
    </w:p>
    <w:p w14:paraId="03888457" w14:textId="0F8983B7" w:rsidR="00E85956" w:rsidRPr="00F44103" w:rsidRDefault="008059C4" w:rsidP="006D1623">
      <w:r w:rsidRPr="004A1FAD">
        <w:t>Given a mor</w:t>
      </w:r>
      <w:r w:rsidR="00294288">
        <w:t>e principles-based approach and</w:t>
      </w:r>
      <w:r w:rsidRPr="004A1FAD">
        <w:t xml:space="preserve"> consistent with industry feedback, APRA proposes to introduce </w:t>
      </w:r>
      <w:r w:rsidR="00572DFC">
        <w:t xml:space="preserve">new </w:t>
      </w:r>
      <w:r w:rsidRPr="004A1FAD">
        <w:t xml:space="preserve">disclosure </w:t>
      </w:r>
      <w:r w:rsidR="00572DFC">
        <w:t>requirements</w:t>
      </w:r>
      <w:r w:rsidRPr="004A1FAD">
        <w:t>. Under these proposals</w:t>
      </w:r>
      <w:r w:rsidRPr="003B4210">
        <w:t xml:space="preserve">, entities would be required to </w:t>
      </w:r>
      <w:r w:rsidRPr="00AC161A">
        <w:t xml:space="preserve">demonstrate </w:t>
      </w:r>
      <w:r w:rsidR="003E0CE2" w:rsidRPr="005E5942">
        <w:t xml:space="preserve">publicly </w:t>
      </w:r>
      <w:r w:rsidRPr="00AC161A">
        <w:t xml:space="preserve">how they are incentivising staff to manage risks, </w:t>
      </w:r>
      <w:r w:rsidRPr="00765177">
        <w:t xml:space="preserve">including non-financial risks, and how they are holding staff to account for adverse risk and conduct outcomes. </w:t>
      </w:r>
      <w:r w:rsidR="006E45C8">
        <w:t>Current disclosure obligations do not explicitly address performance targets and consequence management</w:t>
      </w:r>
      <w:r w:rsidR="0058491A">
        <w:t xml:space="preserve"> and </w:t>
      </w:r>
      <w:r w:rsidR="008F7F03" w:rsidDel="00572DFC">
        <w:rPr>
          <w:noProof/>
        </w:rPr>
        <w:t>greater</w:t>
      </w:r>
      <w:r w:rsidR="006D1623">
        <w:rPr>
          <w:noProof/>
        </w:rPr>
        <w:t xml:space="preserve"> market discipline in </w:t>
      </w:r>
      <w:r w:rsidR="00891F26">
        <w:rPr>
          <w:noProof/>
        </w:rPr>
        <w:t>these areas will reinforce</w:t>
      </w:r>
      <w:r w:rsidR="006D1623">
        <w:rPr>
          <w:noProof/>
        </w:rPr>
        <w:t xml:space="preserve"> </w:t>
      </w:r>
      <w:r w:rsidR="00891F26">
        <w:rPr>
          <w:noProof/>
        </w:rPr>
        <w:t>more prudent outcomes</w:t>
      </w:r>
      <w:r w:rsidR="006D1623">
        <w:rPr>
          <w:noProof/>
        </w:rPr>
        <w:t>.</w:t>
      </w:r>
      <w:r w:rsidR="006E45C8">
        <w:rPr>
          <w:noProof/>
        </w:rPr>
        <w:t xml:space="preserve"> </w:t>
      </w:r>
      <w:r w:rsidR="005E1388">
        <w:t xml:space="preserve">APRA’s </w:t>
      </w:r>
      <w:r w:rsidR="0061576C">
        <w:t xml:space="preserve">initial views on </w:t>
      </w:r>
      <w:r w:rsidR="005E1388">
        <w:t xml:space="preserve">specific </w:t>
      </w:r>
      <w:r w:rsidR="0061576C">
        <w:t>disclosure</w:t>
      </w:r>
      <w:r w:rsidR="001F069A">
        <w:t xml:space="preserve"> </w:t>
      </w:r>
      <w:r w:rsidR="005E1388">
        <w:t xml:space="preserve">requirements </w:t>
      </w:r>
      <w:r w:rsidR="0061576C">
        <w:t>are</w:t>
      </w:r>
      <w:r w:rsidR="00522961">
        <w:t xml:space="preserve"> outlined in chapter 10 of this response paper</w:t>
      </w:r>
      <w:r w:rsidR="001F069A">
        <w:t>.</w:t>
      </w:r>
      <w:r w:rsidR="0061576C">
        <w:t xml:space="preserve"> </w:t>
      </w:r>
    </w:p>
    <w:p w14:paraId="7E736D59" w14:textId="2528CAAC" w:rsidR="001F069A" w:rsidRDefault="001F069A" w:rsidP="005E1388"/>
    <w:p w14:paraId="2D36DD41" w14:textId="77777777" w:rsidR="002055D2" w:rsidRDefault="002055D2" w:rsidP="00976F29">
      <w:pPr>
        <w:pStyle w:val="Heading1Numbers"/>
        <w:numPr>
          <w:ilvl w:val="0"/>
          <w:numId w:val="41"/>
        </w:numPr>
      </w:pPr>
      <w:bookmarkStart w:id="25" w:name="_Toc26804338"/>
      <w:bookmarkStart w:id="26" w:name="_Toc30172114"/>
      <w:bookmarkStart w:id="27" w:name="_Toc53000776"/>
      <w:bookmarkStart w:id="28" w:name="_Toc55850358"/>
      <w:r>
        <w:lastRenderedPageBreak/>
        <w:t>Highly-paid material risk-takers</w:t>
      </w:r>
      <w:bookmarkEnd w:id="25"/>
      <w:bookmarkEnd w:id="26"/>
      <w:bookmarkEnd w:id="27"/>
      <w:bookmarkEnd w:id="28"/>
    </w:p>
    <w:p w14:paraId="2A51EDE4" w14:textId="2EF313EE" w:rsidR="00CD13AC" w:rsidRPr="00CD13AC" w:rsidRDefault="00CD13AC" w:rsidP="00CD13AC">
      <w:r w:rsidRPr="00CD13AC">
        <w:t>This chapter covers the definition of a HPMRT. Chapter 2 and</w:t>
      </w:r>
      <w:r w:rsidRPr="00CD13AC" w:rsidDel="00D66CCD">
        <w:t xml:space="preserve"> </w:t>
      </w:r>
      <w:r w:rsidRPr="00CD13AC">
        <w:t>cover</w:t>
      </w:r>
      <w:r w:rsidR="00D66CCD">
        <w:t>s</w:t>
      </w:r>
      <w:r w:rsidRPr="00CD13AC">
        <w:t xml:space="preserve"> board decisions for remuneration outcomes of HPMRTs</w:t>
      </w:r>
      <w:r w:rsidR="00D66CCD">
        <w:t>. Chapter 6 covers</w:t>
      </w:r>
      <w:r w:rsidRPr="00CD13AC">
        <w:t xml:space="preserve"> minimum deferral periods.</w:t>
      </w:r>
    </w:p>
    <w:p w14:paraId="2DEBB6FE" w14:textId="77777777" w:rsidR="00E76C23" w:rsidRDefault="00CD4430" w:rsidP="00DE05FF">
      <w:pPr>
        <w:pStyle w:val="Heading2Numbers"/>
        <w:numPr>
          <w:ilvl w:val="1"/>
          <w:numId w:val="41"/>
        </w:numPr>
        <w:ind w:left="851"/>
      </w:pPr>
      <w:r>
        <w:t>Definition</w:t>
      </w:r>
      <w:r w:rsidR="008D1CBA">
        <w:t xml:space="preserve"> </w:t>
      </w:r>
      <w:r w:rsidR="00E84725">
        <w:t>of HPMRT</w:t>
      </w:r>
    </w:p>
    <w:p w14:paraId="375F6155" w14:textId="148E2CD6" w:rsidR="00CD13AC" w:rsidRPr="00CD13AC" w:rsidRDefault="00CD13AC" w:rsidP="00CD13AC">
      <w:r w:rsidRPr="00CD13AC">
        <w:t>APRA’s draft proposals sought to ensure that remuneration of employees who are highly paid and can have a material impact on the entity’s risk profile, performance and long-term soundness were subject to heightened</w:t>
      </w:r>
      <w:r w:rsidRPr="00CD13AC" w:rsidDel="00C61276">
        <w:t xml:space="preserve"> </w:t>
      </w:r>
      <w:r w:rsidRPr="00CD13AC">
        <w:t>scrutiny regarding risk and conduct.</w:t>
      </w:r>
      <w:r w:rsidRPr="00CD13AC">
        <w:rPr>
          <w:rStyle w:val="FootnoteReference"/>
        </w:rPr>
        <w:t xml:space="preserve"> </w:t>
      </w:r>
      <w:r w:rsidRPr="00CD13AC">
        <w:rPr>
          <w:rStyle w:val="FootnoteReference"/>
        </w:rPr>
        <w:footnoteReference w:id="8"/>
      </w:r>
      <w:r w:rsidRPr="00CD13AC">
        <w:t xml:space="preserve">  Under draft CPS 511, </w:t>
      </w:r>
      <w:r w:rsidR="00C61276">
        <w:t xml:space="preserve">a </w:t>
      </w:r>
      <w:r w:rsidRPr="00CD13AC">
        <w:t>HPMRT was defined as “a material risk-taker whose total fixed remuneration (which includes salary, superannuation, allowances and benefits) plus maximum potential variable remuneration is equal to or greater than 1 million AUD in a financial year.”</w:t>
      </w:r>
    </w:p>
    <w:p w14:paraId="642D06B6" w14:textId="77777777" w:rsidR="0015226F" w:rsidRPr="00607DAF" w:rsidRDefault="0015226F" w:rsidP="00A847E8">
      <w:pPr>
        <w:pStyle w:val="Heading2Numbers"/>
        <w:numPr>
          <w:ilvl w:val="1"/>
          <w:numId w:val="41"/>
        </w:numPr>
        <w:ind w:left="851"/>
      </w:pPr>
      <w:r w:rsidRPr="00607DAF">
        <w:t>Comments received</w:t>
      </w:r>
    </w:p>
    <w:p w14:paraId="2E676509" w14:textId="03111F11" w:rsidR="00CD13AC" w:rsidRPr="00CD13AC" w:rsidRDefault="00CD13AC" w:rsidP="00CD13AC">
      <w:r w:rsidRPr="00CD13AC">
        <w:t>Feedback highlighted maximum potential variable remuneration as an inappropriate measure to be used in the definition of HPMRT. Entities noted that there can be a large variance between an individual’s potential and actual variable remuneration. Additionally, some remuneration structures, such as profit share plans, do not operate with a maximum potential variable remuneration component.</w:t>
      </w:r>
    </w:p>
    <w:p w14:paraId="2AB203DD" w14:textId="6344A18D" w:rsidR="008059C4" w:rsidRPr="00CD13AC" w:rsidRDefault="00ED2308" w:rsidP="00CD13AC">
      <w:r>
        <w:t>Submissions</w:t>
      </w:r>
      <w:r w:rsidR="00CD13AC" w:rsidRPr="00CD13AC">
        <w:t xml:space="preserve"> also questioned the focus on total remuneration, rather than variable remuneration. </w:t>
      </w:r>
      <w:r>
        <w:t>Feedback</w:t>
      </w:r>
      <w:r w:rsidR="00CD13AC" w:rsidRPr="00CD13AC">
        <w:t xml:space="preserve"> noted that the broadness of the definition would likely create significant implementation and compliance costs. The number of individuals captured under this definition was considered disproportionate to the risk. A small number of stakeholders suggested that the determination of HPMRTs should be left to board discretion</w:t>
      </w:r>
      <w:r w:rsidR="008059C4" w:rsidRPr="00CD13AC">
        <w:t xml:space="preserve">. </w:t>
      </w:r>
    </w:p>
    <w:p w14:paraId="29010990" w14:textId="77777777" w:rsidR="001E6D1A" w:rsidRDefault="001E6D1A" w:rsidP="00A847E8">
      <w:pPr>
        <w:pStyle w:val="Heading2Numbers"/>
        <w:numPr>
          <w:ilvl w:val="1"/>
          <w:numId w:val="41"/>
        </w:numPr>
        <w:ind w:left="851"/>
      </w:pPr>
      <w:r>
        <w:lastRenderedPageBreak/>
        <w:t>APRA’s response</w:t>
      </w:r>
    </w:p>
    <w:p w14:paraId="3DABA45E" w14:textId="266B6B14" w:rsidR="00392373" w:rsidRPr="00CD13AC" w:rsidRDefault="00CD13AC" w:rsidP="00CD13AC">
      <w:r w:rsidRPr="00CD13AC">
        <w:t>APRA has made some adjustments to the definition of HPMRT. APRA has adjusted the measure of variable remuneration from maximum potential to actual, with clarification that this be within the relevant financial year. APRA expects that this will reduce the number of captured HPMRTs, reduce the complexity of the calculation and reduce implementation costs. APRA</w:t>
      </w:r>
      <w:r w:rsidRPr="00CD13AC" w:rsidDel="00C61276">
        <w:t xml:space="preserve"> </w:t>
      </w:r>
      <w:r w:rsidR="00C61276">
        <w:t>expects</w:t>
      </w:r>
      <w:r w:rsidR="00C61276" w:rsidRPr="00CD13AC">
        <w:t xml:space="preserve"> </w:t>
      </w:r>
      <w:r w:rsidRPr="00CD13AC">
        <w:t>that the revised definition will work with all remuneration structures, including profit share and discretionary variable remuneration arrangements</w:t>
      </w:r>
      <w:r>
        <w:t>.</w:t>
      </w:r>
      <w:r w:rsidRPr="00CD13AC">
        <w:t xml:space="preserve"> APRA </w:t>
      </w:r>
      <w:r>
        <w:t>has retained the</w:t>
      </w:r>
      <w:r w:rsidRPr="00CD13AC">
        <w:t xml:space="preserve"> 1 million </w:t>
      </w:r>
      <w:r w:rsidR="00970FFC" w:rsidRPr="00CD13AC">
        <w:t>AUD</w:t>
      </w:r>
      <w:r w:rsidRPr="00CD13AC">
        <w:t xml:space="preserve"> threshold in the HPMRT definition</w:t>
      </w:r>
      <w:r>
        <w:t>, noting that this</w:t>
      </w:r>
      <w:r w:rsidRPr="00CD13AC">
        <w:t xml:space="preserve"> provides a suitable threshold for employees that should be subject to heightened scrutiny</w:t>
      </w:r>
      <w:r w:rsidR="003B4210" w:rsidRPr="00CD13AC">
        <w:t>.</w:t>
      </w:r>
    </w:p>
    <w:p w14:paraId="012CF40E" w14:textId="77777777" w:rsidR="00DF3B0C" w:rsidRDefault="00D0519C" w:rsidP="00976F29">
      <w:pPr>
        <w:pStyle w:val="Heading1Numbers"/>
        <w:numPr>
          <w:ilvl w:val="0"/>
          <w:numId w:val="41"/>
        </w:numPr>
      </w:pPr>
      <w:bookmarkStart w:id="29" w:name="_Toc53000777"/>
      <w:bookmarkStart w:id="30" w:name="_Toc55850359"/>
      <w:r>
        <w:lastRenderedPageBreak/>
        <w:t>D</w:t>
      </w:r>
      <w:r w:rsidR="00DF3B0C">
        <w:t>eferral and clawback</w:t>
      </w:r>
      <w:bookmarkEnd w:id="29"/>
      <w:bookmarkEnd w:id="30"/>
    </w:p>
    <w:p w14:paraId="349B755C" w14:textId="43A933F6" w:rsidR="00603F6B" w:rsidRDefault="00ED093C" w:rsidP="00DF3B0C">
      <w:r>
        <w:t>A key reform</w:t>
      </w:r>
      <w:r w:rsidR="00450FC3">
        <w:t xml:space="preserve"> objective is that entities have in place appropriate deferral and clawback measures to </w:t>
      </w:r>
      <w:r w:rsidR="00C44EB5">
        <w:t>strengthen</w:t>
      </w:r>
      <w:r w:rsidR="00714EB6">
        <w:t xml:space="preserve"> the focus on long-term outcomes</w:t>
      </w:r>
      <w:r w:rsidR="009F0893">
        <w:t xml:space="preserve"> </w:t>
      </w:r>
      <w:r w:rsidR="00714EB6">
        <w:t xml:space="preserve">by </w:t>
      </w:r>
      <w:r w:rsidR="00450FC3">
        <w:t>ensur</w:t>
      </w:r>
      <w:r w:rsidR="00714EB6">
        <w:t>ing</w:t>
      </w:r>
      <w:r w:rsidR="00450FC3">
        <w:t xml:space="preserve"> </w:t>
      </w:r>
      <w:r w:rsidR="00832196">
        <w:t xml:space="preserve">that </w:t>
      </w:r>
      <w:r w:rsidR="00450FC3">
        <w:t xml:space="preserve">there are consequences for risk issues or misconduct that may emerge several years after </w:t>
      </w:r>
      <w:r w:rsidR="00832196">
        <w:t>the</w:t>
      </w:r>
      <w:r w:rsidR="00450FC3">
        <w:t xml:space="preserve"> event. </w:t>
      </w:r>
    </w:p>
    <w:p w14:paraId="4AF20DB5" w14:textId="11717FFB" w:rsidR="00DF3B0C" w:rsidRPr="0052519F" w:rsidRDefault="00DF3B0C" w:rsidP="00DF3B0C">
      <w:r>
        <w:t xml:space="preserve">Draft CPS 511 proposed that all entities </w:t>
      </w:r>
      <w:r w:rsidR="00361435">
        <w:t xml:space="preserve">must </w:t>
      </w:r>
      <w:r>
        <w:t>consider deferral and clawback as part of remuneration design</w:t>
      </w:r>
      <w:r w:rsidR="00B9592F">
        <w:t>. For SFIs, s</w:t>
      </w:r>
      <w:r>
        <w:t xml:space="preserve">pecific deferral and clawback </w:t>
      </w:r>
      <w:r w:rsidR="00B9592F">
        <w:t xml:space="preserve">requirements were proposed </w:t>
      </w:r>
      <w:r w:rsidR="00AF3868">
        <w:t>for</w:t>
      </w:r>
      <w:r>
        <w:t xml:space="preserve"> </w:t>
      </w:r>
      <w:r w:rsidR="00603F6B">
        <w:t xml:space="preserve">a </w:t>
      </w:r>
      <w:r>
        <w:t>CEO, senior manager</w:t>
      </w:r>
      <w:r w:rsidR="00493950">
        <w:t>, executive director</w:t>
      </w:r>
      <w:r>
        <w:t xml:space="preserve"> and HPMRT.</w:t>
      </w:r>
      <w:r w:rsidRPr="004D0183">
        <w:t xml:space="preserve"> </w:t>
      </w:r>
      <w:r w:rsidRPr="0052519F">
        <w:t xml:space="preserve"> </w:t>
      </w:r>
    </w:p>
    <w:p w14:paraId="4304C271" w14:textId="77777777" w:rsidR="00B4717B" w:rsidRDefault="00B4717B" w:rsidP="00DE05FF">
      <w:pPr>
        <w:pStyle w:val="Heading2Numbers"/>
        <w:numPr>
          <w:ilvl w:val="1"/>
          <w:numId w:val="41"/>
        </w:numPr>
        <w:ind w:left="851"/>
      </w:pPr>
      <w:r>
        <w:t>Deferral</w:t>
      </w:r>
    </w:p>
    <w:p w14:paraId="28A43794" w14:textId="04E9DF6E" w:rsidR="004059D1" w:rsidRPr="00983C1D" w:rsidRDefault="00C602E2" w:rsidP="00983C1D">
      <w:r w:rsidRPr="00D057EE">
        <w:t>Where variable r</w:t>
      </w:r>
      <w:r w:rsidR="0092314D" w:rsidRPr="00D057EE">
        <w:t>emuneration i</w:t>
      </w:r>
      <w:r w:rsidRPr="00D057EE">
        <w:t>s over 50,000</w:t>
      </w:r>
      <w:r w:rsidR="00035B3E">
        <w:t xml:space="preserve"> </w:t>
      </w:r>
      <w:r w:rsidR="00970FFC">
        <w:t>AUD,</w:t>
      </w:r>
      <w:r w:rsidR="00035B3E">
        <w:t xml:space="preserve"> </w:t>
      </w:r>
      <w:r w:rsidR="00361435">
        <w:t>APRA’s original proposal was that</w:t>
      </w:r>
      <w:r w:rsidR="00AF030D" w:rsidRPr="00D057EE">
        <w:t xml:space="preserve"> a</w:t>
      </w:r>
      <w:r w:rsidR="000A7517">
        <w:t xml:space="preserve">n entity </w:t>
      </w:r>
      <w:r w:rsidR="00B9592F">
        <w:t xml:space="preserve">must </w:t>
      </w:r>
      <w:r w:rsidR="00AF030D" w:rsidRPr="005D5B24">
        <w:t xml:space="preserve">defer </w:t>
      </w:r>
      <w:r w:rsidR="00361435">
        <w:t xml:space="preserve">at least </w:t>
      </w:r>
      <w:r w:rsidR="00001D90" w:rsidRPr="00D057EE">
        <w:t xml:space="preserve">60 per cent of </w:t>
      </w:r>
      <w:r w:rsidR="000A7517">
        <w:t xml:space="preserve">a CEO’s </w:t>
      </w:r>
      <w:r w:rsidR="00001D90" w:rsidRPr="00D057EE">
        <w:t xml:space="preserve">total variable remuneration for at least seven years </w:t>
      </w:r>
      <w:r w:rsidR="00D95FBF">
        <w:t xml:space="preserve">with </w:t>
      </w:r>
      <w:r w:rsidR="00AF030D" w:rsidRPr="005D5B24">
        <w:t xml:space="preserve">pro-rata </w:t>
      </w:r>
      <w:r w:rsidR="00D95FBF">
        <w:t>vesting in the last three years</w:t>
      </w:r>
      <w:r w:rsidR="00B9592F">
        <w:t xml:space="preserve">. </w:t>
      </w:r>
      <w:r w:rsidR="000A2E40">
        <w:t>For a</w:t>
      </w:r>
      <w:r w:rsidR="009F0893">
        <w:t xml:space="preserve"> </w:t>
      </w:r>
      <w:r w:rsidR="00B9592F">
        <w:t>s</w:t>
      </w:r>
      <w:r w:rsidR="00B9592F" w:rsidRPr="00D057EE">
        <w:t>enior manager and HPMRT</w:t>
      </w:r>
      <w:r w:rsidR="00D95FBF">
        <w:t>,</w:t>
      </w:r>
      <w:r w:rsidR="00AF030D" w:rsidRPr="005D5B24">
        <w:t xml:space="preserve"> </w:t>
      </w:r>
      <w:r w:rsidR="00361435">
        <w:t xml:space="preserve">the proposal was to </w:t>
      </w:r>
      <w:r w:rsidR="00AF030D" w:rsidRPr="005D5B24">
        <w:t xml:space="preserve">defer </w:t>
      </w:r>
      <w:r w:rsidR="00361435">
        <w:t xml:space="preserve">at least </w:t>
      </w:r>
      <w:r w:rsidR="000E7FD6" w:rsidRPr="00983C1D">
        <w:t xml:space="preserve">40 per cent of </w:t>
      </w:r>
      <w:r w:rsidR="000E7FD6" w:rsidRPr="00D057EE">
        <w:t>total variable remuneration for at least six years</w:t>
      </w:r>
      <w:r w:rsidR="00035B3E">
        <w:t>,</w:t>
      </w:r>
      <w:r w:rsidR="00D95FBF">
        <w:t xml:space="preserve"> with </w:t>
      </w:r>
      <w:r w:rsidR="00AF030D" w:rsidRPr="005D5B24">
        <w:t xml:space="preserve">pro-rata </w:t>
      </w:r>
      <w:r w:rsidR="00D95FBF" w:rsidRPr="005D5B24">
        <w:t xml:space="preserve">vesting </w:t>
      </w:r>
      <w:r w:rsidR="00D95FBF">
        <w:t>in</w:t>
      </w:r>
      <w:r w:rsidR="00AF030D" w:rsidRPr="005D5B24">
        <w:t xml:space="preserve"> the last </w:t>
      </w:r>
      <w:r w:rsidR="000E7FD6" w:rsidRPr="00D057EE">
        <w:t xml:space="preserve">two years. </w:t>
      </w:r>
    </w:p>
    <w:p w14:paraId="3EF4EA07" w14:textId="77777777" w:rsidR="00B4717B" w:rsidRDefault="00B4717B" w:rsidP="00DE05FF">
      <w:pPr>
        <w:pStyle w:val="Heading3Numbers"/>
        <w:numPr>
          <w:ilvl w:val="2"/>
          <w:numId w:val="41"/>
        </w:numPr>
      </w:pPr>
      <w:r w:rsidRPr="00607DAF">
        <w:t>Comments received</w:t>
      </w:r>
    </w:p>
    <w:p w14:paraId="54C2F066" w14:textId="0E87519B" w:rsidR="00C602E2" w:rsidRDefault="0030083E" w:rsidP="00163013">
      <w:r>
        <w:t>A broad range of s</w:t>
      </w:r>
      <w:r w:rsidR="00163013">
        <w:t xml:space="preserve">takeholders raised </w:t>
      </w:r>
      <w:r>
        <w:t>concern</w:t>
      </w:r>
      <w:r w:rsidR="004E13E2">
        <w:t>s</w:t>
      </w:r>
      <w:r>
        <w:t xml:space="preserve"> about</w:t>
      </w:r>
      <w:r w:rsidR="00163013">
        <w:t xml:space="preserve"> </w:t>
      </w:r>
      <w:r>
        <w:t xml:space="preserve">the </w:t>
      </w:r>
      <w:r w:rsidR="00163013">
        <w:t xml:space="preserve">proposed </w:t>
      </w:r>
      <w:r w:rsidR="000E7FD6">
        <w:t>deferral obligations</w:t>
      </w:r>
      <w:r w:rsidR="001B2085">
        <w:t xml:space="preserve"> and these </w:t>
      </w:r>
      <w:r w:rsidR="004E13E2">
        <w:t xml:space="preserve">are summarised in </w:t>
      </w:r>
      <w:r w:rsidR="00C602E2">
        <w:t>T</w:t>
      </w:r>
      <w:r w:rsidR="004E13E2">
        <w:t>able</w:t>
      </w:r>
      <w:r w:rsidR="00C602E2">
        <w:t xml:space="preserve"> </w:t>
      </w:r>
      <w:r w:rsidR="00B65C5D">
        <w:t>4</w:t>
      </w:r>
      <w:r>
        <w:t xml:space="preserve">. The major </w:t>
      </w:r>
      <w:r w:rsidR="00113E3A">
        <w:t xml:space="preserve">issues </w:t>
      </w:r>
      <w:r w:rsidR="001B2085">
        <w:t xml:space="preserve">focused on </w:t>
      </w:r>
      <w:r w:rsidR="00171D7F">
        <w:t xml:space="preserve">length of </w:t>
      </w:r>
      <w:r w:rsidR="001B2085">
        <w:t>deferral periods</w:t>
      </w:r>
      <w:r w:rsidR="0026466E">
        <w:t>,</w:t>
      </w:r>
      <w:r w:rsidR="00693C0D">
        <w:t xml:space="preserve"> which industry considered could impact staff recruitment and retention. Some </w:t>
      </w:r>
      <w:r w:rsidR="00C44EB5">
        <w:t>submissions</w:t>
      </w:r>
      <w:r w:rsidR="00693C0D">
        <w:t xml:space="preserve"> questioned</w:t>
      </w:r>
      <w:r w:rsidR="001B2085">
        <w:t xml:space="preserve"> </w:t>
      </w:r>
      <w:r w:rsidR="00693C0D">
        <w:t>the alignment</w:t>
      </w:r>
      <w:r w:rsidR="00171D7F">
        <w:t xml:space="preserve"> to the BEAR.</w:t>
      </w:r>
    </w:p>
    <w:p w14:paraId="558D5B6F" w14:textId="77777777" w:rsidR="004E13E2" w:rsidRPr="004B4B71" w:rsidRDefault="00C602E2" w:rsidP="00163013">
      <w:pPr>
        <w:rPr>
          <w:b/>
        </w:rPr>
      </w:pPr>
      <w:r w:rsidRPr="004B4B71">
        <w:rPr>
          <w:b/>
        </w:rPr>
        <w:t xml:space="preserve">Table </w:t>
      </w:r>
      <w:r w:rsidR="00B65C5D">
        <w:rPr>
          <w:b/>
        </w:rPr>
        <w:t>4</w:t>
      </w:r>
      <w:r w:rsidRPr="004B4B71">
        <w:rPr>
          <w:b/>
        </w:rPr>
        <w:t xml:space="preserve">. Summary of industry feedback on </w:t>
      </w:r>
      <w:r w:rsidR="004D0183">
        <w:rPr>
          <w:b/>
        </w:rPr>
        <w:t xml:space="preserve">SFI </w:t>
      </w:r>
      <w:r w:rsidRPr="004B4B71">
        <w:rPr>
          <w:b/>
        </w:rPr>
        <w:t>deferral proposals</w:t>
      </w:r>
      <w:r w:rsidR="004E13E2" w:rsidRPr="004B4B71">
        <w:rPr>
          <w:b/>
        </w:rPr>
        <w:t xml:space="preserve"> </w:t>
      </w:r>
    </w:p>
    <w:tbl>
      <w:tblPr>
        <w:tblStyle w:val="TableGrid"/>
        <w:tblW w:w="0" w:type="auto"/>
        <w:tblLook w:val="04A0" w:firstRow="1" w:lastRow="0" w:firstColumn="1" w:lastColumn="0" w:noHBand="0" w:noVBand="1"/>
      </w:tblPr>
      <w:tblGrid>
        <w:gridCol w:w="2694"/>
        <w:gridCol w:w="6332"/>
      </w:tblGrid>
      <w:tr w:rsidR="004E13E2" w14:paraId="716D792F" w14:textId="77777777" w:rsidTr="005849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AF99E1F" w14:textId="77777777" w:rsidR="004E13E2" w:rsidRPr="007540E9" w:rsidRDefault="004E13E2" w:rsidP="00163013">
            <w:pPr>
              <w:rPr>
                <w:b/>
              </w:rPr>
            </w:pPr>
            <w:r w:rsidRPr="007540E9">
              <w:rPr>
                <w:b/>
              </w:rPr>
              <w:t>Issue</w:t>
            </w:r>
          </w:p>
        </w:tc>
        <w:tc>
          <w:tcPr>
            <w:tcW w:w="6332" w:type="dxa"/>
          </w:tcPr>
          <w:p w14:paraId="4533DB36" w14:textId="77777777" w:rsidR="004E13E2" w:rsidRPr="007540E9" w:rsidRDefault="004E13E2" w:rsidP="00163013">
            <w:pPr>
              <w:cnfStyle w:val="100000000000" w:firstRow="1" w:lastRow="0" w:firstColumn="0" w:lastColumn="0" w:oddVBand="0" w:evenVBand="0" w:oddHBand="0" w:evenHBand="0" w:firstRowFirstColumn="0" w:firstRowLastColumn="0" w:lastRowFirstColumn="0" w:lastRowLastColumn="0"/>
              <w:rPr>
                <w:b/>
              </w:rPr>
            </w:pPr>
            <w:r w:rsidRPr="007540E9">
              <w:rPr>
                <w:b/>
              </w:rPr>
              <w:t>Industry feedback</w:t>
            </w:r>
          </w:p>
        </w:tc>
      </w:tr>
      <w:tr w:rsidR="001B2085" w14:paraId="3633A217" w14:textId="77777777" w:rsidTr="003F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FCF06B9" w14:textId="77777777" w:rsidR="001B2085" w:rsidRDefault="001B2085" w:rsidP="00171D7F">
            <w:r>
              <w:t xml:space="preserve">Recruitment </w:t>
            </w:r>
          </w:p>
        </w:tc>
        <w:tc>
          <w:tcPr>
            <w:tcW w:w="0" w:type="dxa"/>
          </w:tcPr>
          <w:p w14:paraId="1441AA6C" w14:textId="724A83B9" w:rsidR="001B2085" w:rsidRDefault="000263AA" w:rsidP="00171D7F">
            <w:pPr>
              <w:cnfStyle w:val="000000100000" w:firstRow="0" w:lastRow="0" w:firstColumn="0" w:lastColumn="0" w:oddVBand="0" w:evenVBand="0" w:oddHBand="1" w:evenHBand="0" w:firstRowFirstColumn="0" w:firstRowLastColumn="0" w:lastRowFirstColumn="0" w:lastRowLastColumn="0"/>
            </w:pPr>
            <w:r>
              <w:t>Industry considered the l</w:t>
            </w:r>
            <w:r w:rsidR="00205CCF">
              <w:t>ength of deferral periods and</w:t>
            </w:r>
            <w:r w:rsidR="001B2085">
              <w:t xml:space="preserve"> clawback proposals</w:t>
            </w:r>
            <w:r w:rsidR="001B2085" w:rsidRPr="0047009C">
              <w:t xml:space="preserve"> would impact </w:t>
            </w:r>
            <w:r>
              <w:t>staff</w:t>
            </w:r>
            <w:r w:rsidR="001B2085" w:rsidRPr="0047009C">
              <w:t xml:space="preserve"> recruit</w:t>
            </w:r>
            <w:r>
              <w:t>ment</w:t>
            </w:r>
            <w:r w:rsidR="001B2085" w:rsidRPr="0047009C">
              <w:t xml:space="preserve"> and </w:t>
            </w:r>
            <w:r>
              <w:t>retention</w:t>
            </w:r>
            <w:r w:rsidR="001B2085">
              <w:t xml:space="preserve">, </w:t>
            </w:r>
            <w:r w:rsidR="001B2085" w:rsidRPr="0047009C">
              <w:t xml:space="preserve">both between SFIs and non-SFIs, </w:t>
            </w:r>
            <w:r w:rsidR="00205CCF">
              <w:t>and</w:t>
            </w:r>
            <w:r w:rsidR="001B2085" w:rsidRPr="0047009C">
              <w:t xml:space="preserve"> outside the</w:t>
            </w:r>
            <w:r w:rsidR="001B2085">
              <w:t xml:space="preserve"> APRA</w:t>
            </w:r>
            <w:r w:rsidR="002D3A1C">
              <w:t xml:space="preserve"> </w:t>
            </w:r>
            <w:r w:rsidR="001B2085">
              <w:t xml:space="preserve">regulated environment. HPMRTs </w:t>
            </w:r>
            <w:r w:rsidR="00205CCF">
              <w:t>were a key area of focus</w:t>
            </w:r>
            <w:r w:rsidR="001B2085">
              <w:t>.</w:t>
            </w:r>
          </w:p>
        </w:tc>
      </w:tr>
      <w:tr w:rsidR="00992943" w14:paraId="1470AC36" w14:textId="77777777" w:rsidTr="003F62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5DE1050" w14:textId="032A60F4" w:rsidR="00992943" w:rsidRDefault="00992943" w:rsidP="009F0893">
            <w:r>
              <w:t xml:space="preserve">Deferral period for </w:t>
            </w:r>
            <w:r w:rsidR="009F0893">
              <w:t xml:space="preserve">a </w:t>
            </w:r>
            <w:r>
              <w:t>senior manager and HPMRT</w:t>
            </w:r>
          </w:p>
        </w:tc>
        <w:tc>
          <w:tcPr>
            <w:tcW w:w="0" w:type="dxa"/>
          </w:tcPr>
          <w:p w14:paraId="6324C399" w14:textId="680E5BB6" w:rsidR="00992943" w:rsidRDefault="00992943" w:rsidP="00D82A28">
            <w:pPr>
              <w:cnfStyle w:val="000000010000" w:firstRow="0" w:lastRow="0" w:firstColumn="0" w:lastColumn="0" w:oddVBand="0" w:evenVBand="0" w:oddHBand="0" w:evenHBand="1" w:firstRowFirstColumn="0" w:firstRowLastColumn="0" w:lastRowFirstColumn="0" w:lastRowLastColumn="0"/>
            </w:pPr>
            <w:r>
              <w:t xml:space="preserve">Deferral </w:t>
            </w:r>
            <w:r w:rsidR="00205CCF">
              <w:t xml:space="preserve">periods were considered </w:t>
            </w:r>
            <w:r w:rsidR="00B126A3">
              <w:t xml:space="preserve">disproportionate to </w:t>
            </w:r>
            <w:r w:rsidR="00205CCF">
              <w:t xml:space="preserve">the overall </w:t>
            </w:r>
            <w:r>
              <w:rPr>
                <w:color w:val="auto"/>
              </w:rPr>
              <w:t>responsibility</w:t>
            </w:r>
            <w:r w:rsidR="00C87B38">
              <w:rPr>
                <w:color w:val="auto"/>
              </w:rPr>
              <w:t xml:space="preserve"> </w:t>
            </w:r>
            <w:r w:rsidR="00205CCF">
              <w:rPr>
                <w:color w:val="auto"/>
              </w:rPr>
              <w:t xml:space="preserve">and </w:t>
            </w:r>
            <w:r w:rsidRPr="000B27AF">
              <w:rPr>
                <w:color w:val="auto"/>
              </w:rPr>
              <w:t>accountability</w:t>
            </w:r>
            <w:r>
              <w:rPr>
                <w:color w:val="auto"/>
              </w:rPr>
              <w:t xml:space="preserve"> </w:t>
            </w:r>
            <w:r w:rsidR="00205CCF">
              <w:rPr>
                <w:color w:val="auto"/>
              </w:rPr>
              <w:t xml:space="preserve">that these roles may have. It was also noted that </w:t>
            </w:r>
            <w:r w:rsidR="00D82A28">
              <w:rPr>
                <w:color w:val="auto"/>
              </w:rPr>
              <w:t>HPMRTs</w:t>
            </w:r>
            <w:r w:rsidR="00205CCF">
              <w:rPr>
                <w:color w:val="auto"/>
              </w:rPr>
              <w:t xml:space="preserve"> would typically have less </w:t>
            </w:r>
            <w:r>
              <w:rPr>
                <w:color w:val="auto"/>
              </w:rPr>
              <w:t>impact on the entity’s risk profile</w:t>
            </w:r>
            <w:r w:rsidR="00205CCF">
              <w:rPr>
                <w:color w:val="auto"/>
              </w:rPr>
              <w:t xml:space="preserve">, compared to CEOs and </w:t>
            </w:r>
            <w:r w:rsidR="00D82A28">
              <w:rPr>
                <w:color w:val="auto"/>
              </w:rPr>
              <w:t>senior managers</w:t>
            </w:r>
            <w:r>
              <w:rPr>
                <w:color w:val="auto"/>
              </w:rPr>
              <w:t>.</w:t>
            </w:r>
          </w:p>
        </w:tc>
      </w:tr>
      <w:tr w:rsidR="004E13E2" w14:paraId="3A025905" w14:textId="77777777" w:rsidTr="003F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CBC319C" w14:textId="1100629E" w:rsidR="00970FFC" w:rsidRDefault="00113E3A" w:rsidP="00970FFC">
            <w:r>
              <w:lastRenderedPageBreak/>
              <w:t>D</w:t>
            </w:r>
            <w:r w:rsidRPr="000B27AF">
              <w:t xml:space="preserve">eferral </w:t>
            </w:r>
            <w:r w:rsidRPr="002A0324">
              <w:t xml:space="preserve">threshold </w:t>
            </w:r>
          </w:p>
          <w:p w14:paraId="418B4F1C" w14:textId="2C822610" w:rsidR="004E13E2" w:rsidRDefault="004E13E2" w:rsidP="00163013"/>
        </w:tc>
        <w:tc>
          <w:tcPr>
            <w:tcW w:w="0" w:type="dxa"/>
          </w:tcPr>
          <w:p w14:paraId="1866C78E" w14:textId="5D6CCD25" w:rsidR="004E13E2" w:rsidRPr="00113E3A" w:rsidRDefault="00113E3A" w:rsidP="00992943">
            <w:pPr>
              <w:cnfStyle w:val="000000100000" w:firstRow="0" w:lastRow="0" w:firstColumn="0" w:lastColumn="0" w:oddVBand="0" w:evenVBand="0" w:oddHBand="1" w:evenHBand="0" w:firstRowFirstColumn="0" w:firstRowLastColumn="0" w:lastRowFirstColumn="0" w:lastRowLastColumn="0"/>
            </w:pPr>
            <w:r>
              <w:t>T</w:t>
            </w:r>
            <w:r w:rsidRPr="00113E3A">
              <w:t xml:space="preserve">he </w:t>
            </w:r>
            <w:r w:rsidR="00970FFC">
              <w:t>50,000 AUD</w:t>
            </w:r>
            <w:r w:rsidRPr="00113E3A">
              <w:t xml:space="preserve"> threshold </w:t>
            </w:r>
            <w:r w:rsidR="00B126A3">
              <w:t xml:space="preserve">was considered </w:t>
            </w:r>
            <w:r>
              <w:t>to</w:t>
            </w:r>
            <w:r w:rsidR="0001733D">
              <w:t>o</w:t>
            </w:r>
            <w:r w:rsidRPr="00113E3A">
              <w:t xml:space="preserve"> low given the cost and complexity for the entity to administer compliance</w:t>
            </w:r>
            <w:r>
              <w:t>.</w:t>
            </w:r>
            <w:r w:rsidR="004D0183">
              <w:t xml:space="preserve"> </w:t>
            </w:r>
          </w:p>
        </w:tc>
      </w:tr>
      <w:tr w:rsidR="001B2085" w14:paraId="00905D37" w14:textId="77777777" w:rsidTr="003F62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71DE4C5" w14:textId="77777777" w:rsidR="001B2085" w:rsidRDefault="001B2085" w:rsidP="00171D7F">
            <w:r>
              <w:t>Inception</w:t>
            </w:r>
          </w:p>
        </w:tc>
        <w:tc>
          <w:tcPr>
            <w:tcW w:w="0" w:type="dxa"/>
          </w:tcPr>
          <w:p w14:paraId="20DE05C7" w14:textId="6DACF468" w:rsidR="001B2085" w:rsidRDefault="001B2085" w:rsidP="00171D7F">
            <w:pPr>
              <w:cnfStyle w:val="000000010000" w:firstRow="0" w:lastRow="0" w:firstColumn="0" w:lastColumn="0" w:oddVBand="0" w:evenVBand="0" w:oddHBand="0" w:evenHBand="1" w:firstRowFirstColumn="0" w:firstRowLastColumn="0" w:lastRowFirstColumn="0" w:lastRowLastColumn="0"/>
            </w:pPr>
            <w:r>
              <w:t xml:space="preserve">Clarity </w:t>
            </w:r>
            <w:r w:rsidR="00B126A3">
              <w:t>was sought</w:t>
            </w:r>
            <w:r>
              <w:t xml:space="preserve"> to understand when deferral starts.</w:t>
            </w:r>
          </w:p>
        </w:tc>
      </w:tr>
      <w:tr w:rsidR="001B2085" w14:paraId="78CAD259" w14:textId="77777777" w:rsidTr="003F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D54CA1E" w14:textId="77777777" w:rsidR="001B2085" w:rsidRDefault="001B2085" w:rsidP="00171D7F">
            <w:r>
              <w:t>Sign-on bonus and buy-out</w:t>
            </w:r>
          </w:p>
        </w:tc>
        <w:tc>
          <w:tcPr>
            <w:tcW w:w="0" w:type="dxa"/>
          </w:tcPr>
          <w:p w14:paraId="78DAB125" w14:textId="5D1EA941" w:rsidR="001B2085" w:rsidRDefault="001B2085" w:rsidP="00171D7F">
            <w:pPr>
              <w:cnfStyle w:val="000000100000" w:firstRow="0" w:lastRow="0" w:firstColumn="0" w:lastColumn="0" w:oddVBand="0" w:evenVBand="0" w:oddHBand="1" w:evenHBand="0" w:firstRowFirstColumn="0" w:firstRowLastColumn="0" w:lastRowFirstColumn="0" w:lastRowLastColumn="0"/>
            </w:pPr>
            <w:r>
              <w:t>Clarity was sought on whether a sign-on bonus</w:t>
            </w:r>
            <w:r w:rsidRPr="00BF7FF4">
              <w:t xml:space="preserve"> or buy-out would be captured</w:t>
            </w:r>
            <w:r>
              <w:t xml:space="preserve"> as variable remuneration and for the purposes of calculating the 50,000 </w:t>
            </w:r>
            <w:r w:rsidR="00970FFC">
              <w:t xml:space="preserve">AUD </w:t>
            </w:r>
            <w:r>
              <w:t>threshold.</w:t>
            </w:r>
          </w:p>
        </w:tc>
      </w:tr>
      <w:tr w:rsidR="00FA77F0" w14:paraId="50A2578D" w14:textId="77777777" w:rsidTr="003F62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7F48E8E" w14:textId="77777777" w:rsidR="00FA77F0" w:rsidRDefault="00C1415C" w:rsidP="00C1415C">
            <w:r>
              <w:t>Accelerated vesting of deferred variable remuneration</w:t>
            </w:r>
          </w:p>
        </w:tc>
        <w:tc>
          <w:tcPr>
            <w:tcW w:w="0" w:type="dxa"/>
          </w:tcPr>
          <w:p w14:paraId="1C0D988F" w14:textId="52AE074D" w:rsidR="00FA77F0" w:rsidRDefault="00B126A3" w:rsidP="0058491A">
            <w:pPr>
              <w:cnfStyle w:val="000000010000" w:firstRow="0" w:lastRow="0" w:firstColumn="0" w:lastColumn="0" w:oddVBand="0" w:evenVBand="0" w:oddHBand="0" w:evenHBand="1" w:firstRowFirstColumn="0" w:firstRowLastColumn="0" w:lastRowFirstColumn="0" w:lastRowLastColumn="0"/>
            </w:pPr>
            <w:r>
              <w:t>Industry highlighted a case</w:t>
            </w:r>
            <w:r w:rsidR="0058491A">
              <w:t xml:space="preserve"> to exclude staff with lower responsibility-levels </w:t>
            </w:r>
            <w:r w:rsidR="008F7F03">
              <w:t>and for</w:t>
            </w:r>
            <w:r>
              <w:t xml:space="preserve"> </w:t>
            </w:r>
            <w:r w:rsidR="00C1415C">
              <w:t>a carve-out to cover the tax liability on any deferred variable remuneration w</w:t>
            </w:r>
            <w:r w:rsidR="00FA77F0">
              <w:t>hen</w:t>
            </w:r>
            <w:r w:rsidR="00C1415C">
              <w:t xml:space="preserve"> </w:t>
            </w:r>
            <w:r w:rsidR="00FA77F0">
              <w:t>a person terminate</w:t>
            </w:r>
            <w:r w:rsidR="00670388">
              <w:t>s employ</w:t>
            </w:r>
            <w:r w:rsidR="00C1415C">
              <w:t>ment with an entity</w:t>
            </w:r>
            <w:r w:rsidR="00FA77F0">
              <w:t xml:space="preserve">. </w:t>
            </w:r>
          </w:p>
        </w:tc>
      </w:tr>
      <w:tr w:rsidR="00970C00" w14:paraId="3D994DA9" w14:textId="77777777" w:rsidTr="003F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F059F80" w14:textId="77777777" w:rsidR="00970C00" w:rsidRDefault="00970C00" w:rsidP="009A2BF2">
            <w:r>
              <w:t xml:space="preserve">Alignment with </w:t>
            </w:r>
            <w:r w:rsidR="00E254D9">
              <w:t xml:space="preserve">the </w:t>
            </w:r>
            <w:r>
              <w:t>BEAR</w:t>
            </w:r>
          </w:p>
        </w:tc>
        <w:tc>
          <w:tcPr>
            <w:tcW w:w="0" w:type="dxa"/>
          </w:tcPr>
          <w:p w14:paraId="15C4E531" w14:textId="4D2FD169" w:rsidR="00970C00" w:rsidRPr="00113E3A" w:rsidRDefault="00652576" w:rsidP="00992943">
            <w:pPr>
              <w:cnfStyle w:val="000000100000" w:firstRow="0" w:lastRow="0" w:firstColumn="0" w:lastColumn="0" w:oddVBand="0" w:evenVBand="0" w:oddHBand="1" w:evenHBand="0" w:firstRowFirstColumn="0" w:firstRowLastColumn="0" w:lastRowFirstColumn="0" w:lastRowLastColumn="0"/>
            </w:pPr>
            <w:r>
              <w:t xml:space="preserve">Industry questioned divergence from the BEAR, regarding </w:t>
            </w:r>
            <w:r w:rsidR="00970C00" w:rsidRPr="00113E3A">
              <w:t>deferral periods</w:t>
            </w:r>
            <w:r w:rsidR="00970C00">
              <w:t>,</w:t>
            </w:r>
            <w:r w:rsidR="00970C00" w:rsidRPr="00113E3A">
              <w:t xml:space="preserve"> portions </w:t>
            </w:r>
            <w:r w:rsidR="00970C00">
              <w:t>and threshold</w:t>
            </w:r>
            <w:r>
              <w:t>s</w:t>
            </w:r>
            <w:r w:rsidR="00970C00">
              <w:t>.</w:t>
            </w:r>
          </w:p>
        </w:tc>
      </w:tr>
      <w:tr w:rsidR="001B2085" w14:paraId="40F09007" w14:textId="77777777" w:rsidTr="003F62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D452376" w14:textId="77777777" w:rsidR="001B2085" w:rsidRDefault="001B2085" w:rsidP="00171D7F">
            <w:r>
              <w:t>Alignment with international jurisdictions</w:t>
            </w:r>
          </w:p>
        </w:tc>
        <w:tc>
          <w:tcPr>
            <w:tcW w:w="0" w:type="dxa"/>
          </w:tcPr>
          <w:p w14:paraId="206E4242" w14:textId="4CD92632" w:rsidR="001B2085" w:rsidRPr="00F525C8" w:rsidRDefault="00105CD0" w:rsidP="00171D7F">
            <w:pPr>
              <w:cnfStyle w:val="000000010000" w:firstRow="0" w:lastRow="0" w:firstColumn="0" w:lastColumn="0" w:oddVBand="0" w:evenVBand="0" w:oddHBand="0" w:evenHBand="1" w:firstRowFirstColumn="0" w:firstRowLastColumn="0" w:lastRowFirstColumn="0" w:lastRowLastColumn="0"/>
              <w:rPr>
                <w:color w:val="auto"/>
              </w:rPr>
            </w:pPr>
            <w:r>
              <w:t>APRA’s proposed deferral periods</w:t>
            </w:r>
            <w:r w:rsidR="001B2085">
              <w:t xml:space="preserve"> </w:t>
            </w:r>
            <w:r>
              <w:t>went beyond</w:t>
            </w:r>
            <w:r w:rsidR="001B2085">
              <w:t xml:space="preserve"> global practices of</w:t>
            </w:r>
            <w:r w:rsidR="001B2085" w:rsidRPr="002A0324">
              <w:t xml:space="preserve"> </w:t>
            </w:r>
            <w:r w:rsidR="001B2085">
              <w:rPr>
                <w:color w:val="auto"/>
              </w:rPr>
              <w:t xml:space="preserve">insurers and pension funds. </w:t>
            </w:r>
          </w:p>
        </w:tc>
      </w:tr>
      <w:tr w:rsidR="001C144D" w14:paraId="2074BF04" w14:textId="77777777" w:rsidTr="003F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7D24344" w14:textId="77777777" w:rsidR="001C144D" w:rsidRDefault="00FD7D7F" w:rsidP="003E65F0">
            <w:r>
              <w:t>Reduction in</w:t>
            </w:r>
            <w:r w:rsidR="001C144D">
              <w:t xml:space="preserve"> value</w:t>
            </w:r>
          </w:p>
        </w:tc>
        <w:tc>
          <w:tcPr>
            <w:tcW w:w="0" w:type="dxa"/>
          </w:tcPr>
          <w:p w14:paraId="086B8908" w14:textId="5889676C" w:rsidR="001C144D" w:rsidRDefault="00652576">
            <w:pPr>
              <w:cnfStyle w:val="000000100000" w:firstRow="0" w:lastRow="0" w:firstColumn="0" w:lastColumn="0" w:oddVBand="0" w:evenVBand="0" w:oddHBand="1" w:evenHBand="0" w:firstRowFirstColumn="0" w:firstRowLastColumn="0" w:lastRowFirstColumn="0" w:lastRowLastColumn="0"/>
            </w:pPr>
            <w:r>
              <w:t>Industry noted that l</w:t>
            </w:r>
            <w:r w:rsidR="00D057EE">
              <w:t>ong</w:t>
            </w:r>
            <w:r>
              <w:t>er</w:t>
            </w:r>
            <w:r w:rsidR="00D057EE">
              <w:t xml:space="preserve"> deferral </w:t>
            </w:r>
            <w:r w:rsidR="00105CD0">
              <w:t>periods reduce the value of variable remuneration, given</w:t>
            </w:r>
            <w:r w:rsidR="001C144D" w:rsidDel="00105CD0">
              <w:t xml:space="preserve"> </w:t>
            </w:r>
            <w:r w:rsidR="001C144D">
              <w:t xml:space="preserve">forfeiture </w:t>
            </w:r>
            <w:r>
              <w:t xml:space="preserve">risk </w:t>
            </w:r>
            <w:r w:rsidR="001C144D">
              <w:t>on resignation and time value of money.</w:t>
            </w:r>
          </w:p>
        </w:tc>
      </w:tr>
      <w:tr w:rsidR="00762D22" w14:paraId="583939A3" w14:textId="77777777" w:rsidTr="003F62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9D0BE64" w14:textId="77777777" w:rsidR="00762D22" w:rsidRDefault="003E65F0" w:rsidP="003E65F0">
            <w:r>
              <w:t>Shift to f</w:t>
            </w:r>
            <w:r w:rsidR="00762D22">
              <w:t xml:space="preserve">ixed remuneration </w:t>
            </w:r>
          </w:p>
        </w:tc>
        <w:tc>
          <w:tcPr>
            <w:tcW w:w="0" w:type="dxa"/>
          </w:tcPr>
          <w:p w14:paraId="1824D62D" w14:textId="2F1F6445" w:rsidR="00762D22" w:rsidRPr="00BF7FF4" w:rsidRDefault="00652576">
            <w:pPr>
              <w:cnfStyle w:val="000000010000" w:firstRow="0" w:lastRow="0" w:firstColumn="0" w:lastColumn="0" w:oddVBand="0" w:evenVBand="0" w:oddHBand="0" w:evenHBand="1" w:firstRowFirstColumn="0" w:firstRowLastColumn="0" w:lastRowFirstColumn="0" w:lastRowLastColumn="0"/>
            </w:pPr>
            <w:r>
              <w:t>There was some concern that l</w:t>
            </w:r>
            <w:r w:rsidR="00AD1E73">
              <w:t xml:space="preserve">onger </w:t>
            </w:r>
            <w:r w:rsidR="003E65F0">
              <w:t>deferral</w:t>
            </w:r>
            <w:r w:rsidR="00762D22" w:rsidRPr="00BF7FF4">
              <w:t xml:space="preserve"> periods</w:t>
            </w:r>
            <w:r w:rsidR="003E65F0">
              <w:t xml:space="preserve"> </w:t>
            </w:r>
            <w:r w:rsidR="00762D22">
              <w:t>may</w:t>
            </w:r>
            <w:r w:rsidR="00762D22" w:rsidRPr="00BF7FF4">
              <w:t xml:space="preserve"> </w:t>
            </w:r>
            <w:r w:rsidR="003E65F0">
              <w:t>cause a shift toward</w:t>
            </w:r>
            <w:r w:rsidR="007851A8">
              <w:t>s</w:t>
            </w:r>
            <w:r w:rsidR="00762D22" w:rsidRPr="00BF7FF4">
              <w:t xml:space="preserve"> </w:t>
            </w:r>
            <w:r w:rsidR="00762D22" w:rsidRPr="00BF7FF4">
              <w:rPr>
                <w:color w:val="auto"/>
              </w:rPr>
              <w:t>higher fixed remuneration</w:t>
            </w:r>
            <w:r w:rsidR="003E65F0">
              <w:rPr>
                <w:color w:val="auto"/>
              </w:rPr>
              <w:t>,</w:t>
            </w:r>
            <w:r w:rsidR="00762D22" w:rsidRPr="00BF7FF4">
              <w:rPr>
                <w:color w:val="auto"/>
              </w:rPr>
              <w:t xml:space="preserve"> to </w:t>
            </w:r>
            <w:r w:rsidR="003E65F0">
              <w:rPr>
                <w:color w:val="auto"/>
              </w:rPr>
              <w:t xml:space="preserve">avoid </w:t>
            </w:r>
            <w:r w:rsidR="00762D22" w:rsidRPr="00BF7FF4">
              <w:rPr>
                <w:color w:val="auto"/>
              </w:rPr>
              <w:t>deferral obligations</w:t>
            </w:r>
            <w:r w:rsidR="00972E2C">
              <w:rPr>
                <w:color w:val="auto"/>
              </w:rPr>
              <w:t>.</w:t>
            </w:r>
          </w:p>
        </w:tc>
      </w:tr>
      <w:tr w:rsidR="0047009C" w14:paraId="3B9E0D49" w14:textId="77777777" w:rsidTr="003F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6651262" w14:textId="77777777" w:rsidR="0047009C" w:rsidRDefault="0047009C" w:rsidP="00163013">
            <w:r>
              <w:t>Transition and grandfathering</w:t>
            </w:r>
          </w:p>
        </w:tc>
        <w:tc>
          <w:tcPr>
            <w:tcW w:w="0" w:type="dxa"/>
          </w:tcPr>
          <w:p w14:paraId="0E7F1039" w14:textId="3A5A99D1" w:rsidR="0047009C" w:rsidRPr="0047009C" w:rsidRDefault="00652576">
            <w:pPr>
              <w:cnfStyle w:val="000000100000" w:firstRow="0" w:lastRow="0" w:firstColumn="0" w:lastColumn="0" w:oddVBand="0" w:evenVBand="0" w:oddHBand="1" w:evenHBand="0" w:firstRowFirstColumn="0" w:firstRowLastColumn="0" w:lastRowFirstColumn="0" w:lastRowLastColumn="0"/>
            </w:pPr>
            <w:r>
              <w:t xml:space="preserve">Industry considered grandfathering </w:t>
            </w:r>
            <w:r w:rsidR="0047009C">
              <w:t xml:space="preserve">provisions </w:t>
            </w:r>
            <w:r>
              <w:t xml:space="preserve">necessary </w:t>
            </w:r>
            <w:r w:rsidR="006E15F5">
              <w:t xml:space="preserve">to preclude application of </w:t>
            </w:r>
            <w:r w:rsidR="003E65F0">
              <w:t>CPS 511</w:t>
            </w:r>
            <w:r w:rsidR="006E15F5">
              <w:t xml:space="preserve"> </w:t>
            </w:r>
            <w:r w:rsidR="00132ED4">
              <w:t xml:space="preserve">deferral requirements </w:t>
            </w:r>
            <w:r w:rsidR="006E15F5">
              <w:t>to existing employment contracts</w:t>
            </w:r>
            <w:r w:rsidR="0047009C">
              <w:t xml:space="preserve">.  </w:t>
            </w:r>
          </w:p>
        </w:tc>
      </w:tr>
    </w:tbl>
    <w:p w14:paraId="3970744C" w14:textId="77777777" w:rsidR="00B4717B" w:rsidRPr="00607DAF" w:rsidRDefault="00B4717B" w:rsidP="00DE05FF">
      <w:pPr>
        <w:pStyle w:val="Heading3Numbers"/>
        <w:numPr>
          <w:ilvl w:val="2"/>
          <w:numId w:val="41"/>
        </w:numPr>
      </w:pPr>
      <w:r w:rsidRPr="00607DAF">
        <w:t>APRA’s response</w:t>
      </w:r>
    </w:p>
    <w:p w14:paraId="2A2A6C17" w14:textId="6C538E9E" w:rsidR="005A14B5" w:rsidRDefault="00F16DB4" w:rsidP="0005142C">
      <w:r>
        <w:t xml:space="preserve">In </w:t>
      </w:r>
      <w:r w:rsidR="00715962">
        <w:t>APRA</w:t>
      </w:r>
      <w:r>
        <w:t>’s</w:t>
      </w:r>
      <w:r w:rsidR="0005142C">
        <w:t xml:space="preserve"> view</w:t>
      </w:r>
      <w:r>
        <w:t>,</w:t>
      </w:r>
      <w:r w:rsidR="00461F57">
        <w:t xml:space="preserve"> deferral of variable remuneration </w:t>
      </w:r>
      <w:r w:rsidR="0005142C">
        <w:t xml:space="preserve">plays an important role in incentivising </w:t>
      </w:r>
      <w:r w:rsidR="00715962">
        <w:t>employee</w:t>
      </w:r>
      <w:r>
        <w:t>s</w:t>
      </w:r>
      <w:r w:rsidR="00715962">
        <w:t xml:space="preserve"> </w:t>
      </w:r>
      <w:r w:rsidR="00EB309B">
        <w:t xml:space="preserve">to </w:t>
      </w:r>
      <w:r w:rsidR="00AF3868">
        <w:t>take into account</w:t>
      </w:r>
      <w:r w:rsidR="00EB309B" w:rsidRPr="00EB309B">
        <w:t xml:space="preserve"> </w:t>
      </w:r>
      <w:r w:rsidR="00EB309B">
        <w:t>the long term e</w:t>
      </w:r>
      <w:r w:rsidR="00884AA1">
        <w:t>ffects of their decision making</w:t>
      </w:r>
      <w:r w:rsidR="0005142C">
        <w:t>. It also</w:t>
      </w:r>
      <w:r w:rsidR="00FC1541">
        <w:t xml:space="preserve"> enables an entity to strengthen consequence management</w:t>
      </w:r>
      <w:r w:rsidR="00EB309B">
        <w:t xml:space="preserve">. </w:t>
      </w:r>
      <w:r w:rsidR="0005142C">
        <w:t xml:space="preserve">However, APRA acknowledges </w:t>
      </w:r>
      <w:r w:rsidR="005A14B5" w:rsidRPr="00CF1ED8">
        <w:t xml:space="preserve">that overly long deferral periods </w:t>
      </w:r>
      <w:r w:rsidR="005A14B5">
        <w:t xml:space="preserve">can have unintended consequences </w:t>
      </w:r>
      <w:r w:rsidR="00E4134B">
        <w:t>such as on an</w:t>
      </w:r>
      <w:r w:rsidR="005A14B5">
        <w:t xml:space="preserve"> entit</w:t>
      </w:r>
      <w:r w:rsidR="00E4134B">
        <w:t>y’s</w:t>
      </w:r>
      <w:r w:rsidR="005A14B5">
        <w:t xml:space="preserve"> </w:t>
      </w:r>
      <w:r w:rsidR="007346C6">
        <w:t xml:space="preserve">ability </w:t>
      </w:r>
      <w:r w:rsidR="005A14B5">
        <w:t xml:space="preserve">to attract </w:t>
      </w:r>
      <w:r w:rsidR="00693C0D">
        <w:t>and retain certain staff</w:t>
      </w:r>
      <w:r w:rsidR="0005142C">
        <w:t xml:space="preserve">.  </w:t>
      </w:r>
    </w:p>
    <w:p w14:paraId="38817816" w14:textId="26C1AED1" w:rsidR="00047A7F" w:rsidRPr="006D6B14" w:rsidRDefault="0005142C" w:rsidP="006D6B14">
      <w:r>
        <w:t xml:space="preserve">In response, APRA has reduced the </w:t>
      </w:r>
      <w:r w:rsidR="00D82A28">
        <w:t xml:space="preserve">SFI </w:t>
      </w:r>
      <w:r>
        <w:t xml:space="preserve">deferral periods for </w:t>
      </w:r>
      <w:r w:rsidR="007346C6">
        <w:t xml:space="preserve">a </w:t>
      </w:r>
      <w:r>
        <w:t>CEO, senior manager</w:t>
      </w:r>
      <w:r w:rsidR="007346C6">
        <w:t xml:space="preserve">, executive director </w:t>
      </w:r>
      <w:r>
        <w:t>and HPM</w:t>
      </w:r>
      <w:r w:rsidR="00D82A28">
        <w:t>R</w:t>
      </w:r>
      <w:r>
        <w:t>T.</w:t>
      </w:r>
      <w:r w:rsidR="0098631F">
        <w:t xml:space="preserve"> </w:t>
      </w:r>
      <w:r>
        <w:t>T</w:t>
      </w:r>
      <w:r w:rsidR="0098631F">
        <w:t>he</w:t>
      </w:r>
      <w:r>
        <w:t xml:space="preserve"> revised </w:t>
      </w:r>
      <w:r w:rsidR="00C964DF">
        <w:t xml:space="preserve">deferral </w:t>
      </w:r>
      <w:r w:rsidR="00C964DF" w:rsidDel="0098631F">
        <w:t xml:space="preserve">proposals </w:t>
      </w:r>
      <w:r w:rsidR="00A41C2B" w:rsidRPr="006E4049">
        <w:t xml:space="preserve">are summarised in Table </w:t>
      </w:r>
      <w:r w:rsidR="00B65C5D">
        <w:t>5</w:t>
      </w:r>
      <w:r w:rsidR="00A41C2B" w:rsidRPr="006E4049">
        <w:t xml:space="preserve">. </w:t>
      </w:r>
    </w:p>
    <w:p w14:paraId="59E8B3A4" w14:textId="0F291D7A" w:rsidR="005636CA" w:rsidRPr="004B4B71" w:rsidRDefault="005636CA" w:rsidP="005636CA">
      <w:pPr>
        <w:rPr>
          <w:b/>
        </w:rPr>
      </w:pPr>
      <w:r w:rsidRPr="004B4B71">
        <w:rPr>
          <w:b/>
        </w:rPr>
        <w:lastRenderedPageBreak/>
        <w:t xml:space="preserve">Table </w:t>
      </w:r>
      <w:r w:rsidR="00B65C5D">
        <w:rPr>
          <w:b/>
        </w:rPr>
        <w:t>5</w:t>
      </w:r>
      <w:r w:rsidRPr="004B4B71">
        <w:rPr>
          <w:b/>
        </w:rPr>
        <w:t xml:space="preserve">. </w:t>
      </w:r>
      <w:r>
        <w:rPr>
          <w:b/>
        </w:rPr>
        <w:t>Revised</w:t>
      </w:r>
      <w:r w:rsidRPr="004B4B71">
        <w:rPr>
          <w:b/>
        </w:rPr>
        <w:t xml:space="preserve"> deferral obligations </w:t>
      </w:r>
      <w:r w:rsidR="007703F8">
        <w:rPr>
          <w:b/>
        </w:rPr>
        <w:t>for SFIs</w:t>
      </w:r>
    </w:p>
    <w:tbl>
      <w:tblPr>
        <w:tblStyle w:val="TableGrid"/>
        <w:tblW w:w="0" w:type="auto"/>
        <w:tblLook w:val="04A0" w:firstRow="1" w:lastRow="0" w:firstColumn="1" w:lastColumn="0" w:noHBand="0" w:noVBand="1"/>
      </w:tblPr>
      <w:tblGrid>
        <w:gridCol w:w="2268"/>
        <w:gridCol w:w="3373"/>
        <w:gridCol w:w="3373"/>
      </w:tblGrid>
      <w:tr w:rsidR="004F3CD6" w14:paraId="43659269" w14:textId="77777777" w:rsidTr="00855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F4077A3" w14:textId="77777777" w:rsidR="004F3CD6" w:rsidRPr="0099261C" w:rsidRDefault="004F3CD6" w:rsidP="004F3CD6">
            <w:pPr>
              <w:rPr>
                <w:b/>
              </w:rPr>
            </w:pPr>
            <w:r w:rsidRPr="0099261C">
              <w:rPr>
                <w:b/>
              </w:rPr>
              <w:t>Role</w:t>
            </w:r>
          </w:p>
        </w:tc>
        <w:tc>
          <w:tcPr>
            <w:tcW w:w="3373" w:type="dxa"/>
          </w:tcPr>
          <w:p w14:paraId="6624F170" w14:textId="4E73E280" w:rsidR="004F3CD6" w:rsidRDefault="004F3CD6" w:rsidP="004F3CD6">
            <w:pPr>
              <w:cnfStyle w:val="100000000000" w:firstRow="1" w:lastRow="0" w:firstColumn="0" w:lastColumn="0" w:oddVBand="0" w:evenVBand="0" w:oddHBand="0" w:evenHBand="0" w:firstRowFirstColumn="0" w:firstRowLastColumn="0" w:lastRowFirstColumn="0" w:lastRowLastColumn="0"/>
              <w:rPr>
                <w:b/>
              </w:rPr>
            </w:pPr>
            <w:r>
              <w:rPr>
                <w:b/>
              </w:rPr>
              <w:t>Original proposals</w:t>
            </w:r>
          </w:p>
        </w:tc>
        <w:tc>
          <w:tcPr>
            <w:tcW w:w="3373" w:type="dxa"/>
          </w:tcPr>
          <w:p w14:paraId="1E0BBD30" w14:textId="4EC52D5A" w:rsidR="004F3CD6" w:rsidRPr="0099261C" w:rsidRDefault="004F3CD6" w:rsidP="004F3CD6">
            <w:pPr>
              <w:cnfStyle w:val="100000000000" w:firstRow="1" w:lastRow="0" w:firstColumn="0" w:lastColumn="0" w:oddVBand="0" w:evenVBand="0" w:oddHBand="0" w:evenHBand="0" w:firstRowFirstColumn="0" w:firstRowLastColumn="0" w:lastRowFirstColumn="0" w:lastRowLastColumn="0"/>
              <w:rPr>
                <w:b/>
              </w:rPr>
            </w:pPr>
            <w:r>
              <w:rPr>
                <w:b/>
              </w:rPr>
              <w:t>Revised proposals</w:t>
            </w:r>
          </w:p>
        </w:tc>
      </w:tr>
      <w:tr w:rsidR="004F3CD6" w14:paraId="2D9BDD06" w14:textId="77777777" w:rsidTr="00855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AAE93EC" w14:textId="77777777" w:rsidR="004F3CD6" w:rsidRDefault="004F3CD6" w:rsidP="004F3CD6">
            <w:r>
              <w:t>CEO</w:t>
            </w:r>
          </w:p>
        </w:tc>
        <w:tc>
          <w:tcPr>
            <w:tcW w:w="3373" w:type="dxa"/>
          </w:tcPr>
          <w:p w14:paraId="3F0B58B5" w14:textId="77777777" w:rsidR="004F3CD6" w:rsidRDefault="004F3CD6" w:rsidP="004F3CD6">
            <w:pPr>
              <w:cnfStyle w:val="000000100000" w:firstRow="0" w:lastRow="0" w:firstColumn="0" w:lastColumn="0" w:oddVBand="0" w:evenVBand="0" w:oddHBand="1" w:evenHBand="0" w:firstRowFirstColumn="0" w:firstRowLastColumn="0" w:lastRowFirstColumn="0" w:lastRowLastColumn="0"/>
            </w:pPr>
            <w:r>
              <w:t>60% for 7 years</w:t>
            </w:r>
          </w:p>
          <w:p w14:paraId="00C805BD" w14:textId="3156E109" w:rsidR="004F3CD6" w:rsidRDefault="004F3CD6" w:rsidP="004F3CD6">
            <w:pPr>
              <w:cnfStyle w:val="000000100000" w:firstRow="0" w:lastRow="0" w:firstColumn="0" w:lastColumn="0" w:oddVBand="0" w:evenVBand="0" w:oddHBand="1" w:evenHBand="0" w:firstRowFirstColumn="0" w:firstRowLastColumn="0" w:lastRowFirstColumn="0" w:lastRowLastColumn="0"/>
            </w:pPr>
            <w:r>
              <w:t>Vesting after 4 years on a pro-rata basis in years 4, 5 and 6.</w:t>
            </w:r>
          </w:p>
        </w:tc>
        <w:tc>
          <w:tcPr>
            <w:tcW w:w="3373" w:type="dxa"/>
          </w:tcPr>
          <w:p w14:paraId="6FE1589B" w14:textId="6E52FD30" w:rsidR="004F3CD6" w:rsidRDefault="004F3CD6" w:rsidP="004F3CD6">
            <w:pPr>
              <w:cnfStyle w:val="000000100000" w:firstRow="0" w:lastRow="0" w:firstColumn="0" w:lastColumn="0" w:oddVBand="0" w:evenVBand="0" w:oddHBand="1" w:evenHBand="0" w:firstRowFirstColumn="0" w:firstRowLastColumn="0" w:lastRowFirstColumn="0" w:lastRowLastColumn="0"/>
            </w:pPr>
            <w:r>
              <w:t>60% for 6 years</w:t>
            </w:r>
          </w:p>
          <w:p w14:paraId="3248CAE1" w14:textId="19A1F85D" w:rsidR="004F3CD6" w:rsidRDefault="004F3CD6" w:rsidP="004F3CD6">
            <w:pPr>
              <w:cnfStyle w:val="000000100000" w:firstRow="0" w:lastRow="0" w:firstColumn="0" w:lastColumn="0" w:oddVBand="0" w:evenVBand="0" w:oddHBand="1" w:evenHBand="0" w:firstRowFirstColumn="0" w:firstRowLastColumn="0" w:lastRowFirstColumn="0" w:lastRowLastColumn="0"/>
            </w:pPr>
            <w:r>
              <w:t>Vesting after 4 years on a pro-rata basis in years 4, 5 and 6.</w:t>
            </w:r>
          </w:p>
        </w:tc>
      </w:tr>
      <w:tr w:rsidR="004F3CD6" w14:paraId="1FF87A2F" w14:textId="77777777" w:rsidTr="00855B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F7B0D5D" w14:textId="77777777" w:rsidR="004F3CD6" w:rsidRDefault="004F3CD6" w:rsidP="004F3CD6">
            <w:r>
              <w:t>Senior manager and executive director</w:t>
            </w:r>
          </w:p>
        </w:tc>
        <w:tc>
          <w:tcPr>
            <w:tcW w:w="3373" w:type="dxa"/>
          </w:tcPr>
          <w:p w14:paraId="6D03E278" w14:textId="77777777" w:rsidR="004F3CD6" w:rsidRDefault="004F3CD6" w:rsidP="004F3CD6">
            <w:pPr>
              <w:cnfStyle w:val="000000010000" w:firstRow="0" w:lastRow="0" w:firstColumn="0" w:lastColumn="0" w:oddVBand="0" w:evenVBand="0" w:oddHBand="0" w:evenHBand="1" w:firstRowFirstColumn="0" w:firstRowLastColumn="0" w:lastRowFirstColumn="0" w:lastRowLastColumn="0"/>
            </w:pPr>
            <w:r>
              <w:t>40% for 6 years</w:t>
            </w:r>
          </w:p>
          <w:p w14:paraId="15588ECA" w14:textId="49140B61" w:rsidR="004F3CD6" w:rsidRDefault="004F3CD6" w:rsidP="004F3CD6">
            <w:pPr>
              <w:cnfStyle w:val="000000010000" w:firstRow="0" w:lastRow="0" w:firstColumn="0" w:lastColumn="0" w:oddVBand="0" w:evenVBand="0" w:oddHBand="0" w:evenHBand="1" w:firstRowFirstColumn="0" w:firstRowLastColumn="0" w:lastRowFirstColumn="0" w:lastRowLastColumn="0"/>
            </w:pPr>
            <w:r>
              <w:t>Vesting after 4 years on a pro-rata basis in years 4, 5 and 6.</w:t>
            </w:r>
          </w:p>
        </w:tc>
        <w:tc>
          <w:tcPr>
            <w:tcW w:w="3373" w:type="dxa"/>
          </w:tcPr>
          <w:p w14:paraId="1506237D" w14:textId="3BE683BC" w:rsidR="004F3CD6" w:rsidRDefault="004F3CD6" w:rsidP="004F3CD6">
            <w:pPr>
              <w:cnfStyle w:val="000000010000" w:firstRow="0" w:lastRow="0" w:firstColumn="0" w:lastColumn="0" w:oddVBand="0" w:evenVBand="0" w:oddHBand="0" w:evenHBand="1" w:firstRowFirstColumn="0" w:firstRowLastColumn="0" w:lastRowFirstColumn="0" w:lastRowLastColumn="0"/>
            </w:pPr>
            <w:bookmarkStart w:id="31" w:name="_Hlk55575263"/>
            <w:r>
              <w:t>40% for 5 years</w:t>
            </w:r>
          </w:p>
          <w:p w14:paraId="6D097C75" w14:textId="734660B9" w:rsidR="004F3CD6" w:rsidRDefault="004F3CD6" w:rsidP="004F3CD6">
            <w:pPr>
              <w:cnfStyle w:val="000000010000" w:firstRow="0" w:lastRow="0" w:firstColumn="0" w:lastColumn="0" w:oddVBand="0" w:evenVBand="0" w:oddHBand="0" w:evenHBand="1" w:firstRowFirstColumn="0" w:firstRowLastColumn="0" w:lastRowFirstColumn="0" w:lastRowLastColumn="0"/>
            </w:pPr>
            <w:r>
              <w:t>Vesting after 4 years on a pro-rata basis in years 4 and 5.</w:t>
            </w:r>
            <w:bookmarkEnd w:id="31"/>
          </w:p>
        </w:tc>
      </w:tr>
      <w:tr w:rsidR="004F3CD6" w14:paraId="74F3BEEE" w14:textId="77777777" w:rsidTr="00855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A742349" w14:textId="77777777" w:rsidR="004F3CD6" w:rsidRDefault="004F3CD6" w:rsidP="004F3CD6">
            <w:r>
              <w:t>HPMRT</w:t>
            </w:r>
          </w:p>
        </w:tc>
        <w:tc>
          <w:tcPr>
            <w:tcW w:w="3373" w:type="dxa"/>
          </w:tcPr>
          <w:p w14:paraId="210576C2" w14:textId="77777777" w:rsidR="004F3CD6" w:rsidRPr="00622764" w:rsidRDefault="004F3CD6" w:rsidP="004F3CD6">
            <w:pPr>
              <w:cnfStyle w:val="000000100000" w:firstRow="0" w:lastRow="0" w:firstColumn="0" w:lastColumn="0" w:oddVBand="0" w:evenVBand="0" w:oddHBand="1" w:evenHBand="0" w:firstRowFirstColumn="0" w:firstRowLastColumn="0" w:lastRowFirstColumn="0" w:lastRowLastColumn="0"/>
            </w:pPr>
            <w:r>
              <w:t>40% for 6</w:t>
            </w:r>
            <w:r w:rsidRPr="00622764">
              <w:t xml:space="preserve"> years</w:t>
            </w:r>
          </w:p>
          <w:p w14:paraId="7BCE758B" w14:textId="69A9C73E" w:rsidR="004F3CD6" w:rsidRDefault="004F3CD6" w:rsidP="004F3CD6">
            <w:pPr>
              <w:cnfStyle w:val="000000100000" w:firstRow="0" w:lastRow="0" w:firstColumn="0" w:lastColumn="0" w:oddVBand="0" w:evenVBand="0" w:oddHBand="1" w:evenHBand="0" w:firstRowFirstColumn="0" w:firstRowLastColumn="0" w:lastRowFirstColumn="0" w:lastRowLastColumn="0"/>
            </w:pPr>
            <w:r w:rsidRPr="00622764">
              <w:t xml:space="preserve">Vesting after </w:t>
            </w:r>
            <w:r>
              <w:t>4</w:t>
            </w:r>
            <w:r w:rsidRPr="00622764">
              <w:t xml:space="preserve"> years </w:t>
            </w:r>
            <w:r>
              <w:t>on a pro-rata basis in years 4, 5 and 6.</w:t>
            </w:r>
          </w:p>
        </w:tc>
        <w:tc>
          <w:tcPr>
            <w:tcW w:w="3373" w:type="dxa"/>
          </w:tcPr>
          <w:p w14:paraId="7C5B2FE2" w14:textId="34CB7183" w:rsidR="004F3CD6" w:rsidRPr="00622764" w:rsidRDefault="004F3CD6" w:rsidP="004F3CD6">
            <w:pPr>
              <w:cnfStyle w:val="000000100000" w:firstRow="0" w:lastRow="0" w:firstColumn="0" w:lastColumn="0" w:oddVBand="0" w:evenVBand="0" w:oddHBand="1" w:evenHBand="0" w:firstRowFirstColumn="0" w:firstRowLastColumn="0" w:lastRowFirstColumn="0" w:lastRowLastColumn="0"/>
            </w:pPr>
            <w:bookmarkStart w:id="32" w:name="_Hlk55575479"/>
            <w:r>
              <w:t>40% for 4</w:t>
            </w:r>
            <w:r w:rsidRPr="00622764">
              <w:t xml:space="preserve"> years</w:t>
            </w:r>
          </w:p>
          <w:p w14:paraId="001D0920" w14:textId="47F705F5" w:rsidR="004F3CD6" w:rsidRDefault="004F3CD6" w:rsidP="004F3CD6">
            <w:pPr>
              <w:cnfStyle w:val="000000100000" w:firstRow="0" w:lastRow="0" w:firstColumn="0" w:lastColumn="0" w:oddVBand="0" w:evenVBand="0" w:oddHBand="1" w:evenHBand="0" w:firstRowFirstColumn="0" w:firstRowLastColumn="0" w:lastRowFirstColumn="0" w:lastRowLastColumn="0"/>
            </w:pPr>
            <w:r w:rsidRPr="00622764">
              <w:t xml:space="preserve">Vesting after </w:t>
            </w:r>
            <w:r>
              <w:t>2</w:t>
            </w:r>
            <w:r w:rsidRPr="00622764">
              <w:t xml:space="preserve"> years </w:t>
            </w:r>
            <w:r>
              <w:t>on a pro-rata basis in years 2, 3 and 4.</w:t>
            </w:r>
            <w:bookmarkEnd w:id="32"/>
          </w:p>
        </w:tc>
      </w:tr>
    </w:tbl>
    <w:p w14:paraId="45F0940B" w14:textId="77777777" w:rsidR="0092314D" w:rsidRDefault="0092314D" w:rsidP="0092314D">
      <w:pPr>
        <w:pStyle w:val="Heading4"/>
      </w:pPr>
      <w:r>
        <w:t xml:space="preserve">Deferral for a CEO </w:t>
      </w:r>
    </w:p>
    <w:p w14:paraId="0939A65E" w14:textId="74D690DE" w:rsidR="00522AD8" w:rsidRDefault="006D6B14" w:rsidP="00A41C2B">
      <w:r>
        <w:t xml:space="preserve">APRA has amended the </w:t>
      </w:r>
      <w:r w:rsidR="00AE06F6">
        <w:t>deferral period and vesting</w:t>
      </w:r>
      <w:r>
        <w:t xml:space="preserve"> </w:t>
      </w:r>
      <w:r w:rsidR="00124D41">
        <w:t xml:space="preserve">requirement </w:t>
      </w:r>
      <w:r>
        <w:t>for a CEO</w:t>
      </w:r>
      <w:r w:rsidR="00AE06F6">
        <w:t xml:space="preserve">, </w:t>
      </w:r>
      <w:r w:rsidR="00DB78B7">
        <w:t xml:space="preserve">from seven </w:t>
      </w:r>
      <w:r w:rsidR="00AE06F6">
        <w:t>to six years</w:t>
      </w:r>
      <w:r w:rsidR="00DB78B7">
        <w:t>,</w:t>
      </w:r>
      <w:r w:rsidR="00AE06F6">
        <w:t xml:space="preserve"> with pro-rata vesting </w:t>
      </w:r>
      <w:r w:rsidR="00652576">
        <w:t>in years 4, 5 and 6</w:t>
      </w:r>
      <w:r w:rsidR="00522AD8">
        <w:t>.</w:t>
      </w:r>
      <w:r w:rsidR="0005142C">
        <w:t xml:space="preserve"> </w:t>
      </w:r>
      <w:r w:rsidR="005A14B5">
        <w:t>This revision more</w:t>
      </w:r>
      <w:r w:rsidR="00522AD8">
        <w:t xml:space="preserve"> </w:t>
      </w:r>
      <w:r w:rsidR="005A14B5">
        <w:t>closely aligns with</w:t>
      </w:r>
      <w:r w:rsidR="00522AD8">
        <w:t xml:space="preserve"> the t</w:t>
      </w:r>
      <w:r w:rsidR="00A41C2B">
        <w:t>ypical</w:t>
      </w:r>
      <w:r w:rsidR="00522AD8">
        <w:t xml:space="preserve"> term</w:t>
      </w:r>
      <w:r w:rsidR="0098631F">
        <w:t xml:space="preserve"> </w:t>
      </w:r>
      <w:r w:rsidR="005A14B5">
        <w:t>of Australian CEOs</w:t>
      </w:r>
      <w:r w:rsidR="00604F7F">
        <w:t>.</w:t>
      </w:r>
      <w:r w:rsidR="00630CAE">
        <w:t xml:space="preserve"> </w:t>
      </w:r>
      <w:r w:rsidR="003952F6">
        <w:t>D</w:t>
      </w:r>
      <w:r w:rsidR="00630CAE">
        <w:t xml:space="preserve">ecisions </w:t>
      </w:r>
      <w:r w:rsidR="003952F6">
        <w:t xml:space="preserve">a CEO makes can </w:t>
      </w:r>
      <w:r w:rsidR="00630CAE">
        <w:t xml:space="preserve">impact the entity </w:t>
      </w:r>
      <w:r w:rsidR="003952F6">
        <w:t>beyond</w:t>
      </w:r>
      <w:r w:rsidR="00630CAE">
        <w:t xml:space="preserve"> their departure</w:t>
      </w:r>
      <w:r w:rsidR="003952F6">
        <w:t xml:space="preserve"> and </w:t>
      </w:r>
      <w:r w:rsidR="00CA6C3C">
        <w:t>the revised</w:t>
      </w:r>
      <w:r w:rsidR="003952F6">
        <w:t xml:space="preserve"> deferral </w:t>
      </w:r>
      <w:r w:rsidR="00CA6C3C">
        <w:t>and vesting</w:t>
      </w:r>
      <w:r w:rsidR="003952F6">
        <w:t xml:space="preserve"> will help to ensure </w:t>
      </w:r>
      <w:r w:rsidR="003952F6" w:rsidDel="000D6F06">
        <w:t xml:space="preserve">some </w:t>
      </w:r>
      <w:r w:rsidR="003952F6">
        <w:t>variable remuneration stays on foot for the consequence management process.</w:t>
      </w:r>
      <w:r w:rsidR="00652576">
        <w:t xml:space="preserve"> </w:t>
      </w:r>
      <w:r w:rsidR="00D46EFD">
        <w:t xml:space="preserve">Pro-rata vesting from year four aligns with </w:t>
      </w:r>
      <w:r w:rsidR="00CA6C3C">
        <w:t>the BEAR</w:t>
      </w:r>
      <w:r w:rsidR="003952F6">
        <w:t>,</w:t>
      </w:r>
      <w:r w:rsidR="00522AD8">
        <w:t xml:space="preserve"> </w:t>
      </w:r>
      <w:r w:rsidR="00CA6C3C">
        <w:t xml:space="preserve">which sets a </w:t>
      </w:r>
      <w:r w:rsidR="00522AD8">
        <w:t>four year deferral period</w:t>
      </w:r>
      <w:r w:rsidR="00CA6C3C">
        <w:t>.</w:t>
      </w:r>
      <w:r w:rsidR="003952F6">
        <w:t xml:space="preserve"> </w:t>
      </w:r>
      <w:r w:rsidR="00652576">
        <w:t>It</w:t>
      </w:r>
      <w:r w:rsidR="003952F6">
        <w:t xml:space="preserve"> </w:t>
      </w:r>
      <w:r w:rsidR="00D46EFD">
        <w:t>also aligns to</w:t>
      </w:r>
      <w:r w:rsidR="00522AD8">
        <w:t xml:space="preserve"> </w:t>
      </w:r>
      <w:r w:rsidR="00E579DB">
        <w:t xml:space="preserve">key </w:t>
      </w:r>
      <w:r w:rsidR="00522AD8">
        <w:t xml:space="preserve">FSB principles. </w:t>
      </w:r>
    </w:p>
    <w:p w14:paraId="68110B95" w14:textId="346A7BE7" w:rsidR="00D62ECA" w:rsidRDefault="00C82C61" w:rsidP="00C82C61">
      <w:r w:rsidRPr="00F5656F">
        <w:t xml:space="preserve">Figure 2 below profiles </w:t>
      </w:r>
      <w:r w:rsidR="00F81C10">
        <w:t>revised CPS 511 minimum deferral requirements for a</w:t>
      </w:r>
      <w:r w:rsidR="00F81C10" w:rsidRPr="00F5656F">
        <w:t xml:space="preserve"> </w:t>
      </w:r>
      <w:r w:rsidRPr="00F5656F">
        <w:t>CEO</w:t>
      </w:r>
      <w:r w:rsidR="00F81C10">
        <w:t>.</w:t>
      </w:r>
      <w:r w:rsidR="00D62ECA">
        <w:t xml:space="preserve"> </w:t>
      </w:r>
      <w:r w:rsidR="00B65A67">
        <w:t>In this example,</w:t>
      </w:r>
      <w:r w:rsidR="00D62ECA">
        <w:t xml:space="preserve"> </w:t>
      </w:r>
      <w:r w:rsidR="00B65A67">
        <w:t xml:space="preserve">the </w:t>
      </w:r>
      <w:r w:rsidR="00D62ECA">
        <w:t>entit</w:t>
      </w:r>
      <w:r w:rsidR="00B65A67">
        <w:t>yis</w:t>
      </w:r>
      <w:r w:rsidR="00D62ECA">
        <w:t xml:space="preserve"> required to defer 60 per cent of the CEO’s variable remuneration for </w:t>
      </w:r>
      <w:r w:rsidRPr="00F5656F">
        <w:t>six year</w:t>
      </w:r>
      <w:r w:rsidR="00D62ECA">
        <w:t xml:space="preserve">s, with distributions commencing from year four on a pro-rata basis. In effect, the 60 per cent that </w:t>
      </w:r>
      <w:r w:rsidR="00A22B55">
        <w:t>is</w:t>
      </w:r>
      <w:r w:rsidR="00D62ECA">
        <w:t xml:space="preserve"> deferred is distributed between years four and six. This example also shows that 40 per cent of the CEO’s variable remuneration is not subject to CPS 511 deferral requirements</w:t>
      </w:r>
      <w:r w:rsidR="00B65A67">
        <w:t xml:space="preserve"> and vesting is at the discretion of the entity</w:t>
      </w:r>
      <w:r w:rsidR="00D62ECA">
        <w:t>.</w:t>
      </w:r>
    </w:p>
    <w:p w14:paraId="5902A4DA" w14:textId="0E81C8EA" w:rsidR="00C82C61" w:rsidRDefault="00C82C61" w:rsidP="00C82C61">
      <w:pPr>
        <w:rPr>
          <w:b/>
        </w:rPr>
      </w:pPr>
      <w:r w:rsidRPr="00F5656F">
        <w:rPr>
          <w:b/>
        </w:rPr>
        <w:t xml:space="preserve">Figure 2. </w:t>
      </w:r>
      <w:r w:rsidR="00B65A67">
        <w:rPr>
          <w:b/>
        </w:rPr>
        <w:t>Minimum d</w:t>
      </w:r>
      <w:r w:rsidRPr="00F5656F">
        <w:rPr>
          <w:b/>
        </w:rPr>
        <w:t xml:space="preserve">eferral </w:t>
      </w:r>
      <w:r w:rsidR="00516F3C">
        <w:rPr>
          <w:b/>
        </w:rPr>
        <w:t>requirements</w:t>
      </w:r>
      <w:r w:rsidRPr="00F5656F">
        <w:rPr>
          <w:b/>
        </w:rPr>
        <w:t xml:space="preserve"> for a CEO of a SFI</w:t>
      </w:r>
    </w:p>
    <w:p w14:paraId="51930969" w14:textId="372488AC" w:rsidR="00224E9D" w:rsidRPr="00F5656F" w:rsidRDefault="00224E9D" w:rsidP="00C82C61">
      <w:pPr>
        <w:rPr>
          <w:b/>
        </w:rPr>
      </w:pPr>
      <w:r>
        <w:rPr>
          <w:b/>
          <w:noProof/>
          <w:lang w:eastAsia="en-AU"/>
        </w:rPr>
        <w:lastRenderedPageBreak/>
        <w:drawing>
          <wp:inline distT="0" distB="0" distL="0" distR="0" wp14:anchorId="28DC9331" wp14:editId="6E8B1A3F">
            <wp:extent cx="5925600" cy="2034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5600" cy="2034000"/>
                    </a:xfrm>
                    <a:prstGeom prst="rect">
                      <a:avLst/>
                    </a:prstGeom>
                    <a:noFill/>
                  </pic:spPr>
                </pic:pic>
              </a:graphicData>
            </a:graphic>
          </wp:inline>
        </w:drawing>
      </w:r>
    </w:p>
    <w:p w14:paraId="03B007AB" w14:textId="32BE0CA3" w:rsidR="00604F7F" w:rsidRDefault="00604F7F" w:rsidP="00604F7F">
      <w:pPr>
        <w:pStyle w:val="Heading4"/>
      </w:pPr>
      <w:r>
        <w:t xml:space="preserve">Deferral </w:t>
      </w:r>
      <w:r w:rsidR="00A643EE">
        <w:t>for a</w:t>
      </w:r>
      <w:r>
        <w:t xml:space="preserve"> senior manager</w:t>
      </w:r>
    </w:p>
    <w:p w14:paraId="1322E259" w14:textId="088DE1AC" w:rsidR="00E579DB" w:rsidRDefault="00E579DB" w:rsidP="00E579DB">
      <w:r w:rsidRPr="007F2AC3">
        <w:t>For a senior manager</w:t>
      </w:r>
      <w:r>
        <w:t xml:space="preserve">, APRA has </w:t>
      </w:r>
      <w:r w:rsidR="005A59CB">
        <w:t>reduced</w:t>
      </w:r>
      <w:r>
        <w:t xml:space="preserve"> the </w:t>
      </w:r>
      <w:r w:rsidR="00124D41">
        <w:t xml:space="preserve">requirement </w:t>
      </w:r>
      <w:r w:rsidR="00CA6C3C">
        <w:t xml:space="preserve">from six to five years, with pro-rata vesting </w:t>
      </w:r>
      <w:r w:rsidR="004C4A1C">
        <w:t xml:space="preserve">in years </w:t>
      </w:r>
      <w:r w:rsidR="0020303E">
        <w:t>4</w:t>
      </w:r>
      <w:r w:rsidR="000D6F06">
        <w:t xml:space="preserve"> </w:t>
      </w:r>
      <w:r w:rsidR="004C4A1C">
        <w:t xml:space="preserve">and </w:t>
      </w:r>
      <w:r w:rsidR="0020303E">
        <w:t>5</w:t>
      </w:r>
      <w:r w:rsidR="00CA6C3C">
        <w:t>.</w:t>
      </w:r>
      <w:r w:rsidR="004C4A1C">
        <w:t xml:space="preserve"> </w:t>
      </w:r>
      <w:r>
        <w:t>The revised proposal is shorter than the deferral period set for a CEO, to reflect that a senior manager has a comparatively lower impac</w:t>
      </w:r>
      <w:r w:rsidR="00CA6C3C">
        <w:t xml:space="preserve">t on the entity’s risk profile </w:t>
      </w:r>
      <w:r w:rsidRPr="006D6B14">
        <w:t>and accountability</w:t>
      </w:r>
      <w:r>
        <w:t xml:space="preserve">. Similar to the CEO, the </w:t>
      </w:r>
      <w:r w:rsidR="00576C20">
        <w:t>proposal for</w:t>
      </w:r>
      <w:r>
        <w:t xml:space="preserve"> pro-rata vesting </w:t>
      </w:r>
      <w:r w:rsidR="00576C20">
        <w:t xml:space="preserve">from </w:t>
      </w:r>
      <w:r w:rsidR="008131CA">
        <w:t xml:space="preserve">year </w:t>
      </w:r>
      <w:r w:rsidR="00035B3E">
        <w:t xml:space="preserve">four </w:t>
      </w:r>
      <w:r w:rsidR="00576C20">
        <w:t>aligns to the BEAR and is consistent with</w:t>
      </w:r>
      <w:r>
        <w:t xml:space="preserve"> FSB principles.</w:t>
      </w:r>
    </w:p>
    <w:p w14:paraId="3C521ECA" w14:textId="77777777" w:rsidR="0092314D" w:rsidRDefault="0092314D" w:rsidP="0092314D">
      <w:pPr>
        <w:pStyle w:val="Heading4"/>
      </w:pPr>
      <w:r>
        <w:t xml:space="preserve">Deferral for a HPMRT </w:t>
      </w:r>
    </w:p>
    <w:p w14:paraId="3573F689" w14:textId="66000362" w:rsidR="00E579DB" w:rsidRDefault="00000A7B" w:rsidP="00B33F09">
      <w:pPr>
        <w:rPr>
          <w:color w:val="auto"/>
        </w:rPr>
      </w:pPr>
      <w:r>
        <w:t xml:space="preserve">APRA </w:t>
      </w:r>
      <w:r w:rsidR="00461F57">
        <w:t xml:space="preserve">acknowledges the feedback that </w:t>
      </w:r>
      <w:r w:rsidR="00FB141D">
        <w:t xml:space="preserve">the responsibilities </w:t>
      </w:r>
      <w:r w:rsidR="00FB141D">
        <w:rPr>
          <w:color w:val="auto"/>
        </w:rPr>
        <w:t>and risk impact of a</w:t>
      </w:r>
      <w:r w:rsidR="00FB141D">
        <w:t xml:space="preserve"> </w:t>
      </w:r>
      <w:r w:rsidR="00FB516C">
        <w:t xml:space="preserve">HPMRT </w:t>
      </w:r>
      <w:r w:rsidR="00FB141D">
        <w:t>are</w:t>
      </w:r>
      <w:r w:rsidR="00FB516C">
        <w:rPr>
          <w:color w:val="auto"/>
        </w:rPr>
        <w:t xml:space="preserve"> </w:t>
      </w:r>
      <w:r w:rsidR="00B63815">
        <w:t>typically</w:t>
      </w:r>
      <w:r w:rsidR="00B63815">
        <w:rPr>
          <w:color w:val="auto"/>
        </w:rPr>
        <w:t xml:space="preserve"> </w:t>
      </w:r>
      <w:r w:rsidR="00576C20">
        <w:rPr>
          <w:color w:val="auto"/>
        </w:rPr>
        <w:t>less than</w:t>
      </w:r>
      <w:r w:rsidR="00FB516C">
        <w:rPr>
          <w:color w:val="auto"/>
        </w:rPr>
        <w:t xml:space="preserve"> </w:t>
      </w:r>
      <w:r w:rsidR="00FB141D">
        <w:rPr>
          <w:color w:val="auto"/>
        </w:rPr>
        <w:t xml:space="preserve">that of </w:t>
      </w:r>
      <w:r w:rsidR="00FB516C">
        <w:rPr>
          <w:color w:val="auto"/>
        </w:rPr>
        <w:t>a senior manager</w:t>
      </w:r>
      <w:r w:rsidR="00FB141D">
        <w:rPr>
          <w:color w:val="auto"/>
        </w:rPr>
        <w:t xml:space="preserve">. </w:t>
      </w:r>
      <w:r w:rsidR="005A37FF">
        <w:rPr>
          <w:color w:val="auto"/>
        </w:rPr>
        <w:t xml:space="preserve">In </w:t>
      </w:r>
      <w:r w:rsidR="00CC6BA0">
        <w:rPr>
          <w:color w:val="auto"/>
        </w:rPr>
        <w:t xml:space="preserve">re-examining </w:t>
      </w:r>
      <w:r w:rsidR="005A37FF">
        <w:rPr>
          <w:color w:val="auto"/>
        </w:rPr>
        <w:t xml:space="preserve">the deferral period for a HPMRT, APRA </w:t>
      </w:r>
      <w:r w:rsidR="004C4A1C">
        <w:rPr>
          <w:color w:val="auto"/>
        </w:rPr>
        <w:t>considered</w:t>
      </w:r>
      <w:r w:rsidR="005A37FF">
        <w:rPr>
          <w:color w:val="auto"/>
        </w:rPr>
        <w:t xml:space="preserve"> the </w:t>
      </w:r>
      <w:r w:rsidR="00F40309">
        <w:rPr>
          <w:color w:val="auto"/>
        </w:rPr>
        <w:t>trade-offs between</w:t>
      </w:r>
      <w:r w:rsidR="005A37FF">
        <w:rPr>
          <w:color w:val="auto"/>
        </w:rPr>
        <w:t xml:space="preserve"> increasing the 1m</w:t>
      </w:r>
      <w:r w:rsidR="0020303E">
        <w:rPr>
          <w:color w:val="auto"/>
        </w:rPr>
        <w:t>illion</w:t>
      </w:r>
      <w:r w:rsidR="005A37FF">
        <w:rPr>
          <w:color w:val="auto"/>
        </w:rPr>
        <w:t xml:space="preserve"> </w:t>
      </w:r>
      <w:r w:rsidR="0020303E">
        <w:rPr>
          <w:color w:val="auto"/>
        </w:rPr>
        <w:t>AUD</w:t>
      </w:r>
      <w:r w:rsidR="005A37FF">
        <w:rPr>
          <w:color w:val="auto"/>
        </w:rPr>
        <w:t xml:space="preserve"> threshold for HPMRTs </w:t>
      </w:r>
      <w:r w:rsidR="00F40309">
        <w:rPr>
          <w:color w:val="auto"/>
        </w:rPr>
        <w:t xml:space="preserve">and </w:t>
      </w:r>
      <w:r w:rsidR="005A37FF">
        <w:rPr>
          <w:color w:val="auto"/>
        </w:rPr>
        <w:t xml:space="preserve">shortening the deferral period. APRA resolved that increasing the threshold would </w:t>
      </w:r>
      <w:r w:rsidR="00035B3E">
        <w:rPr>
          <w:color w:val="auto"/>
        </w:rPr>
        <w:t>impede the objective</w:t>
      </w:r>
      <w:r w:rsidR="00CC6BA0">
        <w:rPr>
          <w:color w:val="auto"/>
        </w:rPr>
        <w:t xml:space="preserve"> of imposing heightened scrutiny on those with high earnings and high impact.</w:t>
      </w:r>
      <w:r w:rsidR="005A37FF">
        <w:rPr>
          <w:color w:val="auto"/>
        </w:rPr>
        <w:t xml:space="preserve"> </w:t>
      </w:r>
    </w:p>
    <w:p w14:paraId="3CC5C6BA" w14:textId="6664D8C9" w:rsidR="00FB141D" w:rsidRDefault="00E45C14" w:rsidP="00B33F09">
      <w:pPr>
        <w:rPr>
          <w:color w:val="auto"/>
        </w:rPr>
      </w:pPr>
      <w:r>
        <w:rPr>
          <w:color w:val="auto"/>
        </w:rPr>
        <w:t>To balance its objectives</w:t>
      </w:r>
      <w:r w:rsidR="00FB141D">
        <w:rPr>
          <w:color w:val="auto"/>
        </w:rPr>
        <w:t>, APRA has</w:t>
      </w:r>
      <w:r w:rsidR="005A59CB">
        <w:rPr>
          <w:color w:val="auto"/>
        </w:rPr>
        <w:t xml:space="preserve"> </w:t>
      </w:r>
      <w:r>
        <w:rPr>
          <w:color w:val="auto"/>
        </w:rPr>
        <w:t>reduce</w:t>
      </w:r>
      <w:r w:rsidR="005A59CB">
        <w:rPr>
          <w:color w:val="auto"/>
        </w:rPr>
        <w:t>d</w:t>
      </w:r>
      <w:r>
        <w:rPr>
          <w:color w:val="auto"/>
        </w:rPr>
        <w:t xml:space="preserve"> </w:t>
      </w:r>
      <w:r w:rsidR="00FB141D">
        <w:rPr>
          <w:color w:val="auto"/>
        </w:rPr>
        <w:t xml:space="preserve">the deferral period </w:t>
      </w:r>
      <w:r w:rsidR="00E579DB">
        <w:rPr>
          <w:color w:val="auto"/>
        </w:rPr>
        <w:t>and vesting</w:t>
      </w:r>
      <w:r w:rsidR="00AE1375">
        <w:rPr>
          <w:color w:val="auto"/>
        </w:rPr>
        <w:t xml:space="preserve"> requirement</w:t>
      </w:r>
      <w:r w:rsidR="00E579DB">
        <w:rPr>
          <w:color w:val="auto"/>
        </w:rPr>
        <w:t xml:space="preserve"> </w:t>
      </w:r>
      <w:r w:rsidR="00FB141D">
        <w:rPr>
          <w:color w:val="auto"/>
        </w:rPr>
        <w:t xml:space="preserve">for a HPMRT, </w:t>
      </w:r>
      <w:r w:rsidR="005A59CB">
        <w:rPr>
          <w:color w:val="auto"/>
        </w:rPr>
        <w:t>from six to</w:t>
      </w:r>
      <w:r w:rsidR="00FB141D">
        <w:rPr>
          <w:color w:val="auto"/>
        </w:rPr>
        <w:t xml:space="preserve"> </w:t>
      </w:r>
      <w:r w:rsidR="00E579DB">
        <w:rPr>
          <w:color w:val="auto"/>
        </w:rPr>
        <w:t>four</w:t>
      </w:r>
      <w:r w:rsidR="00FB141D">
        <w:rPr>
          <w:color w:val="auto"/>
        </w:rPr>
        <w:t xml:space="preserve"> years</w:t>
      </w:r>
      <w:r w:rsidR="00AE1375">
        <w:rPr>
          <w:color w:val="auto"/>
        </w:rPr>
        <w:t>,</w:t>
      </w:r>
      <w:r w:rsidR="00E579DB" w:rsidRPr="00E579DB">
        <w:t xml:space="preserve"> </w:t>
      </w:r>
      <w:r w:rsidR="00E579DB">
        <w:t xml:space="preserve">with pro-rata vesting </w:t>
      </w:r>
      <w:r w:rsidR="00E34F70">
        <w:t>in years 2, 3 and 4</w:t>
      </w:r>
      <w:r w:rsidR="00FB141D">
        <w:rPr>
          <w:color w:val="auto"/>
        </w:rPr>
        <w:t xml:space="preserve">. </w:t>
      </w:r>
      <w:r w:rsidR="00E402C4">
        <w:rPr>
          <w:color w:val="auto"/>
        </w:rPr>
        <w:t xml:space="preserve">This seeks to reduce undue impacts on staff recruitment and retention, but will require entities to strengthen existing practices and </w:t>
      </w:r>
      <w:r w:rsidR="006C3773">
        <w:rPr>
          <w:color w:val="auto"/>
        </w:rPr>
        <w:t>subject HPMRTs to greater accountability</w:t>
      </w:r>
      <w:r w:rsidR="004E5F07">
        <w:t xml:space="preserve">. </w:t>
      </w:r>
    </w:p>
    <w:p w14:paraId="0A65A910" w14:textId="3CE6D9E6" w:rsidR="00F443C5" w:rsidRDefault="00F443C5" w:rsidP="00F443C5">
      <w:pPr>
        <w:pStyle w:val="Heading4"/>
      </w:pPr>
      <w:r w:rsidRPr="00580A75">
        <w:t>Deferral</w:t>
      </w:r>
      <w:r>
        <w:t xml:space="preserve"> proportions</w:t>
      </w:r>
    </w:p>
    <w:p w14:paraId="7AA19CE8" w14:textId="532098B7" w:rsidR="001209A5" w:rsidRDefault="00E45C14" w:rsidP="001209A5">
      <w:r>
        <w:t xml:space="preserve">APRA has not amended the </w:t>
      </w:r>
      <w:r w:rsidRPr="001475F0">
        <w:t>proportion</w:t>
      </w:r>
      <w:r>
        <w:t>s to be deferred for a CEO, senior manager and HPMRT.</w:t>
      </w:r>
      <w:r w:rsidR="006B5E3F">
        <w:t xml:space="preserve"> </w:t>
      </w:r>
      <w:r>
        <w:t>Industry did not provide</w:t>
      </w:r>
      <w:r w:rsidR="00DE3FE3">
        <w:t xml:space="preserve"> significant feedback</w:t>
      </w:r>
      <w:r w:rsidR="00BE7B98">
        <w:t xml:space="preserve"> on the</w:t>
      </w:r>
      <w:r w:rsidR="005D52CA">
        <w:t xml:space="preserve"> </w:t>
      </w:r>
      <w:r w:rsidR="00AA0F89">
        <w:t xml:space="preserve">proposed </w:t>
      </w:r>
      <w:r w:rsidR="00DE3FE3">
        <w:t>proportions</w:t>
      </w:r>
      <w:r w:rsidR="006B5E3F">
        <w:t>,</w:t>
      </w:r>
      <w:r w:rsidR="00790843">
        <w:t xml:space="preserve"> </w:t>
      </w:r>
      <w:r w:rsidR="006C3773">
        <w:t xml:space="preserve">which </w:t>
      </w:r>
      <w:r w:rsidR="006B5E3F">
        <w:t xml:space="preserve">align to those imposed under the BEAR and </w:t>
      </w:r>
      <w:r w:rsidR="00AA0F89">
        <w:t xml:space="preserve">are commensurate with </w:t>
      </w:r>
      <w:r w:rsidR="00AA0F89" w:rsidRPr="001475F0">
        <w:t>international</w:t>
      </w:r>
      <w:r w:rsidR="00AA0F89">
        <w:t xml:space="preserve"> practice.</w:t>
      </w:r>
      <w:r w:rsidR="006C3773">
        <w:t xml:space="preserve"> </w:t>
      </w:r>
      <w:r w:rsidR="00AA0F89" w:rsidDel="006C3773">
        <w:t xml:space="preserve"> </w:t>
      </w:r>
    </w:p>
    <w:p w14:paraId="69587D6E" w14:textId="248F76D4" w:rsidR="001209A5" w:rsidRPr="00F443C5" w:rsidRDefault="007A2B01" w:rsidP="001209A5">
      <w:pPr>
        <w:pStyle w:val="Heading4"/>
      </w:pPr>
      <w:r>
        <w:lastRenderedPageBreak/>
        <w:t>Deferral period</w:t>
      </w:r>
    </w:p>
    <w:p w14:paraId="6C6C3107" w14:textId="2B6F3F31" w:rsidR="0087493A" w:rsidRPr="00F5656F" w:rsidRDefault="00F5656F" w:rsidP="0087493A">
      <w:r w:rsidRPr="00F5656F">
        <w:t xml:space="preserve">APRA has </w:t>
      </w:r>
      <w:r w:rsidR="00265483">
        <w:t>clarified the</w:t>
      </w:r>
      <w:r w:rsidRPr="00F5656F">
        <w:t xml:space="preserve"> approach to determin</w:t>
      </w:r>
      <w:r w:rsidR="00F81C10">
        <w:t>ing</w:t>
      </w:r>
      <w:r w:rsidRPr="00F5656F">
        <w:t xml:space="preserve"> deferral</w:t>
      </w:r>
      <w:r w:rsidRPr="00F5656F" w:rsidDel="00A07DE7">
        <w:t xml:space="preserve"> </w:t>
      </w:r>
      <w:r w:rsidR="0087493A">
        <w:t>periods</w:t>
      </w:r>
      <w:r w:rsidRPr="00F5656F">
        <w:t xml:space="preserve">. </w:t>
      </w:r>
      <w:r w:rsidR="0087493A">
        <w:t xml:space="preserve"> For a STI, the deferral period would include the 12 month performance period but not precede that, even if one or more of the measures look back beyond this date. </w:t>
      </w:r>
      <w:r w:rsidR="0087493A" w:rsidRPr="00F5656F" w:rsidDel="00265483">
        <w:t xml:space="preserve"> </w:t>
      </w:r>
      <w:r w:rsidR="0087493A" w:rsidRPr="0087493A">
        <w:t xml:space="preserve"> </w:t>
      </w:r>
      <w:r w:rsidR="0087493A">
        <w:t xml:space="preserve">For a LTI, the deferral period may include the period over which the performance is assessed and any service period required. </w:t>
      </w:r>
      <w:r w:rsidR="00F81C10">
        <w:t xml:space="preserve"> </w:t>
      </w:r>
      <w:r w:rsidR="0087493A">
        <w:t>In a new CPG 511, APRA will outline better practices including relating to sign-on awards, where the deferral period is expected to start when employment commences.</w:t>
      </w:r>
    </w:p>
    <w:p w14:paraId="16C90078" w14:textId="709B2388" w:rsidR="00F443C5" w:rsidRDefault="00F443C5" w:rsidP="00F443C5">
      <w:pPr>
        <w:pStyle w:val="Heading4"/>
      </w:pPr>
      <w:r w:rsidRPr="00F443C5">
        <w:t>Deferral</w:t>
      </w:r>
      <w:r>
        <w:t xml:space="preserve"> threshold</w:t>
      </w:r>
    </w:p>
    <w:p w14:paraId="3823B31E" w14:textId="35DB4AF3" w:rsidR="00BE7B98" w:rsidRPr="00BE7B98" w:rsidRDefault="00E32BCD" w:rsidP="00BE7B98">
      <w:r>
        <w:t xml:space="preserve">APRA’s </w:t>
      </w:r>
      <w:r w:rsidR="00DC06A8">
        <w:t>intent</w:t>
      </w:r>
      <w:r>
        <w:t xml:space="preserve"> </w:t>
      </w:r>
      <w:r w:rsidR="00F459ED">
        <w:t>in setting</w:t>
      </w:r>
      <w:r w:rsidR="00980E82">
        <w:t xml:space="preserve"> a</w:t>
      </w:r>
      <w:r w:rsidR="00B63815">
        <w:t xml:space="preserve"> minimum </w:t>
      </w:r>
      <w:r w:rsidR="00BE7B98" w:rsidRPr="00BE7B98">
        <w:t xml:space="preserve">deferral threshold </w:t>
      </w:r>
      <w:r w:rsidR="00B63815">
        <w:t xml:space="preserve">was </w:t>
      </w:r>
      <w:r w:rsidR="00BE7B98" w:rsidRPr="00BE7B98">
        <w:t>to</w:t>
      </w:r>
      <w:r w:rsidR="00996621">
        <w:t xml:space="preserve"> concentrate deferral obligations on roles where</w:t>
      </w:r>
      <w:r w:rsidR="00BE7B98" w:rsidRPr="00BE7B98">
        <w:t xml:space="preserve"> </w:t>
      </w:r>
      <w:r w:rsidR="00F459ED">
        <w:t>variable remuneration makes up</w:t>
      </w:r>
      <w:r w:rsidR="00FE025B">
        <w:t xml:space="preserve"> </w:t>
      </w:r>
      <w:r w:rsidR="00166E3D">
        <w:t xml:space="preserve">a significant portion of </w:t>
      </w:r>
      <w:r w:rsidR="00F459ED">
        <w:t>total remuneration</w:t>
      </w:r>
      <w:r w:rsidR="00166E3D">
        <w:t xml:space="preserve">. </w:t>
      </w:r>
      <w:r w:rsidR="00441FFD">
        <w:t>To achieve this objective, APRA’s revised</w:t>
      </w:r>
      <w:r w:rsidR="00980E82">
        <w:t xml:space="preserve"> CPS 511 </w:t>
      </w:r>
      <w:r w:rsidR="00F443C5">
        <w:t xml:space="preserve">sets the deferral </w:t>
      </w:r>
      <w:r w:rsidR="002714E6">
        <w:t xml:space="preserve">threshold at </w:t>
      </w:r>
      <w:r w:rsidR="009B71BA">
        <w:t xml:space="preserve">50,000 </w:t>
      </w:r>
      <w:r w:rsidR="0020303E">
        <w:t xml:space="preserve">AUD </w:t>
      </w:r>
      <w:r w:rsidR="009B71BA">
        <w:t xml:space="preserve">of </w:t>
      </w:r>
      <w:r w:rsidR="00BE7B98" w:rsidRPr="00BE7B98">
        <w:t>deferred</w:t>
      </w:r>
      <w:r w:rsidR="009B71BA">
        <w:t xml:space="preserve"> variable remuneration.</w:t>
      </w:r>
      <w:r w:rsidR="00BE7B98" w:rsidRPr="00BE7B98">
        <w:t xml:space="preserve"> This</w:t>
      </w:r>
      <w:r w:rsidR="00BE7B98" w:rsidRPr="00BE7B98" w:rsidDel="00441FFD">
        <w:t xml:space="preserve"> </w:t>
      </w:r>
      <w:r w:rsidR="006C3773">
        <w:t>is consistent with</w:t>
      </w:r>
      <w:r w:rsidR="00980E82">
        <w:t xml:space="preserve"> </w:t>
      </w:r>
      <w:r w:rsidR="00BE7B98" w:rsidRPr="00BE7B98">
        <w:t>the</w:t>
      </w:r>
      <w:r w:rsidR="00242A20">
        <w:t xml:space="preserve"> </w:t>
      </w:r>
      <w:r w:rsidR="00BE7B98" w:rsidRPr="00BE7B98">
        <w:t>BEAR.</w:t>
      </w:r>
    </w:p>
    <w:p w14:paraId="4C9B503A" w14:textId="77777777" w:rsidR="005636CA" w:rsidRDefault="005636CA" w:rsidP="005636CA">
      <w:pPr>
        <w:pStyle w:val="Heading4"/>
      </w:pPr>
      <w:r w:rsidRPr="00D81B66">
        <w:t>Alignment</w:t>
      </w:r>
      <w:r>
        <w:t xml:space="preserve"> with international jurisdictions</w:t>
      </w:r>
    </w:p>
    <w:p w14:paraId="4543BA24" w14:textId="3F0DD38F" w:rsidR="00400BA2" w:rsidRDefault="003F0708" w:rsidP="00400BA2">
      <w:r>
        <w:t xml:space="preserve">APRA has carefully considered the revised proposals </w:t>
      </w:r>
      <w:r w:rsidR="004E2EF2">
        <w:t>in light of</w:t>
      </w:r>
      <w:r>
        <w:t xml:space="preserve"> international </w:t>
      </w:r>
      <w:r w:rsidR="00776E39">
        <w:t xml:space="preserve">standards, </w:t>
      </w:r>
      <w:r w:rsidR="004E2EF2">
        <w:t>and sought</w:t>
      </w:r>
      <w:r w:rsidR="00776E39">
        <w:t xml:space="preserve"> to align with better practice.</w:t>
      </w:r>
      <w:r>
        <w:t xml:space="preserve"> </w:t>
      </w:r>
      <w:r w:rsidR="00776E39">
        <w:t>APRA has taken a consistent approach to setting deferral requirements across all APRA-regulated entities</w:t>
      </w:r>
      <w:r w:rsidR="00A82C18">
        <w:t>. T</w:t>
      </w:r>
      <w:r w:rsidR="00776E39">
        <w:t>he drivers for stronger requirements have been evident across all industries</w:t>
      </w:r>
      <w:r w:rsidR="00015B4C">
        <w:t>, as reflected in the Royal Commission and recent APRA supervisory review findings</w:t>
      </w:r>
      <w:r w:rsidR="00776E39">
        <w:t xml:space="preserve">. </w:t>
      </w:r>
    </w:p>
    <w:p w14:paraId="36125530" w14:textId="04FD7D08" w:rsidR="006C3773" w:rsidRDefault="008D21E0" w:rsidP="005636CA">
      <w:r>
        <w:t>A comparison of</w:t>
      </w:r>
      <w:r w:rsidR="004E2EF2">
        <w:t xml:space="preserve"> APRA’s requirements </w:t>
      </w:r>
      <w:r>
        <w:t>to international practices are provided below, at Figure 3. This compares APRA’s revised minimum deferral period for a CEO, compared to other key international jurisdictions</w:t>
      </w:r>
      <w:r w:rsidR="00400BA2">
        <w:t xml:space="preserve"> for banks</w:t>
      </w:r>
      <w:r>
        <w:t>.</w:t>
      </w:r>
    </w:p>
    <w:p w14:paraId="31231CE5" w14:textId="77777777" w:rsidR="00F81C10" w:rsidRDefault="00F81C10">
      <w:pPr>
        <w:rPr>
          <w:b/>
        </w:rPr>
      </w:pPr>
      <w:r>
        <w:rPr>
          <w:b/>
        </w:rPr>
        <w:br w:type="page"/>
      </w:r>
    </w:p>
    <w:p w14:paraId="2594A1E7" w14:textId="62FDE840" w:rsidR="004B3759" w:rsidRDefault="004B3759" w:rsidP="005636CA">
      <w:pPr>
        <w:rPr>
          <w:b/>
        </w:rPr>
      </w:pPr>
      <w:r w:rsidRPr="0085495B">
        <w:rPr>
          <w:b/>
        </w:rPr>
        <w:lastRenderedPageBreak/>
        <w:t xml:space="preserve">Figure </w:t>
      </w:r>
      <w:r>
        <w:rPr>
          <w:b/>
        </w:rPr>
        <w:t>3</w:t>
      </w:r>
      <w:r w:rsidRPr="0085495B">
        <w:rPr>
          <w:b/>
        </w:rPr>
        <w:t xml:space="preserve">. </w:t>
      </w:r>
      <w:r w:rsidR="009A5564">
        <w:rPr>
          <w:b/>
        </w:rPr>
        <w:t>CEO d</w:t>
      </w:r>
      <w:r>
        <w:rPr>
          <w:b/>
        </w:rPr>
        <w:t>eferral</w:t>
      </w:r>
      <w:r w:rsidRPr="0085495B">
        <w:rPr>
          <w:b/>
        </w:rPr>
        <w:t xml:space="preserve"> </w:t>
      </w:r>
      <w:r w:rsidR="009A5564">
        <w:rPr>
          <w:b/>
        </w:rPr>
        <w:t>of</w:t>
      </w:r>
      <w:r>
        <w:rPr>
          <w:b/>
        </w:rPr>
        <w:t xml:space="preserve"> international </w:t>
      </w:r>
      <w:r w:rsidR="009A5564">
        <w:rPr>
          <w:b/>
        </w:rPr>
        <w:t xml:space="preserve">peer banking </w:t>
      </w:r>
      <w:r>
        <w:rPr>
          <w:b/>
        </w:rPr>
        <w:t xml:space="preserve">regulators </w:t>
      </w:r>
    </w:p>
    <w:p w14:paraId="5E977DD2" w14:textId="6CA8CFBD" w:rsidR="000D4C3F" w:rsidRDefault="000D4C3F" w:rsidP="005636CA">
      <w:r>
        <w:rPr>
          <w:noProof/>
          <w:lang w:eastAsia="en-AU"/>
        </w:rPr>
        <w:drawing>
          <wp:inline distT="0" distB="0" distL="0" distR="0" wp14:anchorId="5396B2E6" wp14:editId="1EEC76F6">
            <wp:extent cx="5553075" cy="3464372"/>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537" cy="3503340"/>
                    </a:xfrm>
                    <a:prstGeom prst="rect">
                      <a:avLst/>
                    </a:prstGeom>
                    <a:noFill/>
                  </pic:spPr>
                </pic:pic>
              </a:graphicData>
            </a:graphic>
          </wp:inline>
        </w:drawing>
      </w:r>
    </w:p>
    <w:p w14:paraId="44D51D20" w14:textId="65D7FB16" w:rsidR="00D81B66" w:rsidRPr="00D81B66" w:rsidRDefault="00072307" w:rsidP="00D81B66">
      <w:pPr>
        <w:pStyle w:val="Heading4"/>
      </w:pPr>
      <w:r>
        <w:t>Exceptions for accelerated vesting</w:t>
      </w:r>
    </w:p>
    <w:p w14:paraId="56806555" w14:textId="189CA82A" w:rsidR="00F5656F" w:rsidRPr="00F5656F" w:rsidRDefault="007539F0" w:rsidP="00F67E96">
      <w:pPr>
        <w:pStyle w:val="NormalWeb"/>
      </w:pPr>
      <w:r>
        <w:t>In draft CPS 511,</w:t>
      </w:r>
      <w:r w:rsidR="00820A2F">
        <w:t xml:space="preserve"> </w:t>
      </w:r>
      <w:r w:rsidRPr="003F6238">
        <w:t>APRA proposed to prohibit accelerated vesting of unvested variable remuneration for a person no longer employed or engaged by the entity, but carved out instances where that related to death, serious incapacity, serious disability or serious illness</w:t>
      </w:r>
      <w:r w:rsidR="00D23831">
        <w:t xml:space="preserve"> as done in the BEAR</w:t>
      </w:r>
      <w:r w:rsidRPr="003F6238">
        <w:t xml:space="preserve">. </w:t>
      </w:r>
      <w:r w:rsidR="00A932A2">
        <w:t>However, d</w:t>
      </w:r>
      <w:r w:rsidRPr="003F6238">
        <w:t xml:space="preserve">uring consultation a number of entities </w:t>
      </w:r>
      <w:r w:rsidR="00A932A2">
        <w:t>raised concerns about a</w:t>
      </w:r>
      <w:r w:rsidRPr="003F6238">
        <w:t xml:space="preserve"> misalignment of timing between the payment of tax (at termination) and the receipt of earnings (at end of deferral). To reflect the feedback provided during consultation, the revised CPS 511 </w:t>
      </w:r>
      <w:r w:rsidR="00524CA5">
        <w:t xml:space="preserve">will </w:t>
      </w:r>
      <w:r w:rsidRPr="003F6238">
        <w:t xml:space="preserve">allow partial vesting of the tax amount at termination. </w:t>
      </w:r>
      <w:r w:rsidR="001D523D">
        <w:t>Revised CPS 511 does</w:t>
      </w:r>
      <w:r w:rsidR="00A932A2" w:rsidRPr="003F6238">
        <w:t xml:space="preserve"> not </w:t>
      </w:r>
      <w:r w:rsidR="001D523D">
        <w:t xml:space="preserve">replace ADI requirements under the </w:t>
      </w:r>
      <w:r w:rsidR="00A932A2" w:rsidRPr="003F6238">
        <w:t>BEAR</w:t>
      </w:r>
      <w:r w:rsidR="001D523D">
        <w:t>.</w:t>
      </w:r>
      <w:r w:rsidR="00A932A2" w:rsidRPr="003F6238">
        <w:t xml:space="preserve"> APRA will </w:t>
      </w:r>
      <w:r w:rsidR="00A932A2">
        <w:t>continue to</w:t>
      </w:r>
      <w:r w:rsidR="00A932A2" w:rsidRPr="003F6238">
        <w:t xml:space="preserve"> engage with Treasury </w:t>
      </w:r>
      <w:r w:rsidR="00A932A2">
        <w:t>on</w:t>
      </w:r>
      <w:r w:rsidR="00A932A2" w:rsidRPr="003F6238">
        <w:t xml:space="preserve"> the design of the FAR.</w:t>
      </w:r>
      <w:r w:rsidR="00A932A2">
        <w:t xml:space="preserve"> </w:t>
      </w:r>
      <w:r w:rsidR="00F5656F" w:rsidRPr="00F5656F">
        <w:t xml:space="preserve">Upon finalisation of </w:t>
      </w:r>
      <w:r w:rsidR="00A932A2">
        <w:t xml:space="preserve">this </w:t>
      </w:r>
      <w:r w:rsidR="00F5656F" w:rsidRPr="00F5656F">
        <w:t>legislation</w:t>
      </w:r>
      <w:r w:rsidR="00A932A2">
        <w:t>,</w:t>
      </w:r>
      <w:r w:rsidR="00F5656F" w:rsidRPr="00F5656F">
        <w:t xml:space="preserve"> APRA will review whether changes are necessary to this proposed exception.</w:t>
      </w:r>
      <w:r w:rsidR="006C3773" w:rsidRPr="006C3773">
        <w:t xml:space="preserve"> </w:t>
      </w:r>
    </w:p>
    <w:p w14:paraId="2F784340" w14:textId="77777777" w:rsidR="00072307" w:rsidRPr="00D81B66" w:rsidRDefault="00072307" w:rsidP="00072307">
      <w:pPr>
        <w:pStyle w:val="Heading4"/>
      </w:pPr>
      <w:r w:rsidRPr="00D81B66">
        <w:t>Other feedback</w:t>
      </w:r>
    </w:p>
    <w:p w14:paraId="4E2275DC" w14:textId="119599D0" w:rsidR="00D81B66" w:rsidRPr="00F5656F" w:rsidRDefault="00F5656F" w:rsidP="00F5656F">
      <w:r w:rsidRPr="00F5656F">
        <w:t>APRA intends to provide further guidance in a new CPG 511 to support implementation of the deferral obligations. In response to feedback about a potential shift to fixed remuneration, APRA will also monitor changes in industry practice for remuneration design as industry implements the final standard</w:t>
      </w:r>
      <w:r w:rsidR="00D81B66" w:rsidRPr="00F5656F">
        <w:t xml:space="preserve">. </w:t>
      </w:r>
    </w:p>
    <w:p w14:paraId="148504CE" w14:textId="28CF084D" w:rsidR="007F1A60" w:rsidRPr="00F5656F" w:rsidRDefault="007F1A60" w:rsidP="00F5656F">
      <w:r>
        <w:t xml:space="preserve">Industry also </w:t>
      </w:r>
      <w:r w:rsidR="00200ADF">
        <w:t>questioned the appropriateness of</w:t>
      </w:r>
      <w:r>
        <w:t xml:space="preserve"> different requirements across the banking, insurance and superannuation sectors. </w:t>
      </w:r>
      <w:r w:rsidR="00965A88">
        <w:t>In APRA’s view, d</w:t>
      </w:r>
      <w:r w:rsidR="00965A88" w:rsidRPr="005D52CA">
        <w:t xml:space="preserve">ifferent </w:t>
      </w:r>
      <w:r w:rsidRPr="005D52CA">
        <w:lastRenderedPageBreak/>
        <w:t xml:space="preserve">requirements between industries may create an imbalance in competition for talent across APRA-regulated </w:t>
      </w:r>
      <w:r>
        <w:t>industries</w:t>
      </w:r>
      <w:r w:rsidRPr="005D52CA">
        <w:t>.</w:t>
      </w:r>
      <w:r w:rsidRPr="00400BA2">
        <w:t xml:space="preserve"> </w:t>
      </w:r>
      <w:r w:rsidRPr="005D52CA">
        <w:t>Less</w:t>
      </w:r>
      <w:r w:rsidR="00200ADF">
        <w:t>er</w:t>
      </w:r>
      <w:r w:rsidRPr="005D52CA">
        <w:t xml:space="preserve"> requirements for insurance and superannuation</w:t>
      </w:r>
      <w:r w:rsidRPr="00400BA2">
        <w:t xml:space="preserve"> </w:t>
      </w:r>
      <w:r w:rsidRPr="005D52CA">
        <w:t>would</w:t>
      </w:r>
      <w:r w:rsidR="00965A88">
        <w:t xml:space="preserve"> also</w:t>
      </w:r>
      <w:r w:rsidRPr="005D52CA">
        <w:t xml:space="preserve"> not reflect the existing and potential future complexity of SFIs in these two industries, and, the potential impact of poor remuneration design.</w:t>
      </w:r>
      <w:r>
        <w:t xml:space="preserve"> APRA has </w:t>
      </w:r>
      <w:r w:rsidR="00965A88">
        <w:t xml:space="preserve">instead </w:t>
      </w:r>
      <w:r>
        <w:t xml:space="preserve">taken a proportionate approach, </w:t>
      </w:r>
      <w:r w:rsidR="00965A88">
        <w:t>differing</w:t>
      </w:r>
      <w:r>
        <w:t xml:space="preserve"> requirements</w:t>
      </w:r>
      <w:r w:rsidR="00965A88">
        <w:t xml:space="preserve"> based on the size and complexity of entities</w:t>
      </w:r>
      <w:r>
        <w:t>.</w:t>
      </w:r>
    </w:p>
    <w:p w14:paraId="1B1057EF" w14:textId="77777777" w:rsidR="00B4717B" w:rsidRDefault="00B4717B" w:rsidP="00DE05FF">
      <w:pPr>
        <w:pStyle w:val="Heading2Numbers"/>
        <w:numPr>
          <w:ilvl w:val="1"/>
          <w:numId w:val="41"/>
        </w:numPr>
        <w:ind w:left="851"/>
      </w:pPr>
      <w:r>
        <w:t>Clawback</w:t>
      </w:r>
    </w:p>
    <w:p w14:paraId="5D0A2B96" w14:textId="72D06A65" w:rsidR="005879B6" w:rsidRDefault="005F3A6A" w:rsidP="007E2E5A">
      <w:r>
        <w:t xml:space="preserve">Draft CPS 511 </w:t>
      </w:r>
      <w:r w:rsidR="00157DD6">
        <w:t xml:space="preserve">proposed </w:t>
      </w:r>
      <w:r>
        <w:t xml:space="preserve">clawback requirements on </w:t>
      </w:r>
      <w:r w:rsidR="009A6988">
        <w:t xml:space="preserve">a </w:t>
      </w:r>
      <w:r>
        <w:t xml:space="preserve">CEO, </w:t>
      </w:r>
      <w:r w:rsidR="00252EEC">
        <w:t>senior manager</w:t>
      </w:r>
      <w:r>
        <w:t xml:space="preserve"> </w:t>
      </w:r>
      <w:r w:rsidR="00252EEC">
        <w:t>and HPMRT of a SFI</w:t>
      </w:r>
      <w:r>
        <w:t>.</w:t>
      </w:r>
      <w:r w:rsidR="00252EEC">
        <w:t xml:space="preserve"> </w:t>
      </w:r>
      <w:r>
        <w:t xml:space="preserve">Proposals included </w:t>
      </w:r>
      <w:r w:rsidR="004F11E1">
        <w:t xml:space="preserve">minimum </w:t>
      </w:r>
      <w:r>
        <w:t>c</w:t>
      </w:r>
      <w:r w:rsidR="00252EEC">
        <w:t xml:space="preserve">lawback </w:t>
      </w:r>
      <w:r>
        <w:t>criteria</w:t>
      </w:r>
      <w:r w:rsidR="004F11E1" w:rsidRPr="004F11E1">
        <w:t xml:space="preserve"> </w:t>
      </w:r>
      <w:r w:rsidR="004F11E1">
        <w:t>and periods</w:t>
      </w:r>
      <w:r w:rsidR="005879B6">
        <w:t>.</w:t>
      </w:r>
      <w:r w:rsidR="00CC5359">
        <w:t xml:space="preserve"> APRA’s objective was for entities to </w:t>
      </w:r>
      <w:r w:rsidR="0050168B">
        <w:t>have</w:t>
      </w:r>
      <w:r w:rsidR="00CC5359">
        <w:t xml:space="preserve"> the appropriate infrastructure and governance to effect clawback, </w:t>
      </w:r>
      <w:r w:rsidR="0084378E">
        <w:t xml:space="preserve">if and when this would be </w:t>
      </w:r>
      <w:r w:rsidR="00CC5359" w:rsidDel="0084378E">
        <w:t>appropriate</w:t>
      </w:r>
      <w:r w:rsidR="00CC5359">
        <w:t>.</w:t>
      </w:r>
    </w:p>
    <w:p w14:paraId="6A37096F" w14:textId="77777777" w:rsidR="00B4717B" w:rsidRPr="00607DAF" w:rsidRDefault="00B4717B" w:rsidP="00DE05FF">
      <w:pPr>
        <w:pStyle w:val="Heading3Numbers"/>
        <w:numPr>
          <w:ilvl w:val="2"/>
          <w:numId w:val="41"/>
        </w:numPr>
      </w:pPr>
      <w:r w:rsidRPr="00607DAF">
        <w:t>Comments received</w:t>
      </w:r>
    </w:p>
    <w:p w14:paraId="5C71CF66" w14:textId="25203B5B" w:rsidR="005122B8" w:rsidRDefault="005122B8" w:rsidP="005122B8">
      <w:r>
        <w:t xml:space="preserve">A </w:t>
      </w:r>
      <w:r w:rsidR="005C643A">
        <w:t xml:space="preserve">large </w:t>
      </w:r>
      <w:r>
        <w:t xml:space="preserve">number of </w:t>
      </w:r>
      <w:r w:rsidR="00AF6595">
        <w:t>submissions</w:t>
      </w:r>
      <w:r>
        <w:t xml:space="preserve"> </w:t>
      </w:r>
      <w:r w:rsidR="00AF6595">
        <w:t>detailed</w:t>
      </w:r>
      <w:r>
        <w:t xml:space="preserve"> the legal complexities associated </w:t>
      </w:r>
      <w:r w:rsidR="00AA4069">
        <w:t>with giving effect to clawback</w:t>
      </w:r>
      <w:r w:rsidR="0084378E">
        <w:t>, noting that this would</w:t>
      </w:r>
      <w:r w:rsidR="00AA4069">
        <w:t xml:space="preserve"> </w:t>
      </w:r>
      <w:r>
        <w:t>severely limi</w:t>
      </w:r>
      <w:r w:rsidR="0084378E">
        <w:t>t</w:t>
      </w:r>
      <w:r>
        <w:t xml:space="preserve"> </w:t>
      </w:r>
      <w:r w:rsidR="00EE550D">
        <w:t xml:space="preserve">its use </w:t>
      </w:r>
      <w:r>
        <w:t xml:space="preserve">as a practical remuneration </w:t>
      </w:r>
      <w:r w:rsidR="00AA4069">
        <w:t>adjustment tool</w:t>
      </w:r>
      <w:r w:rsidR="0084378E">
        <w:t xml:space="preserve">. Submissions noted that </w:t>
      </w:r>
      <w:r w:rsidDel="0084378E">
        <w:t>t</w:t>
      </w:r>
      <w:r>
        <w:t xml:space="preserve">he cost of litigating a clawback claim </w:t>
      </w:r>
      <w:r w:rsidR="00570BE3">
        <w:t xml:space="preserve">may </w:t>
      </w:r>
      <w:r>
        <w:t>often exceed the variable remuneration itself</w:t>
      </w:r>
      <w:r w:rsidR="00AC4CA2">
        <w:t>,</w:t>
      </w:r>
      <w:r>
        <w:t xml:space="preserve"> </w:t>
      </w:r>
      <w:r w:rsidR="00CC5359">
        <w:t>and that this would</w:t>
      </w:r>
      <w:r>
        <w:t xml:space="preserve"> ultimately </w:t>
      </w:r>
      <w:r w:rsidR="00CC5359">
        <w:t xml:space="preserve">be </w:t>
      </w:r>
      <w:r>
        <w:t xml:space="preserve">borne by shareholders or </w:t>
      </w:r>
      <w:r w:rsidR="009A6988">
        <w:t xml:space="preserve">RSE </w:t>
      </w:r>
      <w:r>
        <w:t xml:space="preserve">members. </w:t>
      </w:r>
      <w:r w:rsidR="00AA4069">
        <w:t>Submission</w:t>
      </w:r>
      <w:r w:rsidR="004E355A">
        <w:t>s</w:t>
      </w:r>
      <w:r w:rsidR="00AA4069">
        <w:t xml:space="preserve"> explained</w:t>
      </w:r>
      <w:r>
        <w:t xml:space="preserve"> malus to be </w:t>
      </w:r>
      <w:r w:rsidR="00570BE3">
        <w:t>an easier</w:t>
      </w:r>
      <w:r w:rsidR="00EE550D">
        <w:t xml:space="preserve">, more practical </w:t>
      </w:r>
      <w:r>
        <w:t xml:space="preserve">tool </w:t>
      </w:r>
      <w:r w:rsidR="00AA4069">
        <w:t xml:space="preserve">to apply </w:t>
      </w:r>
      <w:r>
        <w:t xml:space="preserve">as it does not have the same enforcement risks. </w:t>
      </w:r>
    </w:p>
    <w:p w14:paraId="2F59D014" w14:textId="6A13A22C" w:rsidR="00AF6595" w:rsidRDefault="001E7F7C" w:rsidP="0042643F">
      <w:r>
        <w:t>Significant feedback was also received on the clawback criteria</w:t>
      </w:r>
      <w:r w:rsidR="00AF6595">
        <w:t xml:space="preserve">, </w:t>
      </w:r>
      <w:r w:rsidR="00286E03">
        <w:t>which was noted as</w:t>
      </w:r>
      <w:r w:rsidR="00AF6595">
        <w:t xml:space="preserve"> overly </w:t>
      </w:r>
      <w:r w:rsidR="006821AE">
        <w:t xml:space="preserve">broad and open to interpretation. </w:t>
      </w:r>
      <w:r w:rsidR="00286E03">
        <w:t>Industry commented that</w:t>
      </w:r>
      <w:r w:rsidR="009B71BA">
        <w:t xml:space="preserve"> the inclusion of </w:t>
      </w:r>
      <w:r w:rsidR="006821AE">
        <w:t xml:space="preserve">financial loss </w:t>
      </w:r>
      <w:r w:rsidR="00AA4069">
        <w:t>in the</w:t>
      </w:r>
      <w:r w:rsidR="006821AE">
        <w:t xml:space="preserve"> clawback criteria would potentially </w:t>
      </w:r>
      <w:r w:rsidR="005C27D8">
        <w:t xml:space="preserve">limit </w:t>
      </w:r>
      <w:r w:rsidR="006821AE">
        <w:t xml:space="preserve">innovation or </w:t>
      </w:r>
      <w:r w:rsidR="00EE550D">
        <w:t xml:space="preserve">calculated </w:t>
      </w:r>
      <w:r w:rsidR="006821AE">
        <w:t>risk</w:t>
      </w:r>
      <w:r w:rsidR="00286E03">
        <w:t>-</w:t>
      </w:r>
      <w:r w:rsidR="006821AE">
        <w:t xml:space="preserve">taking. </w:t>
      </w:r>
      <w:r w:rsidR="00286E03">
        <w:t>Feedback suggested</w:t>
      </w:r>
      <w:r w:rsidR="00852F18">
        <w:t xml:space="preserve"> that clawback be reserved </w:t>
      </w:r>
      <w:r w:rsidR="00AF6595">
        <w:t xml:space="preserve">for </w:t>
      </w:r>
      <w:r w:rsidR="00852F18">
        <w:t xml:space="preserve">instances of fraud or </w:t>
      </w:r>
      <w:r w:rsidR="00852F18" w:rsidRPr="00852F18">
        <w:t>severe misconduct</w:t>
      </w:r>
      <w:r w:rsidR="00852F18">
        <w:t xml:space="preserve">. </w:t>
      </w:r>
      <w:r w:rsidR="00AF6595">
        <w:t xml:space="preserve">A number of submissions </w:t>
      </w:r>
      <w:r w:rsidR="00286E03">
        <w:t xml:space="preserve">also </w:t>
      </w:r>
      <w:r w:rsidR="00AF6595">
        <w:t xml:space="preserve">suggested the clawback period be aligned </w:t>
      </w:r>
      <w:r w:rsidR="00FF2FE9">
        <w:t>to</w:t>
      </w:r>
      <w:r w:rsidR="00AC4CA2">
        <w:t>,</w:t>
      </w:r>
      <w:r w:rsidR="00FF2FE9">
        <w:t xml:space="preserve"> </w:t>
      </w:r>
      <w:r w:rsidR="00570BE3">
        <w:t>and inclusive of</w:t>
      </w:r>
      <w:r w:rsidR="00AC4CA2">
        <w:t>,</w:t>
      </w:r>
      <w:r w:rsidR="00AF6595">
        <w:t xml:space="preserve"> the</w:t>
      </w:r>
      <w:r w:rsidR="00FF2FE9">
        <w:t xml:space="preserve"> deferral period and not extend beyond this. </w:t>
      </w:r>
    </w:p>
    <w:p w14:paraId="239057F3" w14:textId="77777777" w:rsidR="00B4717B" w:rsidRPr="00607DAF" w:rsidRDefault="00BA3400" w:rsidP="00DE05FF">
      <w:pPr>
        <w:pStyle w:val="Heading3Numbers"/>
        <w:numPr>
          <w:ilvl w:val="2"/>
          <w:numId w:val="41"/>
        </w:numPr>
      </w:pPr>
      <w:r>
        <w:t xml:space="preserve"> </w:t>
      </w:r>
      <w:r w:rsidR="00B4717B" w:rsidRPr="00607DAF">
        <w:t>APRA’s response</w:t>
      </w:r>
    </w:p>
    <w:p w14:paraId="738AC018" w14:textId="2FDF58C1" w:rsidR="00642D43" w:rsidRDefault="00E67A5D" w:rsidP="00201F64">
      <w:r w:rsidRPr="00DB021C">
        <w:t xml:space="preserve">APRA </w:t>
      </w:r>
      <w:r w:rsidR="00623D6D">
        <w:t xml:space="preserve">is proposing several adjustments to the </w:t>
      </w:r>
      <w:r w:rsidRPr="00DB021C">
        <w:t xml:space="preserve">drafting </w:t>
      </w:r>
      <w:r w:rsidR="00A6254E" w:rsidRPr="00DB021C">
        <w:t>of</w:t>
      </w:r>
      <w:r w:rsidRPr="00DB021C">
        <w:t xml:space="preserve"> the clawback proposal</w:t>
      </w:r>
      <w:r w:rsidR="00620FB0">
        <w:t>s</w:t>
      </w:r>
      <w:r w:rsidR="005C27D8">
        <w:t xml:space="preserve"> to clarify</w:t>
      </w:r>
      <w:r w:rsidRPr="00DB021C">
        <w:t xml:space="preserve"> </w:t>
      </w:r>
      <w:r w:rsidR="008D2849">
        <w:t>policy</w:t>
      </w:r>
      <w:r w:rsidR="008D2849" w:rsidRPr="00DB021C" w:rsidDel="005C27D8">
        <w:t xml:space="preserve"> </w:t>
      </w:r>
      <w:r w:rsidR="00A6254E" w:rsidRPr="00DB021C" w:rsidDel="005C27D8">
        <w:t>intent</w:t>
      </w:r>
      <w:r w:rsidR="00201F64" w:rsidDel="005C27D8">
        <w:t xml:space="preserve"> </w:t>
      </w:r>
      <w:r w:rsidR="00642D43">
        <w:t>that</w:t>
      </w:r>
      <w:r w:rsidR="00201F64">
        <w:t xml:space="preserve"> clawback would </w:t>
      </w:r>
      <w:r w:rsidR="00642D43">
        <w:t>only be considere</w:t>
      </w:r>
      <w:r w:rsidR="00620FB0">
        <w:t>d for exceptional circumstances:</w:t>
      </w:r>
    </w:p>
    <w:p w14:paraId="2CF8491D" w14:textId="67814E8F" w:rsidR="00201F64" w:rsidRPr="00C006BA" w:rsidRDefault="008D2849" w:rsidP="00617E10">
      <w:pPr>
        <w:pStyle w:val="ListParagraph"/>
        <w:numPr>
          <w:ilvl w:val="0"/>
          <w:numId w:val="13"/>
        </w:numPr>
        <w:spacing w:after="120"/>
        <w:ind w:left="357" w:hanging="357"/>
        <w:contextualSpacing w:val="0"/>
        <w:rPr>
          <w:rFonts w:ascii="DIN OT Light" w:hAnsi="DIN OT Light"/>
        </w:rPr>
      </w:pPr>
      <w:r>
        <w:rPr>
          <w:rFonts w:ascii="DIN OT Light" w:hAnsi="DIN OT Light"/>
        </w:rPr>
        <w:t>removing the requirement</w:t>
      </w:r>
      <w:r w:rsidR="00EE0777" w:rsidRPr="00C006BA">
        <w:rPr>
          <w:rFonts w:ascii="DIN OT Light" w:hAnsi="DIN OT Light"/>
        </w:rPr>
        <w:t xml:space="preserve"> to extend the clawback period </w:t>
      </w:r>
      <w:r w:rsidR="00933765">
        <w:rPr>
          <w:rFonts w:ascii="DIN OT Light" w:hAnsi="DIN OT Light"/>
        </w:rPr>
        <w:t xml:space="preserve">for </w:t>
      </w:r>
      <w:r w:rsidR="00EE0777" w:rsidRPr="00C006BA">
        <w:rPr>
          <w:rFonts w:ascii="DIN OT Light" w:hAnsi="DIN OT Light"/>
        </w:rPr>
        <w:t xml:space="preserve">another </w:t>
      </w:r>
      <w:r w:rsidR="00642D43" w:rsidRPr="00C006BA">
        <w:rPr>
          <w:rFonts w:ascii="DIN OT Light" w:hAnsi="DIN OT Light"/>
        </w:rPr>
        <w:t>two years</w:t>
      </w:r>
      <w:r w:rsidR="00EE0777" w:rsidRPr="00C006BA">
        <w:rPr>
          <w:rFonts w:ascii="DIN OT Light" w:hAnsi="DIN OT Light"/>
        </w:rPr>
        <w:t xml:space="preserve"> </w:t>
      </w:r>
      <w:r w:rsidR="00642D43" w:rsidRPr="00C006BA">
        <w:rPr>
          <w:rFonts w:ascii="DIN OT Light" w:hAnsi="DIN OT Light"/>
        </w:rPr>
        <w:t>for those under investigation</w:t>
      </w:r>
      <w:r>
        <w:rPr>
          <w:rFonts w:ascii="DIN OT Light" w:hAnsi="DIN OT Light"/>
        </w:rPr>
        <w:t>. This would be considered better practice</w:t>
      </w:r>
      <w:r w:rsidR="005C643A">
        <w:rPr>
          <w:rFonts w:ascii="DIN OT Light" w:hAnsi="DIN OT Light"/>
        </w:rPr>
        <w:t>;</w:t>
      </w:r>
    </w:p>
    <w:p w14:paraId="4C19A2B2" w14:textId="1E0E335E" w:rsidR="00312E7A" w:rsidRDefault="005C27D8" w:rsidP="00C77C0D">
      <w:pPr>
        <w:pStyle w:val="ListParagraph"/>
        <w:numPr>
          <w:ilvl w:val="0"/>
          <w:numId w:val="13"/>
        </w:numPr>
        <w:spacing w:after="120"/>
        <w:ind w:left="357" w:hanging="357"/>
        <w:contextualSpacing w:val="0"/>
        <w:rPr>
          <w:rFonts w:ascii="DIN OT Light" w:hAnsi="DIN OT Light"/>
        </w:rPr>
      </w:pPr>
      <w:r>
        <w:rPr>
          <w:rFonts w:ascii="DIN OT Light" w:hAnsi="DIN OT Light"/>
        </w:rPr>
        <w:t xml:space="preserve">clarified </w:t>
      </w:r>
      <w:r w:rsidR="001F4CE9">
        <w:rPr>
          <w:rFonts w:ascii="DIN OT Light" w:hAnsi="DIN OT Light"/>
        </w:rPr>
        <w:t>that clawback would only be used in exceptional circumstances, after other adjustment tools have been exhausted</w:t>
      </w:r>
      <w:r w:rsidR="00FF3708">
        <w:rPr>
          <w:rFonts w:ascii="DIN OT Light" w:hAnsi="DIN OT Light"/>
        </w:rPr>
        <w:t>; and</w:t>
      </w:r>
    </w:p>
    <w:p w14:paraId="0E83533E" w14:textId="36DB965A" w:rsidR="00CC22B4" w:rsidRDefault="001D3B83" w:rsidP="00C77C0D">
      <w:pPr>
        <w:pStyle w:val="ListParagraph"/>
        <w:numPr>
          <w:ilvl w:val="0"/>
          <w:numId w:val="13"/>
        </w:numPr>
        <w:spacing w:after="120"/>
        <w:ind w:left="357" w:hanging="357"/>
        <w:contextualSpacing w:val="0"/>
        <w:rPr>
          <w:rFonts w:ascii="DIN OT Light" w:hAnsi="DIN OT Light"/>
        </w:rPr>
      </w:pPr>
      <w:r>
        <w:rPr>
          <w:rFonts w:ascii="DIN OT Light" w:hAnsi="DIN OT Light"/>
        </w:rPr>
        <w:lastRenderedPageBreak/>
        <w:t>revis</w:t>
      </w:r>
      <w:r w:rsidR="008D2849">
        <w:rPr>
          <w:rFonts w:ascii="DIN OT Light" w:hAnsi="DIN OT Light"/>
        </w:rPr>
        <w:t>ing the clawback criteria</w:t>
      </w:r>
      <w:r>
        <w:rPr>
          <w:rFonts w:ascii="DIN OT Light" w:hAnsi="DIN OT Light"/>
        </w:rPr>
        <w:t xml:space="preserve">, </w:t>
      </w:r>
      <w:r w:rsidR="008D2849">
        <w:rPr>
          <w:rFonts w:ascii="DIN OT Light" w:hAnsi="DIN OT Light"/>
        </w:rPr>
        <w:t>which have been</w:t>
      </w:r>
      <w:r>
        <w:rPr>
          <w:rFonts w:ascii="DIN OT Light" w:hAnsi="DIN OT Light"/>
        </w:rPr>
        <w:t xml:space="preserve"> extended and aligned to the malus criteria. </w:t>
      </w:r>
      <w:r w:rsidR="00C006BA">
        <w:rPr>
          <w:rFonts w:ascii="DIN OT Light" w:hAnsi="DIN OT Light"/>
        </w:rPr>
        <w:t xml:space="preserve">Amendments include adding a </w:t>
      </w:r>
      <w:r w:rsidR="00C006BA" w:rsidRPr="00C006BA">
        <w:rPr>
          <w:rFonts w:ascii="DIN OT Light" w:hAnsi="DIN OT Light"/>
        </w:rPr>
        <w:t>materiality threshold</w:t>
      </w:r>
      <w:r>
        <w:rPr>
          <w:rFonts w:ascii="DIN OT Light" w:hAnsi="DIN OT Light"/>
        </w:rPr>
        <w:t xml:space="preserve"> to </w:t>
      </w:r>
      <w:r w:rsidRPr="00C006BA">
        <w:rPr>
          <w:rFonts w:ascii="DIN OT Light" w:hAnsi="DIN OT Light"/>
        </w:rPr>
        <w:t xml:space="preserve">reflect that </w:t>
      </w:r>
      <w:r>
        <w:rPr>
          <w:rFonts w:ascii="DIN OT Light" w:hAnsi="DIN OT Light"/>
        </w:rPr>
        <w:t>it</w:t>
      </w:r>
      <w:r w:rsidRPr="00C006BA">
        <w:rPr>
          <w:rFonts w:ascii="DIN OT Light" w:hAnsi="DIN OT Light"/>
        </w:rPr>
        <w:t xml:space="preserve"> is a tool that would only be utilised in </w:t>
      </w:r>
      <w:r w:rsidR="00B97D43">
        <w:rPr>
          <w:rFonts w:ascii="DIN OT Light" w:hAnsi="DIN OT Light"/>
        </w:rPr>
        <w:t>exceptional</w:t>
      </w:r>
      <w:r w:rsidR="00B97D43" w:rsidRPr="00C006BA">
        <w:rPr>
          <w:rFonts w:ascii="DIN OT Light" w:hAnsi="DIN OT Light"/>
        </w:rPr>
        <w:t xml:space="preserve"> </w:t>
      </w:r>
      <w:r w:rsidRPr="00C006BA">
        <w:rPr>
          <w:rFonts w:ascii="DIN OT Light" w:hAnsi="DIN OT Light"/>
        </w:rPr>
        <w:t>circumstances</w:t>
      </w:r>
      <w:r>
        <w:rPr>
          <w:rFonts w:ascii="DIN OT Light" w:hAnsi="DIN OT Light"/>
        </w:rPr>
        <w:t>, clarifying</w:t>
      </w:r>
      <w:r w:rsidDel="00361ADF">
        <w:rPr>
          <w:rFonts w:ascii="DIN OT Light" w:hAnsi="DIN OT Light"/>
        </w:rPr>
        <w:t xml:space="preserve"> </w:t>
      </w:r>
      <w:r w:rsidR="00361ADF">
        <w:rPr>
          <w:rFonts w:ascii="DIN OT Light" w:hAnsi="DIN OT Light"/>
        </w:rPr>
        <w:t>the focus on</w:t>
      </w:r>
      <w:r w:rsidDel="00361ADF">
        <w:rPr>
          <w:rFonts w:ascii="DIN OT Light" w:hAnsi="DIN OT Light"/>
        </w:rPr>
        <w:t xml:space="preserve"> </w:t>
      </w:r>
      <w:r w:rsidRPr="00C006BA" w:rsidDel="00361ADF">
        <w:rPr>
          <w:rFonts w:ascii="DIN OT Light" w:hAnsi="DIN OT Light"/>
        </w:rPr>
        <w:t xml:space="preserve">conduct </w:t>
      </w:r>
      <w:r>
        <w:rPr>
          <w:rFonts w:ascii="DIN OT Light" w:hAnsi="DIN OT Light"/>
        </w:rPr>
        <w:t>and adding</w:t>
      </w:r>
      <w:r w:rsidR="00630B63" w:rsidRPr="00C006BA">
        <w:rPr>
          <w:rFonts w:ascii="DIN OT Light" w:hAnsi="DIN OT Light"/>
        </w:rPr>
        <w:t xml:space="preserve"> </w:t>
      </w:r>
      <w:r w:rsidR="0051415E" w:rsidRPr="00C006BA">
        <w:rPr>
          <w:rFonts w:ascii="DIN OT Light" w:hAnsi="DIN OT Light"/>
        </w:rPr>
        <w:t xml:space="preserve">material </w:t>
      </w:r>
      <w:r w:rsidR="00630B63" w:rsidRPr="00C006BA">
        <w:rPr>
          <w:rFonts w:ascii="DIN OT Light" w:hAnsi="DIN OT Light"/>
        </w:rPr>
        <w:t xml:space="preserve">error or misstatement </w:t>
      </w:r>
      <w:r>
        <w:rPr>
          <w:rFonts w:ascii="DIN OT Light" w:hAnsi="DIN OT Light"/>
        </w:rPr>
        <w:t>as</w:t>
      </w:r>
      <w:r w:rsidR="00C006BA" w:rsidRPr="00C006BA">
        <w:rPr>
          <w:rFonts w:ascii="DIN OT Light" w:hAnsi="DIN OT Light"/>
        </w:rPr>
        <w:t xml:space="preserve"> </w:t>
      </w:r>
      <w:r w:rsidR="00630B63" w:rsidRPr="00C006BA">
        <w:rPr>
          <w:rFonts w:ascii="DIN OT Light" w:hAnsi="DIN OT Light"/>
        </w:rPr>
        <w:t xml:space="preserve">grounds for </w:t>
      </w:r>
      <w:r>
        <w:rPr>
          <w:rFonts w:ascii="DIN OT Light" w:hAnsi="DIN OT Light"/>
        </w:rPr>
        <w:t>clawback</w:t>
      </w:r>
      <w:r w:rsidR="0099261C" w:rsidRPr="00C006BA">
        <w:rPr>
          <w:rFonts w:ascii="DIN OT Light" w:hAnsi="DIN OT Light"/>
        </w:rPr>
        <w:t xml:space="preserve">. </w:t>
      </w:r>
    </w:p>
    <w:p w14:paraId="5F1D3D6D" w14:textId="38B9F1A4" w:rsidR="007E4E29" w:rsidRDefault="007E4E29" w:rsidP="00976F29">
      <w:pPr>
        <w:pStyle w:val="Heading1Numbers"/>
        <w:numPr>
          <w:ilvl w:val="0"/>
          <w:numId w:val="41"/>
        </w:numPr>
      </w:pPr>
      <w:bookmarkStart w:id="33" w:name="_Toc26804340"/>
      <w:bookmarkStart w:id="34" w:name="_Toc30172116"/>
      <w:bookmarkStart w:id="35" w:name="_Toc53000778"/>
      <w:bookmarkStart w:id="36" w:name="_Toc55850360"/>
      <w:r>
        <w:lastRenderedPageBreak/>
        <w:t xml:space="preserve">Other </w:t>
      </w:r>
      <w:bookmarkEnd w:id="33"/>
      <w:bookmarkEnd w:id="34"/>
      <w:r w:rsidR="005B3FB8">
        <w:t>amendments</w:t>
      </w:r>
      <w:bookmarkEnd w:id="35"/>
      <w:bookmarkEnd w:id="36"/>
    </w:p>
    <w:p w14:paraId="7FCA5882" w14:textId="77777777" w:rsidR="002B6C38" w:rsidRDefault="00986AD1" w:rsidP="00DE05FF">
      <w:pPr>
        <w:pStyle w:val="Heading2Numbers"/>
        <w:numPr>
          <w:ilvl w:val="1"/>
          <w:numId w:val="41"/>
        </w:numPr>
        <w:ind w:left="851"/>
      </w:pPr>
      <w:r>
        <w:t>I</w:t>
      </w:r>
      <w:r w:rsidR="005738A9">
        <w:t>mprov</w:t>
      </w:r>
      <w:r w:rsidR="00176917">
        <w:t>ing</w:t>
      </w:r>
      <w:r w:rsidR="005738A9">
        <w:t xml:space="preserve"> clarity</w:t>
      </w:r>
    </w:p>
    <w:p w14:paraId="10B2723C" w14:textId="77777777" w:rsidR="002B6C38" w:rsidRPr="002B6C38" w:rsidRDefault="002B6C38" w:rsidP="00DE05FF">
      <w:pPr>
        <w:pStyle w:val="Heading3Numbers"/>
        <w:numPr>
          <w:ilvl w:val="2"/>
          <w:numId w:val="41"/>
        </w:numPr>
      </w:pPr>
      <w:r>
        <w:t xml:space="preserve">Definitions </w:t>
      </w:r>
    </w:p>
    <w:p w14:paraId="28D516C7" w14:textId="77777777" w:rsidR="002B6C38" w:rsidRPr="002B6C38" w:rsidRDefault="002B6C38" w:rsidP="002B6C38">
      <w:pPr>
        <w:pStyle w:val="ListParagraph"/>
        <w:ind w:left="0"/>
        <w:rPr>
          <w:rFonts w:ascii="DIN OT Light" w:hAnsi="DIN OT Light"/>
        </w:rPr>
      </w:pPr>
      <w:r w:rsidRPr="002B6C38">
        <w:rPr>
          <w:rFonts w:ascii="DIN OT Light" w:hAnsi="DIN OT Light"/>
        </w:rPr>
        <w:t xml:space="preserve">APRA has </w:t>
      </w:r>
      <w:r w:rsidR="00790370">
        <w:rPr>
          <w:rFonts w:ascii="DIN OT Light" w:hAnsi="DIN OT Light"/>
        </w:rPr>
        <w:t>modified</w:t>
      </w:r>
      <w:r w:rsidR="00790370" w:rsidRPr="002B6C38">
        <w:rPr>
          <w:rFonts w:ascii="DIN OT Light" w:hAnsi="DIN OT Light"/>
        </w:rPr>
        <w:t xml:space="preserve"> </w:t>
      </w:r>
      <w:r w:rsidRPr="002B6C38">
        <w:rPr>
          <w:rFonts w:ascii="DIN OT Light" w:hAnsi="DIN OT Light"/>
        </w:rPr>
        <w:t xml:space="preserve">a number of </w:t>
      </w:r>
      <w:r w:rsidR="00357426">
        <w:rPr>
          <w:rFonts w:ascii="DIN OT Light" w:hAnsi="DIN OT Light"/>
        </w:rPr>
        <w:t xml:space="preserve">terms </w:t>
      </w:r>
      <w:r w:rsidR="00176917">
        <w:rPr>
          <w:rFonts w:ascii="DIN OT Light" w:hAnsi="DIN OT Light"/>
        </w:rPr>
        <w:t>and</w:t>
      </w:r>
      <w:r w:rsidR="00357426">
        <w:rPr>
          <w:rFonts w:ascii="DIN OT Light" w:hAnsi="DIN OT Light"/>
        </w:rPr>
        <w:t xml:space="preserve"> </w:t>
      </w:r>
      <w:r w:rsidRPr="002B6C38">
        <w:rPr>
          <w:rFonts w:ascii="DIN OT Light" w:hAnsi="DIN OT Light"/>
        </w:rPr>
        <w:t xml:space="preserve">definitions </w:t>
      </w:r>
      <w:r w:rsidR="009C7B85" w:rsidRPr="00941CBF">
        <w:rPr>
          <w:rFonts w:ascii="DIN OT Light" w:hAnsi="DIN OT Light"/>
          <w:color w:val="auto"/>
        </w:rPr>
        <w:t xml:space="preserve">to </w:t>
      </w:r>
      <w:r w:rsidR="00595FD7" w:rsidRPr="00941CBF">
        <w:rPr>
          <w:rFonts w:ascii="DIN OT Light" w:hAnsi="DIN OT Light"/>
          <w:color w:val="auto"/>
        </w:rPr>
        <w:t xml:space="preserve">improve clarity and consistency </w:t>
      </w:r>
      <w:r w:rsidR="00357426">
        <w:rPr>
          <w:rFonts w:ascii="DIN OT Light" w:hAnsi="DIN OT Light"/>
          <w:color w:val="auto"/>
        </w:rPr>
        <w:t>in application</w:t>
      </w:r>
      <w:r w:rsidR="00595FD7" w:rsidRPr="00941CBF">
        <w:rPr>
          <w:rFonts w:ascii="DIN OT Light" w:hAnsi="DIN OT Light"/>
          <w:color w:val="auto"/>
        </w:rPr>
        <w:t>.</w:t>
      </w:r>
      <w:r w:rsidR="00357426">
        <w:rPr>
          <w:rFonts w:ascii="DIN OT Light" w:hAnsi="DIN OT Light"/>
          <w:color w:val="auto"/>
        </w:rPr>
        <w:t xml:space="preserve"> Table </w:t>
      </w:r>
      <w:r w:rsidR="00B65C5D">
        <w:rPr>
          <w:rFonts w:ascii="DIN OT Light" w:hAnsi="DIN OT Light"/>
          <w:color w:val="auto"/>
        </w:rPr>
        <w:t>6</w:t>
      </w:r>
      <w:r w:rsidR="00357426">
        <w:rPr>
          <w:rFonts w:ascii="DIN OT Light" w:hAnsi="DIN OT Light"/>
          <w:color w:val="auto"/>
        </w:rPr>
        <w:t xml:space="preserve"> below outlines these amendments</w:t>
      </w:r>
      <w:r w:rsidR="00176917">
        <w:rPr>
          <w:rFonts w:ascii="DIN OT Light" w:hAnsi="DIN OT Light"/>
          <w:color w:val="auto"/>
        </w:rPr>
        <w:t>.</w:t>
      </w:r>
      <w:r w:rsidR="00595FD7" w:rsidRPr="00941CBF">
        <w:rPr>
          <w:rFonts w:ascii="DIN OT Light" w:hAnsi="DIN OT Light"/>
          <w:color w:val="auto"/>
        </w:rPr>
        <w:t xml:space="preserve"> </w:t>
      </w:r>
    </w:p>
    <w:p w14:paraId="11D7A5DD" w14:textId="5077E0DE" w:rsidR="002B6C38" w:rsidRPr="004B4B71" w:rsidRDefault="00357426" w:rsidP="002B6C38">
      <w:pPr>
        <w:rPr>
          <w:b/>
        </w:rPr>
      </w:pPr>
      <w:r w:rsidRPr="0015182B">
        <w:rPr>
          <w:b/>
        </w:rPr>
        <w:t>Table</w:t>
      </w:r>
      <w:r w:rsidRPr="004B4B71">
        <w:rPr>
          <w:b/>
        </w:rPr>
        <w:t xml:space="preserve"> </w:t>
      </w:r>
      <w:r w:rsidR="00B65C5D">
        <w:rPr>
          <w:b/>
        </w:rPr>
        <w:t>6</w:t>
      </w:r>
      <w:r w:rsidRPr="004B4B71">
        <w:rPr>
          <w:b/>
        </w:rPr>
        <w:t>. Amendments to improve clarity</w:t>
      </w:r>
    </w:p>
    <w:tbl>
      <w:tblPr>
        <w:tblStyle w:val="TableGrid"/>
        <w:tblW w:w="0" w:type="auto"/>
        <w:tblLook w:val="04A0" w:firstRow="1" w:lastRow="0" w:firstColumn="1" w:lastColumn="0" w:noHBand="0" w:noVBand="1"/>
      </w:tblPr>
      <w:tblGrid>
        <w:gridCol w:w="2552"/>
        <w:gridCol w:w="456"/>
        <w:gridCol w:w="5923"/>
      </w:tblGrid>
      <w:tr w:rsidR="00357426" w14:paraId="425642B5" w14:textId="77777777" w:rsidTr="00357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gridSpan w:val="2"/>
          </w:tcPr>
          <w:p w14:paraId="1902D366" w14:textId="0BF67405" w:rsidR="00357426" w:rsidRDefault="00D76A72" w:rsidP="00986AD1">
            <w:r>
              <w:t>Topic</w:t>
            </w:r>
          </w:p>
        </w:tc>
        <w:tc>
          <w:tcPr>
            <w:tcW w:w="5923" w:type="dxa"/>
          </w:tcPr>
          <w:p w14:paraId="1C74A7CE" w14:textId="77777777" w:rsidR="00357426" w:rsidRDefault="00357426" w:rsidP="005C3C49">
            <w:pPr>
              <w:cnfStyle w:val="100000000000" w:firstRow="1" w:lastRow="0" w:firstColumn="0" w:lastColumn="0" w:oddVBand="0" w:evenVBand="0" w:oddHBand="0" w:evenHBand="0" w:firstRowFirstColumn="0" w:firstRowLastColumn="0" w:lastRowFirstColumn="0" w:lastRowLastColumn="0"/>
            </w:pPr>
            <w:r>
              <w:t xml:space="preserve">APRA </w:t>
            </w:r>
            <w:r w:rsidR="005C3C49">
              <w:t>revision</w:t>
            </w:r>
          </w:p>
        </w:tc>
      </w:tr>
      <w:tr w:rsidR="009D28B6" w14:paraId="38297CC4" w14:textId="77777777" w:rsidTr="00893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249EE6D" w14:textId="1D3D4553" w:rsidR="009D28B6" w:rsidRDefault="005F3024" w:rsidP="009D28B6">
            <w:pPr>
              <w:rPr>
                <w:color w:val="000000" w:themeColor="text1"/>
              </w:rPr>
            </w:pPr>
            <w:r w:rsidRPr="006D457F">
              <w:t>RSE licensee</w:t>
            </w:r>
            <w:r>
              <w:t xml:space="preserve"> obligation</w:t>
            </w:r>
          </w:p>
        </w:tc>
        <w:tc>
          <w:tcPr>
            <w:tcW w:w="6379" w:type="dxa"/>
            <w:gridSpan w:val="2"/>
          </w:tcPr>
          <w:p w14:paraId="694C88D0" w14:textId="5C37D5C9" w:rsidR="009D28B6" w:rsidRDefault="009D28B6" w:rsidP="005F3024">
            <w:pPr>
              <w:cnfStyle w:val="000000100000" w:firstRow="0" w:lastRow="0" w:firstColumn="0" w:lastColumn="0" w:oddVBand="0" w:evenVBand="0" w:oddHBand="1" w:evenHBand="0" w:firstRowFirstColumn="0" w:firstRowLastColumn="0" w:lastRowFirstColumn="0" w:lastRowLastColumn="0"/>
              <w:rPr>
                <w:color w:val="auto"/>
              </w:rPr>
            </w:pPr>
            <w:r>
              <w:t xml:space="preserve">Amendments </w:t>
            </w:r>
            <w:r w:rsidR="00E46A38">
              <w:t>to reflect Government proposals to modify trustee obligations under the recent budget measures.</w:t>
            </w:r>
            <w:r w:rsidR="005F3024">
              <w:t xml:space="preserve"> </w:t>
            </w:r>
          </w:p>
        </w:tc>
      </w:tr>
      <w:tr w:rsidR="009D28B6" w14:paraId="2EE70C9D" w14:textId="77777777" w:rsidTr="008936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AA43695" w14:textId="77777777" w:rsidR="009D28B6" w:rsidRDefault="009D28B6" w:rsidP="009D28B6">
            <w:r>
              <w:rPr>
                <w:color w:val="000000" w:themeColor="text1"/>
              </w:rPr>
              <w:t>Variable remuneration</w:t>
            </w:r>
          </w:p>
        </w:tc>
        <w:tc>
          <w:tcPr>
            <w:tcW w:w="6379" w:type="dxa"/>
            <w:gridSpan w:val="2"/>
          </w:tcPr>
          <w:p w14:paraId="78CEC1A0" w14:textId="77777777" w:rsidR="009D28B6" w:rsidRPr="00176917" w:rsidRDefault="009D28B6" w:rsidP="009D28B6">
            <w:pPr>
              <w:cnfStyle w:val="000000010000" w:firstRow="0" w:lastRow="0" w:firstColumn="0" w:lastColumn="0" w:oddVBand="0" w:evenVBand="0" w:oddHBand="0" w:evenHBand="1" w:firstRowFirstColumn="0" w:firstRowLastColumn="0" w:lastRowFirstColumn="0" w:lastRowLastColumn="0"/>
              <w:rPr>
                <w:color w:val="auto"/>
              </w:rPr>
            </w:pPr>
            <w:r>
              <w:rPr>
                <w:color w:val="auto"/>
              </w:rPr>
              <w:t>Clarity is now given to the definition of variable remuneration through providing examples of objectives.</w:t>
            </w:r>
          </w:p>
        </w:tc>
      </w:tr>
      <w:tr w:rsidR="000C1B97" w14:paraId="2013DEAD" w14:textId="77777777" w:rsidTr="00893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870BE05" w14:textId="317B1F37" w:rsidR="000C1B97" w:rsidRDefault="000C1B97" w:rsidP="008B2179">
            <w:pPr>
              <w:rPr>
                <w:color w:val="000000" w:themeColor="text1"/>
              </w:rPr>
            </w:pPr>
            <w:r>
              <w:rPr>
                <w:color w:val="000000" w:themeColor="text1"/>
              </w:rPr>
              <w:t>Relevant oversight function</w:t>
            </w:r>
          </w:p>
        </w:tc>
        <w:tc>
          <w:tcPr>
            <w:tcW w:w="6379" w:type="dxa"/>
            <w:gridSpan w:val="2"/>
          </w:tcPr>
          <w:p w14:paraId="38368EDF" w14:textId="27E455D1" w:rsidR="000C1B97" w:rsidRDefault="009B5F3C" w:rsidP="009B5F3C">
            <w:pPr>
              <w:cnfStyle w:val="000000100000" w:firstRow="0" w:lastRow="0" w:firstColumn="0" w:lastColumn="0" w:oddVBand="0" w:evenVBand="0" w:oddHBand="1" w:evenHBand="0" w:firstRowFirstColumn="0" w:firstRowLastColumn="0" w:lastRowFirstColumn="0" w:lastRowLastColumn="0"/>
              <w:rPr>
                <w:color w:val="auto"/>
              </w:rPr>
            </w:pPr>
            <w:r>
              <w:t>C</w:t>
            </w:r>
            <w:r w:rsidR="000C1B97">
              <w:t>lari</w:t>
            </w:r>
            <w:r>
              <w:t xml:space="preserve">ty is given on the </w:t>
            </w:r>
            <w:r w:rsidRPr="001C2D6B">
              <w:t xml:space="preserve">responsibilities </w:t>
            </w:r>
            <w:r>
              <w:t>of the relevant oversight function, particularly on</w:t>
            </w:r>
            <w:r w:rsidRPr="0006772E">
              <w:t xml:space="preserve"> </w:t>
            </w:r>
            <w:r w:rsidR="000C1B97" w:rsidRPr="0006772E">
              <w:t>consult</w:t>
            </w:r>
            <w:r>
              <w:t>ing</w:t>
            </w:r>
            <w:r w:rsidR="000C1B97" w:rsidRPr="0006772E">
              <w:t xml:space="preserve"> with </w:t>
            </w:r>
            <w:r>
              <w:t>other</w:t>
            </w:r>
            <w:r w:rsidR="000C1B97" w:rsidRPr="00931FE8">
              <w:t xml:space="preserve"> </w:t>
            </w:r>
            <w:r w:rsidR="000C1B97" w:rsidRPr="0006772E">
              <w:t>board risk committee</w:t>
            </w:r>
            <w:r>
              <w:t>s</w:t>
            </w:r>
            <w:r w:rsidR="000C1B97">
              <w:t xml:space="preserve">. </w:t>
            </w:r>
            <w:r>
              <w:t>APRA maintains that the relevant remuneration oversight function of foreign ADIs, category C insurers and Eligible Foreign Life Insurance Companies (EFLICs) be given equivalent roles and responsibilities as a board.</w:t>
            </w:r>
          </w:p>
        </w:tc>
      </w:tr>
      <w:tr w:rsidR="008B2179" w14:paraId="57FDD9C4" w14:textId="77777777" w:rsidTr="008936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60E9841" w14:textId="77777777" w:rsidR="008B2179" w:rsidRDefault="008B2179" w:rsidP="008B2179">
            <w:r>
              <w:t>Remuneration objectives</w:t>
            </w:r>
          </w:p>
        </w:tc>
        <w:tc>
          <w:tcPr>
            <w:tcW w:w="6379" w:type="dxa"/>
            <w:gridSpan w:val="2"/>
          </w:tcPr>
          <w:p w14:paraId="18F3B1EF" w14:textId="77777777" w:rsidR="008B2179" w:rsidRDefault="008B2179" w:rsidP="008B2179">
            <w:pPr>
              <w:cnfStyle w:val="000000010000" w:firstRow="0" w:lastRow="0" w:firstColumn="0" w:lastColumn="0" w:oddVBand="0" w:evenVBand="0" w:oddHBand="0" w:evenHBand="1" w:firstRowFirstColumn="0" w:firstRowLastColumn="0" w:lastRowFirstColumn="0" w:lastRowLastColumn="0"/>
            </w:pPr>
            <w:r>
              <w:t>The intent of an entity’s remuneration framework must flow through design, adjustments and to outcomes.  In the original draft CPS 511 this intent was termed remuneration objectives, however this can be confused with performance objectives. APRA has removed the term and the revised requirement now reflects the criteria underlying the intent, with a strengthened linkage to risk.</w:t>
            </w:r>
          </w:p>
        </w:tc>
      </w:tr>
      <w:tr w:rsidR="008B2179" w14:paraId="6CCCE104" w14:textId="77777777" w:rsidTr="00893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0981A08" w14:textId="77777777" w:rsidR="008B2179" w:rsidRDefault="008B2179" w:rsidP="008B2179">
            <w:r>
              <w:rPr>
                <w:color w:val="000000" w:themeColor="text1"/>
              </w:rPr>
              <w:t>Remuneration design criteria</w:t>
            </w:r>
          </w:p>
        </w:tc>
        <w:tc>
          <w:tcPr>
            <w:tcW w:w="6379" w:type="dxa"/>
            <w:gridSpan w:val="2"/>
          </w:tcPr>
          <w:p w14:paraId="262B78FA" w14:textId="77777777" w:rsidR="008B2179" w:rsidRDefault="008B2179" w:rsidP="00C1415C">
            <w:pPr>
              <w:cnfStyle w:val="000000100000" w:firstRow="0" w:lastRow="0" w:firstColumn="0" w:lastColumn="0" w:oddVBand="0" w:evenVBand="0" w:oddHBand="1" w:evenHBand="0" w:firstRowFirstColumn="0" w:firstRowLastColumn="0" w:lastRowFirstColumn="0" w:lastRowLastColumn="0"/>
            </w:pPr>
            <w:r>
              <w:rPr>
                <w:color w:val="000000" w:themeColor="text1"/>
              </w:rPr>
              <w:t>Criteria relating to risks and time horizons,</w:t>
            </w:r>
            <w:r w:rsidRPr="008D18F6">
              <w:t xml:space="preserve"> </w:t>
            </w:r>
            <w:r>
              <w:t xml:space="preserve">remuneration adjustments </w:t>
            </w:r>
            <w:r w:rsidR="00C1415C">
              <w:t xml:space="preserve">and </w:t>
            </w:r>
            <w:r>
              <w:t xml:space="preserve">malus </w:t>
            </w:r>
            <w:r>
              <w:rPr>
                <w:color w:val="000000" w:themeColor="text1"/>
              </w:rPr>
              <w:t>is simplified to reflect APRA’s intent in the design of variable remuneration arrangements.</w:t>
            </w:r>
          </w:p>
        </w:tc>
      </w:tr>
      <w:tr w:rsidR="008B2179" w14:paraId="6AD4DA37" w14:textId="77777777" w:rsidTr="008936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AE13A43" w14:textId="77777777" w:rsidR="008B2179" w:rsidRPr="00941CBF" w:rsidRDefault="008B2179" w:rsidP="008B2179">
            <w:pPr>
              <w:rPr>
                <w:color w:val="000000" w:themeColor="text1"/>
              </w:rPr>
            </w:pPr>
            <w:r>
              <w:rPr>
                <w:color w:val="000000" w:themeColor="text1"/>
              </w:rPr>
              <w:t>Special role categories to specified roles</w:t>
            </w:r>
          </w:p>
        </w:tc>
        <w:tc>
          <w:tcPr>
            <w:tcW w:w="6379" w:type="dxa"/>
            <w:gridSpan w:val="2"/>
          </w:tcPr>
          <w:p w14:paraId="7D84CDB7" w14:textId="77777777" w:rsidR="008B2179" w:rsidRPr="00176917" w:rsidRDefault="008B2179" w:rsidP="008B2179">
            <w:pPr>
              <w:cnfStyle w:val="000000010000" w:firstRow="0" w:lastRow="0" w:firstColumn="0" w:lastColumn="0" w:oddVBand="0" w:evenVBand="0" w:oddHBand="0" w:evenHBand="1" w:firstRowFirstColumn="0" w:firstRowLastColumn="0" w:lastRowFirstColumn="0" w:lastRowLastColumn="0"/>
              <w:rPr>
                <w:color w:val="auto"/>
              </w:rPr>
            </w:pPr>
            <w:r>
              <w:rPr>
                <w:color w:val="000000" w:themeColor="text1"/>
              </w:rPr>
              <w:t xml:space="preserve">Special role categories, a term created for the purpose of CPS 511, </w:t>
            </w:r>
            <w:r>
              <w:rPr>
                <w:color w:val="auto"/>
              </w:rPr>
              <w:t xml:space="preserve">is now </w:t>
            </w:r>
            <w:r w:rsidRPr="00176917">
              <w:rPr>
                <w:color w:val="auto"/>
              </w:rPr>
              <w:t>simplifi</w:t>
            </w:r>
            <w:r>
              <w:rPr>
                <w:color w:val="auto"/>
              </w:rPr>
              <w:t xml:space="preserve">ed </w:t>
            </w:r>
            <w:r>
              <w:rPr>
                <w:color w:val="000000" w:themeColor="text1"/>
              </w:rPr>
              <w:t>to specified roles</w:t>
            </w:r>
            <w:r>
              <w:rPr>
                <w:color w:val="auto"/>
              </w:rPr>
              <w:t>.</w:t>
            </w:r>
          </w:p>
        </w:tc>
      </w:tr>
      <w:tr w:rsidR="008B2179" w14:paraId="74ABA569" w14:textId="77777777" w:rsidTr="00893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2C47030" w14:textId="77777777" w:rsidR="008B2179" w:rsidRDefault="008B2179" w:rsidP="008B2179">
            <w:pPr>
              <w:rPr>
                <w:color w:val="000000" w:themeColor="text1"/>
              </w:rPr>
            </w:pPr>
            <w:r>
              <w:rPr>
                <w:color w:val="000000" w:themeColor="text1"/>
              </w:rPr>
              <w:t xml:space="preserve">Senior manager and </w:t>
            </w:r>
          </w:p>
          <w:p w14:paraId="45108CD2" w14:textId="77777777" w:rsidR="008B2179" w:rsidRDefault="008B2179" w:rsidP="008B2179">
            <w:r>
              <w:rPr>
                <w:color w:val="000000" w:themeColor="text1"/>
              </w:rPr>
              <w:t>executive director</w:t>
            </w:r>
          </w:p>
        </w:tc>
        <w:tc>
          <w:tcPr>
            <w:tcW w:w="6379" w:type="dxa"/>
            <w:gridSpan w:val="2"/>
          </w:tcPr>
          <w:p w14:paraId="26F734A7" w14:textId="77777777" w:rsidR="008B2179" w:rsidRPr="00176917" w:rsidRDefault="008B2179" w:rsidP="008B2179">
            <w:p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The scope of specified roles is refined and now excludes non-executive directors; in </w:t>
            </w:r>
            <w:r>
              <w:t>draft CPS 511</w:t>
            </w:r>
            <w:r>
              <w:rPr>
                <w:color w:val="auto"/>
              </w:rPr>
              <w:t>, they were part of the senior manager definition. Specified</w:t>
            </w:r>
            <w:r w:rsidRPr="00176917">
              <w:rPr>
                <w:color w:val="auto"/>
              </w:rPr>
              <w:t xml:space="preserve"> roles</w:t>
            </w:r>
            <w:r>
              <w:rPr>
                <w:color w:val="auto"/>
              </w:rPr>
              <w:t xml:space="preserve"> now appropriately capture senior managers and executive directors.</w:t>
            </w:r>
          </w:p>
        </w:tc>
      </w:tr>
    </w:tbl>
    <w:p w14:paraId="05807DF1" w14:textId="77777777" w:rsidR="00C73115" w:rsidRPr="00C73115" w:rsidRDefault="00C73115" w:rsidP="00C73115">
      <w:pPr>
        <w:pStyle w:val="Heading3Numbers"/>
        <w:numPr>
          <w:ilvl w:val="2"/>
          <w:numId w:val="41"/>
        </w:numPr>
      </w:pPr>
      <w:bookmarkStart w:id="37" w:name="_Toc41287560"/>
      <w:bookmarkStart w:id="38" w:name="_Toc41304483"/>
      <w:bookmarkStart w:id="39" w:name="_Toc42254608"/>
      <w:r w:rsidRPr="00C73115">
        <w:lastRenderedPageBreak/>
        <w:t>Responsible persons and accountable persons</w:t>
      </w:r>
      <w:bookmarkEnd w:id="37"/>
      <w:bookmarkEnd w:id="38"/>
      <w:bookmarkEnd w:id="39"/>
      <w:r w:rsidRPr="00C73115">
        <w:t xml:space="preserve"> </w:t>
      </w:r>
    </w:p>
    <w:p w14:paraId="7EDD3D0D" w14:textId="28DA43CF" w:rsidR="00781B21" w:rsidRDefault="00781B21" w:rsidP="00C73115">
      <w:pPr>
        <w:rPr>
          <w:rStyle w:val="APRANORMALChar"/>
          <w:color w:val="000000"/>
        </w:rPr>
      </w:pPr>
      <w:r>
        <w:rPr>
          <w:rStyle w:val="APRANORMALChar"/>
          <w:color w:val="000000"/>
        </w:rPr>
        <w:t xml:space="preserve">Industry sought clarity regarding how the specified roles </w:t>
      </w:r>
      <w:r w:rsidR="000E1767">
        <w:rPr>
          <w:rStyle w:val="APRANORMALChar"/>
          <w:color w:val="000000"/>
        </w:rPr>
        <w:t xml:space="preserve">proposed in </w:t>
      </w:r>
      <w:r>
        <w:rPr>
          <w:rStyle w:val="APRANORMALChar"/>
          <w:color w:val="000000"/>
        </w:rPr>
        <w:t>CPS 51</w:t>
      </w:r>
      <w:r w:rsidR="000E1767">
        <w:rPr>
          <w:rStyle w:val="APRANORMALChar"/>
          <w:color w:val="000000"/>
        </w:rPr>
        <w:t>1</w:t>
      </w:r>
      <w:r>
        <w:rPr>
          <w:rStyle w:val="APRANORMALChar"/>
          <w:color w:val="000000"/>
        </w:rPr>
        <w:t xml:space="preserve"> related to </w:t>
      </w:r>
      <w:r w:rsidRPr="00C73115">
        <w:rPr>
          <w:rStyle w:val="APRANORMALChar"/>
          <w:color w:val="000000"/>
        </w:rPr>
        <w:t>responsible person</w:t>
      </w:r>
      <w:r>
        <w:rPr>
          <w:rStyle w:val="APRANORMALChar"/>
          <w:color w:val="000000"/>
        </w:rPr>
        <w:t>s</w:t>
      </w:r>
      <w:r w:rsidRPr="00C73115">
        <w:rPr>
          <w:rStyle w:val="APRANORMALChar"/>
          <w:color w:val="000000"/>
        </w:rPr>
        <w:t xml:space="preserve"> under </w:t>
      </w:r>
      <w:r w:rsidRPr="00C73115">
        <w:rPr>
          <w:rStyle w:val="APRANORMALChar"/>
          <w:i/>
          <w:color w:val="000000"/>
        </w:rPr>
        <w:t xml:space="preserve">Prudential Standard CPS 520 </w:t>
      </w:r>
      <w:r w:rsidRPr="00C73115">
        <w:rPr>
          <w:rStyle w:val="APRANORMALChar"/>
          <w:color w:val="000000"/>
        </w:rPr>
        <w:t>Fit and Proper</w:t>
      </w:r>
      <w:r w:rsidRPr="00C73115">
        <w:rPr>
          <w:rStyle w:val="APRANORMALChar"/>
          <w:i/>
          <w:color w:val="000000"/>
        </w:rPr>
        <w:t xml:space="preserve"> </w:t>
      </w:r>
      <w:r w:rsidRPr="00C73115">
        <w:rPr>
          <w:rStyle w:val="APRANORMALChar"/>
          <w:color w:val="000000"/>
        </w:rPr>
        <w:t>(CPS 520)</w:t>
      </w:r>
      <w:r w:rsidRPr="00C73115">
        <w:rPr>
          <w:rStyle w:val="APRANORMALChar"/>
          <w:i/>
          <w:color w:val="000000"/>
        </w:rPr>
        <w:t xml:space="preserve"> </w:t>
      </w:r>
      <w:r w:rsidRPr="00C73115">
        <w:rPr>
          <w:rStyle w:val="APRANORMALChar"/>
          <w:color w:val="000000"/>
        </w:rPr>
        <w:t xml:space="preserve">and </w:t>
      </w:r>
      <w:r w:rsidRPr="00C73115">
        <w:rPr>
          <w:rStyle w:val="APRANORMALChar"/>
          <w:i/>
          <w:color w:val="000000"/>
        </w:rPr>
        <w:t>Prudential Standard SPS 520</w:t>
      </w:r>
      <w:r w:rsidRPr="00C73115">
        <w:rPr>
          <w:rStyle w:val="APRANORMALChar"/>
          <w:color w:val="000000"/>
        </w:rPr>
        <w:t xml:space="preserve"> Fit and Proper (SPS 520)</w:t>
      </w:r>
      <w:r>
        <w:rPr>
          <w:rStyle w:val="APRANORMALChar"/>
          <w:color w:val="000000"/>
        </w:rPr>
        <w:t xml:space="preserve">. For ADIs, industry also sought clarity how these </w:t>
      </w:r>
      <w:r w:rsidR="000E1767">
        <w:rPr>
          <w:rStyle w:val="APRANORMALChar"/>
          <w:color w:val="000000"/>
        </w:rPr>
        <w:t>roles</w:t>
      </w:r>
      <w:r>
        <w:rPr>
          <w:rStyle w:val="APRANORMALChar"/>
          <w:color w:val="000000"/>
        </w:rPr>
        <w:t xml:space="preserve"> related to</w:t>
      </w:r>
      <w:r w:rsidRPr="00C73115">
        <w:rPr>
          <w:rStyle w:val="APRANORMALChar"/>
          <w:color w:val="000000"/>
        </w:rPr>
        <w:t xml:space="preserve"> an accountable person under the </w:t>
      </w:r>
      <w:r>
        <w:rPr>
          <w:rStyle w:val="APRANORMALChar"/>
          <w:color w:val="000000"/>
        </w:rPr>
        <w:t>BEAR.</w:t>
      </w:r>
    </w:p>
    <w:p w14:paraId="0E7A5110" w14:textId="0002457D" w:rsidR="00781B21" w:rsidRDefault="00F31887" w:rsidP="00C73115">
      <w:pPr>
        <w:rPr>
          <w:rStyle w:val="APRANORMALChar"/>
          <w:color w:val="000000"/>
        </w:rPr>
      </w:pPr>
      <w:r>
        <w:rPr>
          <w:rStyle w:val="APRANORMALChar"/>
          <w:color w:val="000000"/>
        </w:rPr>
        <w:t xml:space="preserve">Under </w:t>
      </w:r>
      <w:r w:rsidR="000E1767">
        <w:rPr>
          <w:rStyle w:val="APRANORMALChar"/>
          <w:color w:val="000000"/>
        </w:rPr>
        <w:t>revised</w:t>
      </w:r>
      <w:r>
        <w:rPr>
          <w:rStyle w:val="APRANORMALChar"/>
          <w:color w:val="000000"/>
        </w:rPr>
        <w:t xml:space="preserve"> CPS 511, specified roles include senior managers, executive directors, </w:t>
      </w:r>
      <w:r w:rsidR="008936E5">
        <w:rPr>
          <w:rStyle w:val="APRANORMALChar"/>
          <w:color w:val="000000"/>
        </w:rPr>
        <w:t>HPMRTs</w:t>
      </w:r>
      <w:r>
        <w:rPr>
          <w:rStyle w:val="APRANORMALChar"/>
          <w:color w:val="000000"/>
        </w:rPr>
        <w:t xml:space="preserve">, material risk takers and risk and financial control </w:t>
      </w:r>
      <w:r w:rsidR="000A2E40">
        <w:rPr>
          <w:rStyle w:val="APRANORMALChar"/>
          <w:color w:val="000000"/>
        </w:rPr>
        <w:t>personnel</w:t>
      </w:r>
      <w:r>
        <w:rPr>
          <w:rStyle w:val="APRANORMALChar"/>
          <w:color w:val="000000"/>
        </w:rPr>
        <w:t xml:space="preserve">. </w:t>
      </w:r>
      <w:r w:rsidR="00142964">
        <w:rPr>
          <w:rStyle w:val="APRANORMALChar"/>
          <w:color w:val="000000"/>
        </w:rPr>
        <w:t>S</w:t>
      </w:r>
      <w:r w:rsidR="00EE658D">
        <w:rPr>
          <w:rStyle w:val="APRANORMALChar"/>
          <w:color w:val="000000"/>
        </w:rPr>
        <w:t>enior managers and executive directors under revised</w:t>
      </w:r>
      <w:r w:rsidR="00142964">
        <w:rPr>
          <w:rStyle w:val="APRANORMALChar"/>
          <w:color w:val="000000"/>
        </w:rPr>
        <w:t xml:space="preserve"> </w:t>
      </w:r>
      <w:r w:rsidR="00EE658D">
        <w:rPr>
          <w:rStyle w:val="APRANORMALChar"/>
          <w:color w:val="000000"/>
        </w:rPr>
        <w:t xml:space="preserve">CPS 511 </w:t>
      </w:r>
      <w:r w:rsidR="00EE658D" w:rsidRPr="00A17A22">
        <w:rPr>
          <w:rStyle w:val="APRANORMALChar"/>
          <w:color w:val="000000"/>
        </w:rPr>
        <w:t>will</w:t>
      </w:r>
      <w:r w:rsidR="008F4FB7" w:rsidRPr="00A17A22">
        <w:rPr>
          <w:rStyle w:val="APRANORMALChar"/>
          <w:color w:val="000000"/>
        </w:rPr>
        <w:t xml:space="preserve"> </w:t>
      </w:r>
      <w:r w:rsidR="0085250A">
        <w:rPr>
          <w:rStyle w:val="APRANORMALChar"/>
          <w:color w:val="000000"/>
        </w:rPr>
        <w:t>generally</w:t>
      </w:r>
      <w:r w:rsidR="00EE658D" w:rsidRPr="00A17A22">
        <w:rPr>
          <w:rStyle w:val="APRANORMALChar"/>
          <w:color w:val="000000"/>
        </w:rPr>
        <w:t xml:space="preserve"> be</w:t>
      </w:r>
      <w:r w:rsidR="00EE658D">
        <w:rPr>
          <w:rStyle w:val="APRANORMALChar"/>
          <w:color w:val="000000"/>
        </w:rPr>
        <w:t xml:space="preserve"> responsible persons under CPS 520 and SPS 520 and accountable persons under the BEAR.</w:t>
      </w:r>
      <w:r w:rsidR="00142964">
        <w:rPr>
          <w:rStyle w:val="APRANORMALChar"/>
          <w:color w:val="000000"/>
        </w:rPr>
        <w:t xml:space="preserve"> T</w:t>
      </w:r>
      <w:r w:rsidR="00EE658D">
        <w:rPr>
          <w:rStyle w:val="APRANORMALChar"/>
          <w:color w:val="000000"/>
        </w:rPr>
        <w:t xml:space="preserve">he </w:t>
      </w:r>
      <w:r w:rsidR="00142964">
        <w:rPr>
          <w:rStyle w:val="APRANORMALChar"/>
          <w:color w:val="000000"/>
        </w:rPr>
        <w:t xml:space="preserve">roles and </w:t>
      </w:r>
      <w:r w:rsidR="00EE658D">
        <w:rPr>
          <w:rStyle w:val="APRANORMALChar"/>
          <w:color w:val="000000"/>
        </w:rPr>
        <w:t>r</w:t>
      </w:r>
      <w:r w:rsidR="00142964">
        <w:rPr>
          <w:rStyle w:val="APRANORMALChar"/>
          <w:color w:val="000000"/>
        </w:rPr>
        <w:t>espo</w:t>
      </w:r>
      <w:r w:rsidR="00EE658D">
        <w:rPr>
          <w:rStyle w:val="APRANORMALChar"/>
          <w:color w:val="000000"/>
        </w:rPr>
        <w:t>n</w:t>
      </w:r>
      <w:r w:rsidR="00142964">
        <w:rPr>
          <w:rStyle w:val="APRANORMALChar"/>
          <w:color w:val="000000"/>
        </w:rPr>
        <w:t>s</w:t>
      </w:r>
      <w:r w:rsidR="00EE658D">
        <w:rPr>
          <w:rStyle w:val="APRANORMALChar"/>
          <w:color w:val="000000"/>
        </w:rPr>
        <w:t>ibilities</w:t>
      </w:r>
      <w:r>
        <w:rPr>
          <w:rStyle w:val="APRANORMALChar"/>
          <w:color w:val="000000"/>
        </w:rPr>
        <w:t xml:space="preserve"> of </w:t>
      </w:r>
      <w:r w:rsidR="00142964">
        <w:rPr>
          <w:rStyle w:val="APRANORMALChar"/>
          <w:color w:val="000000"/>
        </w:rPr>
        <w:t xml:space="preserve">other types of </w:t>
      </w:r>
      <w:r>
        <w:rPr>
          <w:rStyle w:val="APRANORMALChar"/>
          <w:color w:val="000000"/>
        </w:rPr>
        <w:t>specified</w:t>
      </w:r>
      <w:r w:rsidR="00781B21">
        <w:rPr>
          <w:rStyle w:val="APRANORMALChar"/>
          <w:color w:val="000000"/>
        </w:rPr>
        <w:t xml:space="preserve"> </w:t>
      </w:r>
      <w:r>
        <w:rPr>
          <w:rStyle w:val="APRANORMALChar"/>
          <w:color w:val="000000"/>
        </w:rPr>
        <w:t>roles will</w:t>
      </w:r>
      <w:r w:rsidR="00F52FF6">
        <w:rPr>
          <w:rStyle w:val="APRANORMALChar"/>
          <w:color w:val="000000"/>
        </w:rPr>
        <w:t xml:space="preserve"> </w:t>
      </w:r>
      <w:r w:rsidR="00EE658D">
        <w:rPr>
          <w:rStyle w:val="APRANORMALChar"/>
          <w:color w:val="000000"/>
        </w:rPr>
        <w:t>determine whether they will mee</w:t>
      </w:r>
      <w:r w:rsidR="00142964">
        <w:rPr>
          <w:rStyle w:val="APRANORMALChar"/>
          <w:color w:val="000000"/>
        </w:rPr>
        <w:t>t</w:t>
      </w:r>
      <w:r w:rsidR="00EE658D">
        <w:rPr>
          <w:rStyle w:val="APRANORMALChar"/>
          <w:color w:val="000000"/>
        </w:rPr>
        <w:t xml:space="preserve"> the definition of</w:t>
      </w:r>
      <w:r>
        <w:rPr>
          <w:rStyle w:val="APRANORMALChar"/>
          <w:color w:val="000000"/>
        </w:rPr>
        <w:t xml:space="preserve"> a responsible person under CPS 520 and SPS 520</w:t>
      </w:r>
      <w:r w:rsidR="00EE658D">
        <w:rPr>
          <w:rStyle w:val="APRANORMALChar"/>
          <w:color w:val="000000"/>
        </w:rPr>
        <w:t xml:space="preserve"> </w:t>
      </w:r>
      <w:r w:rsidR="00142964">
        <w:rPr>
          <w:rStyle w:val="APRANORMALChar"/>
          <w:color w:val="000000"/>
        </w:rPr>
        <w:t>and</w:t>
      </w:r>
      <w:r w:rsidR="00EE658D">
        <w:rPr>
          <w:rStyle w:val="APRANORMALChar"/>
          <w:color w:val="000000"/>
        </w:rPr>
        <w:t xml:space="preserve"> be </w:t>
      </w:r>
      <w:r w:rsidR="00142964">
        <w:rPr>
          <w:rStyle w:val="APRANORMALChar"/>
          <w:color w:val="000000"/>
        </w:rPr>
        <w:t>established</w:t>
      </w:r>
      <w:r w:rsidR="00EE658D">
        <w:rPr>
          <w:rStyle w:val="APRANORMALChar"/>
          <w:color w:val="000000"/>
        </w:rPr>
        <w:t xml:space="preserve"> as</w:t>
      </w:r>
      <w:r>
        <w:rPr>
          <w:rStyle w:val="APRANORMALChar"/>
          <w:color w:val="000000"/>
        </w:rPr>
        <w:t xml:space="preserve"> an accountable person </w:t>
      </w:r>
      <w:r w:rsidR="00EE658D">
        <w:rPr>
          <w:rStyle w:val="APRANORMALChar"/>
          <w:color w:val="000000"/>
        </w:rPr>
        <w:t xml:space="preserve">by the </w:t>
      </w:r>
      <w:r w:rsidR="00142964">
        <w:rPr>
          <w:rStyle w:val="APRANORMALChar"/>
          <w:color w:val="000000"/>
        </w:rPr>
        <w:t>entity</w:t>
      </w:r>
      <w:r w:rsidR="00EE658D">
        <w:rPr>
          <w:rStyle w:val="APRANORMALChar"/>
          <w:color w:val="000000"/>
        </w:rPr>
        <w:t xml:space="preserve">. </w:t>
      </w:r>
      <w:r>
        <w:rPr>
          <w:rStyle w:val="APRANORMALChar"/>
          <w:color w:val="000000"/>
        </w:rPr>
        <w:t xml:space="preserve"> </w:t>
      </w:r>
    </w:p>
    <w:p w14:paraId="49533149" w14:textId="77777777" w:rsidR="006F19ED" w:rsidRDefault="006F19ED" w:rsidP="00DE05FF">
      <w:pPr>
        <w:pStyle w:val="Heading2Numbers"/>
        <w:numPr>
          <w:ilvl w:val="1"/>
          <w:numId w:val="41"/>
        </w:numPr>
        <w:ind w:left="851"/>
      </w:pPr>
      <w:r>
        <w:t>Review of the remuneration framework</w:t>
      </w:r>
    </w:p>
    <w:p w14:paraId="17969F27" w14:textId="3043CA48" w:rsidR="00DB5189" w:rsidRPr="00DB5189" w:rsidRDefault="00DB5189" w:rsidP="00DB5189">
      <w:r w:rsidRPr="00DB5189" w:rsidDel="00F31887">
        <w:t>APRA has observed the current review of the remuneration policy under CPS</w:t>
      </w:r>
      <w:r w:rsidDel="00F31887">
        <w:t xml:space="preserve"> 510 and </w:t>
      </w:r>
      <w:r w:rsidRPr="00DB5189" w:rsidDel="00F31887">
        <w:t xml:space="preserve">SPS 510 </w:t>
      </w:r>
      <w:r w:rsidR="00534355" w:rsidDel="00F31887">
        <w:t>to</w:t>
      </w:r>
      <w:r w:rsidRPr="00DB5189" w:rsidDel="00F31887">
        <w:t xml:space="preserve"> </w:t>
      </w:r>
      <w:r w:rsidR="00534355" w:rsidDel="00F31887">
        <w:t>be</w:t>
      </w:r>
      <w:r w:rsidRPr="00DB5189" w:rsidDel="00F31887">
        <w:t xml:space="preserve"> </w:t>
      </w:r>
      <w:r w:rsidR="00142964">
        <w:t>in</w:t>
      </w:r>
      <w:r w:rsidRPr="00DB5189">
        <w:t>sufficient</w:t>
      </w:r>
      <w:r w:rsidRPr="00DB5189" w:rsidDel="00F31887">
        <w:t xml:space="preserve"> to enable a view of whether the policy is working as intended. </w:t>
      </w:r>
      <w:r w:rsidR="008F4FB7">
        <w:t xml:space="preserve">Under draft CPS 511, </w:t>
      </w:r>
      <w:r>
        <w:t xml:space="preserve">APRA proposed that the remuneration framework be subject to an annual compliance review and </w:t>
      </w:r>
      <w:r w:rsidRPr="00C70A49">
        <w:t>triennial effectiveness review</w:t>
      </w:r>
      <w:r w:rsidRPr="00DB5189">
        <w:t>, and mandat</w:t>
      </w:r>
      <w:r>
        <w:t>ed</w:t>
      </w:r>
      <w:r w:rsidRPr="00DB5189">
        <w:t xml:space="preserve"> that the board remuneration committee consider and address review findings</w:t>
      </w:r>
      <w:r>
        <w:t xml:space="preserve">. This </w:t>
      </w:r>
      <w:r w:rsidRPr="00DB5189">
        <w:t xml:space="preserve">tightening </w:t>
      </w:r>
      <w:r>
        <w:t xml:space="preserve">of </w:t>
      </w:r>
      <w:r w:rsidRPr="00DB5189">
        <w:t xml:space="preserve">review requirements </w:t>
      </w:r>
      <w:r w:rsidR="00F52FF6">
        <w:t xml:space="preserve">was </w:t>
      </w:r>
      <w:r w:rsidR="00534355">
        <w:t xml:space="preserve">intended to </w:t>
      </w:r>
      <w:r w:rsidR="00014B57">
        <w:t>improve</w:t>
      </w:r>
      <w:r w:rsidR="00014B57" w:rsidRPr="00534355">
        <w:t xml:space="preserve"> </w:t>
      </w:r>
      <w:r w:rsidR="00534355" w:rsidRPr="00DB5189">
        <w:t>governance of remuneration</w:t>
      </w:r>
      <w:r w:rsidR="003B2C06">
        <w:t xml:space="preserve"> and</w:t>
      </w:r>
      <w:r w:rsidR="00552DD7">
        <w:t xml:space="preserve"> address a key Royal Commission recommendation</w:t>
      </w:r>
      <w:r w:rsidRPr="00DB5189">
        <w:t xml:space="preserve">.   </w:t>
      </w:r>
    </w:p>
    <w:p w14:paraId="086468A6" w14:textId="77777777" w:rsidR="00C70A49" w:rsidRPr="00607DAF" w:rsidRDefault="00C70A49" w:rsidP="00DE05FF">
      <w:pPr>
        <w:pStyle w:val="Heading3Numbers"/>
        <w:numPr>
          <w:ilvl w:val="2"/>
          <w:numId w:val="41"/>
        </w:numPr>
      </w:pPr>
      <w:r w:rsidRPr="00607DAF">
        <w:t>Comments received</w:t>
      </w:r>
    </w:p>
    <w:p w14:paraId="0F0F54BE" w14:textId="77777777" w:rsidR="004642E4" w:rsidRDefault="00FC660B" w:rsidP="0050203A">
      <w:r>
        <w:t>Stakeholders</w:t>
      </w:r>
      <w:r w:rsidR="00F4085F">
        <w:t xml:space="preserve"> queried the need for an annual review of compliance and whether it would result in meaningful insight</w:t>
      </w:r>
      <w:r w:rsidR="000634CF">
        <w:t>s</w:t>
      </w:r>
      <w:r w:rsidR="00F4085F">
        <w:t xml:space="preserve">. </w:t>
      </w:r>
      <w:r>
        <w:t xml:space="preserve">There was suggestion that </w:t>
      </w:r>
      <w:r w:rsidR="000634CF">
        <w:t xml:space="preserve">a compliance </w:t>
      </w:r>
      <w:r>
        <w:t xml:space="preserve">review be </w:t>
      </w:r>
      <w:r w:rsidR="000634CF">
        <w:t xml:space="preserve">conducted every two years, </w:t>
      </w:r>
      <w:r>
        <w:t>or the review only be required following a material change to the entity’s business operations</w:t>
      </w:r>
      <w:r w:rsidR="004642E4">
        <w:t xml:space="preserve">. </w:t>
      </w:r>
    </w:p>
    <w:p w14:paraId="5A32A57C" w14:textId="75F150DF" w:rsidR="00254E2D" w:rsidRDefault="005C6B25" w:rsidP="0050203A">
      <w:r>
        <w:t>Industry participants were broadly comfortable with the proposed t</w:t>
      </w:r>
      <w:r w:rsidRPr="005C6B25">
        <w:t>riennial effectiveness review</w:t>
      </w:r>
      <w:r w:rsidR="003B1DA9">
        <w:t>,</w:t>
      </w:r>
      <w:r>
        <w:t xml:space="preserve"> </w:t>
      </w:r>
      <w:r w:rsidR="00FE1868">
        <w:t xml:space="preserve">recognising that </w:t>
      </w:r>
      <w:r w:rsidR="009D735B">
        <w:t xml:space="preserve">there is a similar review under </w:t>
      </w:r>
      <w:r w:rsidR="00FE1868">
        <w:t>CPS 220</w:t>
      </w:r>
      <w:r w:rsidR="0072232D">
        <w:t xml:space="preserve"> and </w:t>
      </w:r>
      <w:r w:rsidR="00FE1868">
        <w:t>SPS 220</w:t>
      </w:r>
      <w:r w:rsidR="009D735B">
        <w:t xml:space="preserve"> </w:t>
      </w:r>
      <w:r w:rsidR="0072232D">
        <w:t xml:space="preserve">of </w:t>
      </w:r>
      <w:r w:rsidR="009D735B">
        <w:t>the risk management framework</w:t>
      </w:r>
      <w:r w:rsidR="00FE1868">
        <w:t xml:space="preserve">. </w:t>
      </w:r>
      <w:r w:rsidR="00321B5C">
        <w:t xml:space="preserve">Some submissions queried whether it was appropriate for the </w:t>
      </w:r>
      <w:r w:rsidR="0072232D" w:rsidRPr="00C70A49">
        <w:t xml:space="preserve">triennial </w:t>
      </w:r>
      <w:r w:rsidR="00321B5C">
        <w:t xml:space="preserve">review to apply to smaller entities due to the </w:t>
      </w:r>
      <w:r w:rsidR="009D735B">
        <w:t>potential</w:t>
      </w:r>
      <w:r w:rsidR="00321B5C">
        <w:t xml:space="preserve"> compliance burden</w:t>
      </w:r>
      <w:r w:rsidR="001034DE">
        <w:t xml:space="preserve">. </w:t>
      </w:r>
    </w:p>
    <w:p w14:paraId="6403632E" w14:textId="77777777" w:rsidR="00C70A49" w:rsidRPr="00607DAF" w:rsidRDefault="00C70A49" w:rsidP="00DE05FF">
      <w:pPr>
        <w:pStyle w:val="Heading3Numbers"/>
        <w:numPr>
          <w:ilvl w:val="2"/>
          <w:numId w:val="41"/>
        </w:numPr>
      </w:pPr>
      <w:r w:rsidRPr="00607DAF">
        <w:t>APRA’s response</w:t>
      </w:r>
    </w:p>
    <w:p w14:paraId="7100D372" w14:textId="662919B2" w:rsidR="00140BD3" w:rsidRDefault="00140BD3" w:rsidP="0050203A">
      <w:r>
        <w:t>APRA has retained the annual compliance review</w:t>
      </w:r>
      <w:r w:rsidR="0085250A">
        <w:t xml:space="preserve"> requirement</w:t>
      </w:r>
      <w:r>
        <w:t xml:space="preserve">, on the basis that a routine appraisal </w:t>
      </w:r>
      <w:r w:rsidR="00534355">
        <w:t xml:space="preserve">of the remuneration framework </w:t>
      </w:r>
      <w:r>
        <w:t xml:space="preserve">against the standard will strengthen </w:t>
      </w:r>
      <w:r w:rsidR="00513CCF">
        <w:lastRenderedPageBreak/>
        <w:t>its</w:t>
      </w:r>
      <w:r>
        <w:t xml:space="preserve"> </w:t>
      </w:r>
      <w:r w:rsidR="00BA53BE">
        <w:t>operating effectiveness</w:t>
      </w:r>
      <w:r>
        <w:t xml:space="preserve">. </w:t>
      </w:r>
      <w:r w:rsidR="00BD1A35">
        <w:t xml:space="preserve">The annual review is expected to be conducted internally and </w:t>
      </w:r>
      <w:r w:rsidR="009E6B99">
        <w:t>take the form of</w:t>
      </w:r>
      <w:r w:rsidR="00BD1A35">
        <w:t xml:space="preserve"> a self-assessment.</w:t>
      </w:r>
    </w:p>
    <w:p w14:paraId="2A5E3C08" w14:textId="617AB676" w:rsidR="003C04EC" w:rsidRDefault="00A132B8" w:rsidP="0050203A">
      <w:r w:rsidRPr="00BD1A35">
        <w:t xml:space="preserve">APRA has </w:t>
      </w:r>
      <w:r w:rsidR="00395053">
        <w:t xml:space="preserve">also </w:t>
      </w:r>
      <w:r w:rsidR="00140BD3" w:rsidRPr="00BD1A35">
        <w:t xml:space="preserve">sharpened the </w:t>
      </w:r>
      <w:r w:rsidR="00534355">
        <w:t>scope</w:t>
      </w:r>
      <w:r w:rsidR="00395053">
        <w:t xml:space="preserve"> of triennial reviews</w:t>
      </w:r>
      <w:r w:rsidR="00534355" w:rsidRPr="00BD1A35">
        <w:t xml:space="preserve"> </w:t>
      </w:r>
      <w:r w:rsidR="00140BD3" w:rsidRPr="00BD1A35">
        <w:t>to</w:t>
      </w:r>
      <w:r w:rsidR="00841393" w:rsidRPr="00BD1A35">
        <w:t xml:space="preserve"> ensur</w:t>
      </w:r>
      <w:r w:rsidR="00140BD3" w:rsidRPr="00BD1A35">
        <w:t xml:space="preserve">e </w:t>
      </w:r>
      <w:r w:rsidR="00BD1A35" w:rsidRPr="00BD1A35">
        <w:t>a deeper dive into the entity’s remuneration framework</w:t>
      </w:r>
      <w:r w:rsidR="00395053">
        <w:t xml:space="preserve"> is undertaken,</w:t>
      </w:r>
      <w:r w:rsidR="00BD1A35" w:rsidRPr="00BD1A35">
        <w:t xml:space="preserve"> </w:t>
      </w:r>
      <w:r w:rsidR="00395053">
        <w:t>which</w:t>
      </w:r>
      <w:r w:rsidR="004A7FDE" w:rsidDel="00395053">
        <w:t xml:space="preserve"> </w:t>
      </w:r>
      <w:r w:rsidR="00BD1A35">
        <w:t>leverage</w:t>
      </w:r>
      <w:r w:rsidR="00513CCF">
        <w:t>s</w:t>
      </w:r>
      <w:r w:rsidR="00BD1A35">
        <w:t xml:space="preserve"> the </w:t>
      </w:r>
      <w:r w:rsidR="00395053">
        <w:t>experience</w:t>
      </w:r>
      <w:r w:rsidR="00395053" w:rsidRPr="00BD1A35">
        <w:t xml:space="preserve"> </w:t>
      </w:r>
      <w:r w:rsidR="00BD1A35" w:rsidRPr="00BD1A35">
        <w:t>of a</w:t>
      </w:r>
      <w:r w:rsidR="00BD1A35">
        <w:t>n</w:t>
      </w:r>
      <w:r w:rsidR="00BD1A35" w:rsidRPr="00BD1A35">
        <w:t xml:space="preserve"> operationally independent, appropriately experienced </w:t>
      </w:r>
      <w:r w:rsidR="00465A53">
        <w:t>reviewer</w:t>
      </w:r>
      <w:r w:rsidR="00BD1A35">
        <w:t>.</w:t>
      </w:r>
      <w:r w:rsidR="00395053">
        <w:t xml:space="preserve"> </w:t>
      </w:r>
      <w:r w:rsidR="000E0376">
        <w:t>APRA plans to provide more</w:t>
      </w:r>
      <w:r w:rsidR="003C04EC">
        <w:t xml:space="preserve"> guidance </w:t>
      </w:r>
      <w:r w:rsidR="00395053">
        <w:t>on</w:t>
      </w:r>
      <w:r w:rsidR="003C04EC">
        <w:t xml:space="preserve"> review</w:t>
      </w:r>
      <w:r w:rsidR="00395053">
        <w:t xml:space="preserve"> requirements in a forthcoming prudential practice guide</w:t>
      </w:r>
      <w:r w:rsidR="003C04EC">
        <w:t xml:space="preserve">. </w:t>
      </w:r>
    </w:p>
    <w:p w14:paraId="360CDBFB" w14:textId="67B1C3E8" w:rsidR="008F4FB7" w:rsidRDefault="008F4FB7" w:rsidP="0050203A">
      <w:r>
        <w:t>Under revised CPS 511, non-SFIs will not be required to undertake effectiveness or compliance reviews.</w:t>
      </w:r>
      <w:r w:rsidR="00601C67">
        <w:t xml:space="preserve"> Further details are provided at Chapter 8.</w:t>
      </w:r>
    </w:p>
    <w:p w14:paraId="5855E881" w14:textId="77777777" w:rsidR="00FC660B" w:rsidRDefault="00FC660B" w:rsidP="00DE05FF">
      <w:pPr>
        <w:pStyle w:val="Heading2Numbers"/>
        <w:numPr>
          <w:ilvl w:val="1"/>
          <w:numId w:val="41"/>
        </w:numPr>
        <w:ind w:left="851"/>
      </w:pPr>
      <w:r>
        <w:t>Transition arrangements</w:t>
      </w:r>
    </w:p>
    <w:p w14:paraId="72C57AD2" w14:textId="77777777" w:rsidR="00FC660B" w:rsidRPr="001F6E6A" w:rsidRDefault="00FC660B" w:rsidP="00FC660B">
      <w:r>
        <w:t xml:space="preserve">APRA sought feedback from industry on what transition arrangements would be necessary to support implementation and whether they should vary by industry. </w:t>
      </w:r>
    </w:p>
    <w:p w14:paraId="1D05C1F4" w14:textId="77777777" w:rsidR="00FC660B" w:rsidRPr="00607DAF" w:rsidRDefault="00FC660B" w:rsidP="00DE05FF">
      <w:pPr>
        <w:pStyle w:val="Heading3Numbers"/>
        <w:numPr>
          <w:ilvl w:val="2"/>
          <w:numId w:val="41"/>
        </w:numPr>
      </w:pPr>
      <w:r w:rsidRPr="00607DAF">
        <w:t>Comments received</w:t>
      </w:r>
    </w:p>
    <w:p w14:paraId="00EE6444" w14:textId="09ECBD52" w:rsidR="00FC660B" w:rsidRDefault="008936E5" w:rsidP="00FC660B">
      <w:r>
        <w:t>The m</w:t>
      </w:r>
      <w:r w:rsidR="004678D4">
        <w:t>ajority</w:t>
      </w:r>
      <w:r w:rsidR="00FC660B">
        <w:t xml:space="preserve"> of submissions noted that there would be significant implementation challenges to renegotiate and redesign</w:t>
      </w:r>
      <w:r w:rsidR="004678D4" w:rsidRPr="004678D4">
        <w:t xml:space="preserve"> </w:t>
      </w:r>
      <w:r w:rsidR="004678D4">
        <w:t>existing employment contracts if APRA expected</w:t>
      </w:r>
      <w:r w:rsidR="004678D4" w:rsidRPr="004678D4">
        <w:t xml:space="preserve"> </w:t>
      </w:r>
      <w:r w:rsidR="004678D4">
        <w:t>all remuneration arrangements to comply with the final standard by the proposed commencement date</w:t>
      </w:r>
      <w:r w:rsidR="00FC660B">
        <w:t>. A number of entities</w:t>
      </w:r>
      <w:r w:rsidR="00FC660B" w:rsidDel="00221553">
        <w:t xml:space="preserve"> </w:t>
      </w:r>
      <w:r w:rsidR="00221553">
        <w:t xml:space="preserve">noted </w:t>
      </w:r>
      <w:r w:rsidR="00FC660B">
        <w:t>that existing arrangements should be grandfathered</w:t>
      </w:r>
      <w:r w:rsidR="00513CCF">
        <w:t xml:space="preserve">, given </w:t>
      </w:r>
      <w:r w:rsidR="00FC660B">
        <w:t xml:space="preserve">they would have been contracted in good faith and there would be significant cost and disruption to staff to renegotiate based on APRA requirements. </w:t>
      </w:r>
    </w:p>
    <w:p w14:paraId="54894823" w14:textId="5A279D6C" w:rsidR="00FC660B" w:rsidRDefault="00FC660B" w:rsidP="00FC660B">
      <w:r>
        <w:t xml:space="preserve">Some industry participants suggested that APRA postpone commencement of the final standard to accommodate the extension of </w:t>
      </w:r>
      <w:r w:rsidR="00465A53">
        <w:t xml:space="preserve">the </w:t>
      </w:r>
      <w:r w:rsidR="0038226A">
        <w:t>BE</w:t>
      </w:r>
      <w:r w:rsidR="00465A53">
        <w:t xml:space="preserve">AR </w:t>
      </w:r>
      <w:r>
        <w:t xml:space="preserve">to the insurance and superannuation industries. </w:t>
      </w:r>
      <w:r w:rsidR="00513CCF">
        <w:t>Industry highlighted the importance of</w:t>
      </w:r>
      <w:r>
        <w:t xml:space="preserve"> alignment between the prudential requirements and the new legislation. </w:t>
      </w:r>
    </w:p>
    <w:p w14:paraId="31A152D7" w14:textId="77777777" w:rsidR="00FC660B" w:rsidRPr="00607DAF" w:rsidRDefault="00FC660B" w:rsidP="00DE05FF">
      <w:pPr>
        <w:pStyle w:val="Heading3Numbers"/>
        <w:numPr>
          <w:ilvl w:val="2"/>
          <w:numId w:val="41"/>
        </w:numPr>
      </w:pPr>
      <w:r w:rsidRPr="00607DAF">
        <w:t>APRA’s response</w:t>
      </w:r>
    </w:p>
    <w:p w14:paraId="674916DF" w14:textId="2EAABE5E" w:rsidR="006D5CDB" w:rsidRDefault="009A6C9F" w:rsidP="00FC660B">
      <w:r>
        <w:t>T</w:t>
      </w:r>
      <w:r w:rsidR="007627D8">
        <w:t>ransition arrangements</w:t>
      </w:r>
      <w:r w:rsidR="00F561CB">
        <w:t xml:space="preserve"> </w:t>
      </w:r>
      <w:r>
        <w:t xml:space="preserve">in revised CPS 511 </w:t>
      </w:r>
      <w:r w:rsidR="004275A1">
        <w:t xml:space="preserve">will not require renegotiation of </w:t>
      </w:r>
      <w:r w:rsidR="00221553">
        <w:t xml:space="preserve">existing </w:t>
      </w:r>
      <w:r w:rsidR="004275A1">
        <w:t xml:space="preserve">employment contracts at the commencement date of the finalised standard. </w:t>
      </w:r>
      <w:r w:rsidR="00601C67">
        <w:t xml:space="preserve">However, </w:t>
      </w:r>
      <w:r w:rsidR="004B2C73">
        <w:t xml:space="preserve">all </w:t>
      </w:r>
      <w:r>
        <w:t xml:space="preserve">new </w:t>
      </w:r>
      <w:r w:rsidR="006A6E4C">
        <w:t>and renewing</w:t>
      </w:r>
      <w:r>
        <w:t xml:space="preserve"> remuneration contracts entered after the implementation date must be compliant. </w:t>
      </w:r>
      <w:r w:rsidR="00221553">
        <w:t xml:space="preserve">APRA expects that entities will </w:t>
      </w:r>
      <w:r w:rsidR="00103216">
        <w:t>start adopting the new requirements as soon as possible, to ensure that there is a timely transition of all remuneration contracts to a stronger remuneration framework</w:t>
      </w:r>
      <w:r w:rsidR="00221553">
        <w:t>.</w:t>
      </w:r>
      <w:r w:rsidR="00CD20EC">
        <w:t xml:space="preserve"> </w:t>
      </w:r>
    </w:p>
    <w:p w14:paraId="329E291F" w14:textId="2761BC50" w:rsidR="00BC7659" w:rsidRDefault="00BC7659" w:rsidP="00976F29">
      <w:pPr>
        <w:pStyle w:val="Heading1Numbers"/>
        <w:numPr>
          <w:ilvl w:val="0"/>
          <w:numId w:val="41"/>
        </w:numPr>
      </w:pPr>
      <w:bookmarkStart w:id="40" w:name="_Toc53000779"/>
      <w:bookmarkStart w:id="41" w:name="_Toc55850361"/>
      <w:bookmarkStart w:id="42" w:name="_Toc26804341"/>
      <w:bookmarkStart w:id="43" w:name="_Toc30172117"/>
      <w:r>
        <w:lastRenderedPageBreak/>
        <w:t>SFIs and Proportionality</w:t>
      </w:r>
      <w:bookmarkEnd w:id="40"/>
      <w:bookmarkEnd w:id="41"/>
    </w:p>
    <w:p w14:paraId="789C59AF" w14:textId="3B315A9F" w:rsidR="00BC7659" w:rsidRPr="00F5656F" w:rsidRDefault="00F5656F" w:rsidP="00F5656F">
      <w:r w:rsidRPr="00F5656F">
        <w:t xml:space="preserve">Under draft CPS 511, APRA included some elements of proportionality. </w:t>
      </w:r>
      <w:r w:rsidR="00131E7C">
        <w:t xml:space="preserve">Under these proposals, a subset of </w:t>
      </w:r>
      <w:r w:rsidRPr="00F5656F">
        <w:t>requirements</w:t>
      </w:r>
      <w:r w:rsidR="00131E7C">
        <w:t>, including those</w:t>
      </w:r>
      <w:r w:rsidRPr="00F5656F">
        <w:t xml:space="preserve"> relating to deferral and clawback</w:t>
      </w:r>
      <w:r w:rsidR="00131E7C">
        <w:t>,</w:t>
      </w:r>
      <w:r w:rsidRPr="00F5656F">
        <w:t xml:space="preserve"> would </w:t>
      </w:r>
      <w:r w:rsidR="00131E7C">
        <w:t>only apply to SFIs</w:t>
      </w:r>
      <w:r w:rsidR="009342DF" w:rsidRPr="00F5656F">
        <w:t>.</w:t>
      </w:r>
    </w:p>
    <w:p w14:paraId="21297D18" w14:textId="77777777" w:rsidR="00730468" w:rsidRDefault="00730468" w:rsidP="00730468">
      <w:pPr>
        <w:pStyle w:val="Heading2Numbers"/>
        <w:numPr>
          <w:ilvl w:val="1"/>
          <w:numId w:val="41"/>
        </w:numPr>
        <w:ind w:left="851"/>
      </w:pPr>
      <w:r>
        <w:t>Proportionality</w:t>
      </w:r>
    </w:p>
    <w:p w14:paraId="3B328A76" w14:textId="353D0F7A" w:rsidR="00F5656F" w:rsidRPr="00F5656F" w:rsidRDefault="00F5656F" w:rsidP="00F5656F">
      <w:r w:rsidRPr="00F5656F">
        <w:t xml:space="preserve">Under revised CPS 511, APRA has further reduced minimum requirements for non-SFIs. APRA has </w:t>
      </w:r>
      <w:r w:rsidR="007C2624" w:rsidRPr="00F5656F">
        <w:t>streamlined governance expectations</w:t>
      </w:r>
      <w:r w:rsidR="007C2624">
        <w:t>,</w:t>
      </w:r>
      <w:r w:rsidR="007C2624" w:rsidRPr="00F5656F">
        <w:t xml:space="preserve"> </w:t>
      </w:r>
      <w:r w:rsidRPr="00F5656F">
        <w:t>simplified remuneration design requirements</w:t>
      </w:r>
      <w:r w:rsidR="007C2624">
        <w:t xml:space="preserve"> and</w:t>
      </w:r>
      <w:r w:rsidR="007C2624" w:rsidRPr="00F5656F">
        <w:t xml:space="preserve"> </w:t>
      </w:r>
      <w:r w:rsidRPr="00F5656F">
        <w:t xml:space="preserve">removed </w:t>
      </w:r>
      <w:r w:rsidR="00764388">
        <w:t xml:space="preserve">review </w:t>
      </w:r>
      <w:r w:rsidRPr="00F5656F">
        <w:t>requirement</w:t>
      </w:r>
      <w:r w:rsidR="00764388">
        <w:t>s</w:t>
      </w:r>
      <w:r w:rsidRPr="00F5656F">
        <w:t xml:space="preserve">. </w:t>
      </w:r>
      <w:r w:rsidR="007C2624">
        <w:t>This approach is</w:t>
      </w:r>
      <w:r w:rsidRPr="00F5656F">
        <w:t xml:space="preserve"> consistent with non-SFIs’ </w:t>
      </w:r>
      <w:r w:rsidR="007C2624">
        <w:t xml:space="preserve">smaller </w:t>
      </w:r>
      <w:r w:rsidR="008936E5">
        <w:t xml:space="preserve">size, </w:t>
      </w:r>
      <w:r w:rsidRPr="00F5656F">
        <w:t>less complex business model</w:t>
      </w:r>
      <w:r w:rsidR="007C2624">
        <w:t>s</w:t>
      </w:r>
      <w:r w:rsidRPr="00F5656F">
        <w:t xml:space="preserve"> and </w:t>
      </w:r>
      <w:r w:rsidR="007C2624">
        <w:t>simpler</w:t>
      </w:r>
      <w:r w:rsidRPr="00F5656F">
        <w:t xml:space="preserve"> remuneration arrangements. </w:t>
      </w:r>
    </w:p>
    <w:p w14:paraId="1CF6AF5B" w14:textId="184C07DE" w:rsidR="00F5656F" w:rsidRPr="00F5656F" w:rsidRDefault="00F5656F" w:rsidP="00F5656F">
      <w:r w:rsidRPr="00F5656F">
        <w:t xml:space="preserve">The core </w:t>
      </w:r>
      <w:r w:rsidR="004F2738">
        <w:t>requirements</w:t>
      </w:r>
      <w:r w:rsidRPr="00F5656F">
        <w:t xml:space="preserve"> for non-SFIs relate to remuneration design</w:t>
      </w:r>
      <w:r w:rsidR="007C2624">
        <w:t xml:space="preserve"> and governance</w:t>
      </w:r>
      <w:r w:rsidRPr="00F5656F">
        <w:t xml:space="preserve">. </w:t>
      </w:r>
      <w:r w:rsidR="007C2624">
        <w:t>Non-SFIs should refer to chapters 2, 3 and 7 for details of these requirements, under the revised proposals.</w:t>
      </w:r>
    </w:p>
    <w:p w14:paraId="3EB1EB68" w14:textId="37D69C73" w:rsidR="00F5656F" w:rsidRPr="00F5656F" w:rsidRDefault="00F5656F" w:rsidP="00F5656F">
      <w:r w:rsidRPr="00F5656F">
        <w:t xml:space="preserve">Figure 4 below demonstrates the differences in requirements for SFIs and non-SFIs, under the revised CPS 511. It also includes a mapping of revised CPS 511 proposals to requirements currently in force under CPS 510, SPS 510 and the BEAR. </w:t>
      </w:r>
      <w:bookmarkStart w:id="44" w:name="_Hlk55579541"/>
      <w:r w:rsidRPr="00F5656F">
        <w:t xml:space="preserve">The more proportionate approach to differentiating minimum requirements for SFIs and non-SFIs will minimise compliance costs and ongoing regulatory burden </w:t>
      </w:r>
      <w:r w:rsidR="00B5245D">
        <w:t>for</w:t>
      </w:r>
      <w:r w:rsidRPr="00F5656F">
        <w:t xml:space="preserve"> non-SFIs.</w:t>
      </w:r>
    </w:p>
    <w:bookmarkEnd w:id="44"/>
    <w:p w14:paraId="3719B549" w14:textId="3F3CC896" w:rsidR="0037776C" w:rsidRDefault="0037776C" w:rsidP="0037776C">
      <w:pPr>
        <w:rPr>
          <w:b/>
        </w:rPr>
      </w:pPr>
      <w:r w:rsidRPr="0085495B">
        <w:rPr>
          <w:b/>
        </w:rPr>
        <w:t xml:space="preserve">Figure </w:t>
      </w:r>
      <w:r w:rsidR="00C80930">
        <w:rPr>
          <w:b/>
        </w:rPr>
        <w:t>4</w:t>
      </w:r>
      <w:r w:rsidRPr="0085495B">
        <w:rPr>
          <w:b/>
        </w:rPr>
        <w:t xml:space="preserve">. </w:t>
      </w:r>
      <w:r w:rsidR="004959DB">
        <w:rPr>
          <w:b/>
        </w:rPr>
        <w:t>Simple o</w:t>
      </w:r>
      <w:r>
        <w:rPr>
          <w:b/>
        </w:rPr>
        <w:t xml:space="preserve">utline of </w:t>
      </w:r>
      <w:r w:rsidR="00BA0E14">
        <w:rPr>
          <w:b/>
        </w:rPr>
        <w:t>proportional approach proposed in revised CPS 511</w:t>
      </w:r>
    </w:p>
    <w:p w14:paraId="1C9B097A" w14:textId="09E3F7B9" w:rsidR="00EB329A" w:rsidRDefault="00EB329A" w:rsidP="0037776C">
      <w:pPr>
        <w:rPr>
          <w:b/>
        </w:rPr>
      </w:pPr>
      <w:r>
        <w:rPr>
          <w:b/>
          <w:noProof/>
          <w:lang w:eastAsia="en-AU"/>
        </w:rPr>
        <w:drawing>
          <wp:inline distT="0" distB="0" distL="0" distR="0" wp14:anchorId="72DFDCB4" wp14:editId="09A33AB8">
            <wp:extent cx="5432400" cy="26028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2400" cy="2602800"/>
                    </a:xfrm>
                    <a:prstGeom prst="rect">
                      <a:avLst/>
                    </a:prstGeom>
                    <a:noFill/>
                  </pic:spPr>
                </pic:pic>
              </a:graphicData>
            </a:graphic>
          </wp:inline>
        </w:drawing>
      </w:r>
    </w:p>
    <w:p w14:paraId="13C246EF" w14:textId="7BA452D6" w:rsidR="00947284" w:rsidRDefault="00947284" w:rsidP="0037776C">
      <w:pPr>
        <w:rPr>
          <w:b/>
        </w:rPr>
      </w:pPr>
    </w:p>
    <w:p w14:paraId="2815CF4C" w14:textId="6871C382" w:rsidR="00B82A8E" w:rsidRDefault="00B82A8E" w:rsidP="0037776C">
      <w:pPr>
        <w:rPr>
          <w:b/>
        </w:rPr>
      </w:pPr>
    </w:p>
    <w:p w14:paraId="41C1A9DC" w14:textId="05422458" w:rsidR="003A0800" w:rsidRDefault="003A0800" w:rsidP="0037776C">
      <w:pPr>
        <w:rPr>
          <w:b/>
        </w:rPr>
      </w:pPr>
    </w:p>
    <w:p w14:paraId="7089A32E" w14:textId="293E27A6" w:rsidR="00BC7659" w:rsidRDefault="00BC7659" w:rsidP="00DE05FF">
      <w:pPr>
        <w:pStyle w:val="Heading2Numbers"/>
        <w:numPr>
          <w:ilvl w:val="1"/>
          <w:numId w:val="41"/>
        </w:numPr>
        <w:ind w:left="851"/>
      </w:pPr>
      <w:r>
        <w:t>SFI determinations</w:t>
      </w:r>
    </w:p>
    <w:p w14:paraId="6B460BF4" w14:textId="27188E75" w:rsidR="00BC7659" w:rsidRPr="005B4317" w:rsidRDefault="005B4317" w:rsidP="005B4317">
      <w:r w:rsidRPr="005B4317">
        <w:t>In the 2019 discussion paper, the starting point for determin</w:t>
      </w:r>
      <w:r w:rsidR="007B6AED">
        <w:t>in</w:t>
      </w:r>
      <w:r w:rsidRPr="005B4317">
        <w:t>g SFIs was size. APRA proposed that entities wi</w:t>
      </w:r>
      <w:r w:rsidR="007B6AED">
        <w:t xml:space="preserve">th assets above these </w:t>
      </w:r>
      <w:r w:rsidRPr="005B4317">
        <w:t>thresholds would be determined SFIs</w:t>
      </w:r>
      <w:r w:rsidR="00BC7659" w:rsidRPr="005B4317">
        <w:t xml:space="preserve">: </w:t>
      </w:r>
    </w:p>
    <w:p w14:paraId="79456D5F" w14:textId="7E95239B" w:rsidR="00BC7659" w:rsidRPr="009748FF" w:rsidRDefault="00BC7659" w:rsidP="00BC7659">
      <w:pPr>
        <w:pStyle w:val="ListParagraph"/>
        <w:numPr>
          <w:ilvl w:val="0"/>
          <w:numId w:val="12"/>
        </w:numPr>
        <w:rPr>
          <w:rFonts w:ascii="DIN OT Light" w:hAnsi="DIN OT Light"/>
        </w:rPr>
      </w:pPr>
      <w:r w:rsidRPr="009748FF">
        <w:rPr>
          <w:rFonts w:ascii="DIN OT Light" w:hAnsi="DIN OT Light"/>
        </w:rPr>
        <w:t>ADI &gt;</w:t>
      </w:r>
      <w:r w:rsidR="008936E5">
        <w:rPr>
          <w:rFonts w:ascii="DIN OT Light" w:hAnsi="DIN OT Light"/>
        </w:rPr>
        <w:t xml:space="preserve"> </w:t>
      </w:r>
      <w:r w:rsidRPr="009748FF">
        <w:rPr>
          <w:rFonts w:ascii="DIN OT Light" w:hAnsi="DIN OT Light"/>
        </w:rPr>
        <w:t>15 billion</w:t>
      </w:r>
      <w:r w:rsidR="008936E5">
        <w:rPr>
          <w:rFonts w:ascii="DIN OT Light" w:hAnsi="DIN OT Light"/>
        </w:rPr>
        <w:t xml:space="preserve"> AUD</w:t>
      </w:r>
      <w:r>
        <w:rPr>
          <w:rFonts w:ascii="DIN OT Light" w:hAnsi="DIN OT Light"/>
        </w:rPr>
        <w:t>;</w:t>
      </w:r>
    </w:p>
    <w:p w14:paraId="7781DEB4" w14:textId="45903B13" w:rsidR="00BC7659" w:rsidRPr="009748FF" w:rsidRDefault="00BC7659" w:rsidP="00BC7659">
      <w:pPr>
        <w:pStyle w:val="ListParagraph"/>
        <w:numPr>
          <w:ilvl w:val="0"/>
          <w:numId w:val="12"/>
        </w:numPr>
        <w:rPr>
          <w:rFonts w:ascii="DIN OT Light" w:hAnsi="DIN OT Light"/>
        </w:rPr>
      </w:pPr>
      <w:r w:rsidRPr="009748FF">
        <w:rPr>
          <w:rFonts w:ascii="DIN OT Light" w:hAnsi="DIN OT Light"/>
        </w:rPr>
        <w:t xml:space="preserve">General insurers and life </w:t>
      </w:r>
      <w:r>
        <w:rPr>
          <w:rFonts w:ascii="DIN OT Light" w:hAnsi="DIN OT Light"/>
        </w:rPr>
        <w:t xml:space="preserve">companies </w:t>
      </w:r>
      <w:r w:rsidRPr="009748FF">
        <w:rPr>
          <w:rFonts w:ascii="DIN OT Light" w:hAnsi="DIN OT Light"/>
        </w:rPr>
        <w:t>&gt;</w:t>
      </w:r>
      <w:r w:rsidR="008936E5">
        <w:rPr>
          <w:rFonts w:ascii="DIN OT Light" w:hAnsi="DIN OT Light"/>
        </w:rPr>
        <w:t xml:space="preserve"> </w:t>
      </w:r>
      <w:r w:rsidRPr="009748FF">
        <w:rPr>
          <w:rFonts w:ascii="DIN OT Light" w:hAnsi="DIN OT Light"/>
        </w:rPr>
        <w:t>10 billion</w:t>
      </w:r>
      <w:r w:rsidR="008936E5">
        <w:rPr>
          <w:rFonts w:ascii="DIN OT Light" w:hAnsi="DIN OT Light"/>
        </w:rPr>
        <w:t xml:space="preserve"> AUD</w:t>
      </w:r>
      <w:r>
        <w:rPr>
          <w:rFonts w:ascii="DIN OT Light" w:hAnsi="DIN OT Light"/>
        </w:rPr>
        <w:t>;</w:t>
      </w:r>
    </w:p>
    <w:p w14:paraId="4C498FB5" w14:textId="3DF2B681" w:rsidR="00BC7659" w:rsidRDefault="00BC7659" w:rsidP="00BC7659">
      <w:pPr>
        <w:pStyle w:val="ListParagraph"/>
        <w:numPr>
          <w:ilvl w:val="0"/>
          <w:numId w:val="12"/>
        </w:numPr>
        <w:rPr>
          <w:rFonts w:ascii="DIN OT Light" w:hAnsi="DIN OT Light"/>
        </w:rPr>
      </w:pPr>
      <w:r w:rsidRPr="009748FF">
        <w:rPr>
          <w:rFonts w:ascii="DIN OT Light" w:hAnsi="DIN OT Light"/>
        </w:rPr>
        <w:t>RSE licensees &gt;</w:t>
      </w:r>
      <w:r w:rsidR="008936E5">
        <w:rPr>
          <w:rFonts w:ascii="DIN OT Light" w:hAnsi="DIN OT Light"/>
        </w:rPr>
        <w:t xml:space="preserve"> </w:t>
      </w:r>
      <w:r w:rsidRPr="009748FF">
        <w:rPr>
          <w:rFonts w:ascii="DIN OT Light" w:hAnsi="DIN OT Light"/>
        </w:rPr>
        <w:t>30 billion</w:t>
      </w:r>
      <w:r w:rsidR="008936E5">
        <w:rPr>
          <w:rFonts w:ascii="DIN OT Light" w:hAnsi="DIN OT Light"/>
        </w:rPr>
        <w:t xml:space="preserve"> AUD</w:t>
      </w:r>
      <w:r>
        <w:rPr>
          <w:rFonts w:ascii="DIN OT Light" w:hAnsi="DIN OT Light"/>
        </w:rPr>
        <w:t>; and</w:t>
      </w:r>
    </w:p>
    <w:p w14:paraId="3D1AF762" w14:textId="77777777" w:rsidR="00BC7659" w:rsidRDefault="00BC7659" w:rsidP="00BC7659">
      <w:pPr>
        <w:pStyle w:val="ListParagraph"/>
        <w:numPr>
          <w:ilvl w:val="0"/>
          <w:numId w:val="12"/>
        </w:numPr>
        <w:rPr>
          <w:rFonts w:ascii="DIN OT Light" w:hAnsi="DIN OT Light"/>
        </w:rPr>
      </w:pPr>
      <w:r w:rsidRPr="001F5886">
        <w:rPr>
          <w:rFonts w:ascii="DIN OT Light" w:hAnsi="DIN OT Light"/>
        </w:rPr>
        <w:t xml:space="preserve">PHIs excluded </w:t>
      </w:r>
      <w:r>
        <w:rPr>
          <w:rFonts w:ascii="DIN OT Light" w:hAnsi="DIN OT Light"/>
        </w:rPr>
        <w:t>from</w:t>
      </w:r>
      <w:r w:rsidRPr="001F5886">
        <w:rPr>
          <w:rFonts w:ascii="DIN OT Light" w:hAnsi="DIN OT Light"/>
        </w:rPr>
        <w:t xml:space="preserve"> the SFI categorisation </w:t>
      </w:r>
      <w:r>
        <w:rPr>
          <w:rFonts w:ascii="DIN OT Light" w:hAnsi="DIN OT Light"/>
        </w:rPr>
        <w:t>until a later</w:t>
      </w:r>
      <w:r w:rsidRPr="001F5886">
        <w:rPr>
          <w:rFonts w:ascii="DIN OT Light" w:hAnsi="DIN OT Light"/>
        </w:rPr>
        <w:t xml:space="preserve"> time. </w:t>
      </w:r>
    </w:p>
    <w:p w14:paraId="4E914244" w14:textId="369F64BA" w:rsidR="00BC7659" w:rsidRPr="005B4317" w:rsidRDefault="005B4317" w:rsidP="005B4317">
      <w:bookmarkStart w:id="45" w:name="_Hlk55578764"/>
      <w:r w:rsidRPr="005B4317">
        <w:t>APRA also proposed that additional qualitative criteria would be considered as part of the determination process. The qualitative criteria included presence in certain markets, membership of a group or the provision of critical services</w:t>
      </w:r>
      <w:r w:rsidR="00BC7659" w:rsidRPr="005B4317">
        <w:t>.</w:t>
      </w:r>
    </w:p>
    <w:bookmarkEnd w:id="45"/>
    <w:p w14:paraId="35A81879" w14:textId="77777777" w:rsidR="00BC7659" w:rsidRPr="00607DAF" w:rsidRDefault="00BC7659" w:rsidP="00DE05FF">
      <w:pPr>
        <w:pStyle w:val="Heading3Numbers"/>
        <w:numPr>
          <w:ilvl w:val="2"/>
          <w:numId w:val="41"/>
        </w:numPr>
      </w:pPr>
      <w:r w:rsidRPr="00607DAF">
        <w:t>Comments received</w:t>
      </w:r>
    </w:p>
    <w:p w14:paraId="6D2DE495" w14:textId="2D352487" w:rsidR="000A2E40" w:rsidRDefault="005B4317" w:rsidP="003A0800">
      <w:r w:rsidRPr="005B4317">
        <w:t xml:space="preserve">Industry sought greater clarity on the SFI determination process, and many submissions perceived the proposed asset-based thresholds as too low. They suggested that these thresholds would capture entities that have limited variable remuneration arrangements and relatively simple business models, where there may not be a need for deferral and clawback provisions. A number of ADIs suggested APRA align to the BEAR categorisation of small, medium and large. In superannuation, some industry participants advocated capturing more complex entities that fall below the 30 billion </w:t>
      </w:r>
      <w:r w:rsidR="00C017D6">
        <w:t>AUD</w:t>
      </w:r>
      <w:r w:rsidRPr="005B4317">
        <w:t xml:space="preserve"> asset threshold</w:t>
      </w:r>
      <w:r>
        <w:t>.</w:t>
      </w:r>
      <w:r w:rsidR="000A2E40">
        <w:t xml:space="preserve"> </w:t>
      </w:r>
    </w:p>
    <w:p w14:paraId="55DE4040" w14:textId="14A72ABB" w:rsidR="00BC7659" w:rsidRPr="00607DAF" w:rsidRDefault="00BC7659" w:rsidP="000A2E40">
      <w:pPr>
        <w:pStyle w:val="Heading3Numbers"/>
        <w:numPr>
          <w:ilvl w:val="2"/>
          <w:numId w:val="41"/>
        </w:numPr>
      </w:pPr>
      <w:r w:rsidRPr="00607DAF">
        <w:t>APRA’s response</w:t>
      </w:r>
    </w:p>
    <w:p w14:paraId="5CB2ED5B" w14:textId="728D32FD" w:rsidR="005B4317" w:rsidRPr="005B4317" w:rsidRDefault="005B4317" w:rsidP="005B4317">
      <w:r w:rsidRPr="005B4317">
        <w:t xml:space="preserve">APRA considers the draft proposed asset thresholds to be appropriate, for the purposes of uplifting remuneration practices across the industries. APRA plans to </w:t>
      </w:r>
      <w:r w:rsidR="006106F1">
        <w:t>publish</w:t>
      </w:r>
      <w:r w:rsidR="006106F1" w:rsidRPr="005B4317">
        <w:t xml:space="preserve"> </w:t>
      </w:r>
      <w:r w:rsidRPr="005B4317">
        <w:t>the thresholds in a new CPG 511.</w:t>
      </w:r>
    </w:p>
    <w:p w14:paraId="5748B0DF" w14:textId="570851BA" w:rsidR="005B4317" w:rsidRPr="005B4317" w:rsidRDefault="005B4317" w:rsidP="005B4317">
      <w:r w:rsidRPr="005B4317">
        <w:t>APRA propos</w:t>
      </w:r>
      <w:r w:rsidR="00A17A22">
        <w:t>es to include</w:t>
      </w:r>
      <w:r w:rsidRPr="005B4317">
        <w:t xml:space="preserve"> an asset threshold of </w:t>
      </w:r>
      <w:r w:rsidR="00CF4AB1" w:rsidRPr="00B5245D">
        <w:t>3</w:t>
      </w:r>
      <w:r w:rsidRPr="005B4317">
        <w:t xml:space="preserve"> billion </w:t>
      </w:r>
      <w:r w:rsidR="00C017D6">
        <w:t xml:space="preserve">AUD </w:t>
      </w:r>
      <w:r w:rsidRPr="005B4317">
        <w:t xml:space="preserve">for PHIs. This is intended to </w:t>
      </w:r>
      <w:r w:rsidR="00CF4AB1">
        <w:t>provide an indicator of large and complex entities but may not capture all</w:t>
      </w:r>
      <w:r w:rsidRPr="005B4317">
        <w:t>. APRA welcomes feedback on this proposal.</w:t>
      </w:r>
    </w:p>
    <w:p w14:paraId="1AB63BAC" w14:textId="0F8B0B17" w:rsidR="005B4317" w:rsidRPr="005B4317" w:rsidRDefault="005B4317" w:rsidP="005B4317">
      <w:bookmarkStart w:id="46" w:name="_Hlk55579134"/>
      <w:r w:rsidRPr="005B4317">
        <w:t xml:space="preserve">APRA has also refined the qualitative </w:t>
      </w:r>
      <w:r w:rsidR="00A17A22">
        <w:t xml:space="preserve">criteria </w:t>
      </w:r>
      <w:r w:rsidRPr="005B4317">
        <w:t xml:space="preserve">used to determine SFIs. Regardless of asset size, supervisors will also consider complexity of operations </w:t>
      </w:r>
      <w:r w:rsidR="00A17A22">
        <w:t>and</w:t>
      </w:r>
      <w:r w:rsidRPr="005B4317">
        <w:t xml:space="preserve"> remuneration </w:t>
      </w:r>
      <w:r w:rsidRPr="005B4317">
        <w:lastRenderedPageBreak/>
        <w:t xml:space="preserve">practices and membership in a group. Complexity will cover </w:t>
      </w:r>
      <w:r w:rsidR="00B82A8E" w:rsidRPr="005B4317">
        <w:t>characteristics</w:t>
      </w:r>
      <w:r w:rsidRPr="005B4317">
        <w:t xml:space="preserve"> such as presence in certain markets, or the provision of critical services.</w:t>
      </w:r>
    </w:p>
    <w:bookmarkEnd w:id="46"/>
    <w:p w14:paraId="4A53B955" w14:textId="5C1BF519" w:rsidR="00BC7659" w:rsidRPr="005B4317" w:rsidRDefault="005B4317" w:rsidP="005B4317">
      <w:r w:rsidRPr="005B4317">
        <w:t>Following release of the finalised standard, APRA intends to notify entities of their SFI status with relevant reasoning by Q3 2021, to provide entities with adequate time to commence implementation work</w:t>
      </w:r>
      <w:r w:rsidR="00CC59DA" w:rsidRPr="005B4317">
        <w:t>.</w:t>
      </w:r>
    </w:p>
    <w:p w14:paraId="2946D843" w14:textId="77777777" w:rsidR="00730468" w:rsidRDefault="00730468" w:rsidP="00BC7659"/>
    <w:p w14:paraId="1DE357E9" w14:textId="77777777" w:rsidR="00566D85" w:rsidRDefault="00566D85" w:rsidP="00976F29">
      <w:pPr>
        <w:pStyle w:val="Heading1Numbers"/>
        <w:numPr>
          <w:ilvl w:val="0"/>
          <w:numId w:val="41"/>
        </w:numPr>
      </w:pPr>
      <w:bookmarkStart w:id="47" w:name="_Toc53000780"/>
      <w:bookmarkStart w:id="48" w:name="_Toc55850362"/>
      <w:r>
        <w:lastRenderedPageBreak/>
        <w:t>Implementation of CPS 511</w:t>
      </w:r>
      <w:bookmarkEnd w:id="47"/>
      <w:bookmarkEnd w:id="48"/>
    </w:p>
    <w:p w14:paraId="35B049C1" w14:textId="77777777" w:rsidR="00D16A47" w:rsidRDefault="00D16A47" w:rsidP="00DE05FF">
      <w:pPr>
        <w:pStyle w:val="Heading2Numbers"/>
        <w:numPr>
          <w:ilvl w:val="1"/>
          <w:numId w:val="41"/>
        </w:numPr>
        <w:ind w:left="851"/>
      </w:pPr>
      <w:r>
        <w:t>Phased implementation approach</w:t>
      </w:r>
    </w:p>
    <w:p w14:paraId="470A4F39" w14:textId="673D00C1" w:rsidR="00D16A47" w:rsidRPr="002D403F" w:rsidRDefault="00D16A47" w:rsidP="00D16A47">
      <w:r w:rsidRPr="002D403F">
        <w:t xml:space="preserve">APRA </w:t>
      </w:r>
      <w:r w:rsidR="00B82A8E" w:rsidRPr="002D403F">
        <w:t>is proposing</w:t>
      </w:r>
      <w:r w:rsidRPr="002D403F">
        <w:t xml:space="preserve"> a phased implementation of the finalised standard as follows:</w:t>
      </w:r>
    </w:p>
    <w:p w14:paraId="718E1CF0" w14:textId="741DED7A" w:rsidR="00D16A47" w:rsidRPr="002D403F" w:rsidRDefault="00D16A47" w:rsidP="00D16A47">
      <w:pPr>
        <w:pStyle w:val="ListBullet"/>
        <w:numPr>
          <w:ilvl w:val="0"/>
          <w:numId w:val="5"/>
        </w:numPr>
      </w:pPr>
      <w:r w:rsidRPr="002D403F">
        <w:t xml:space="preserve">ADIs </w:t>
      </w:r>
      <w:r w:rsidR="00A3031D">
        <w:t>that are</w:t>
      </w:r>
      <w:r w:rsidRPr="002D403F">
        <w:t xml:space="preserve"> SFIs</w:t>
      </w:r>
      <w:r w:rsidR="00A3031D">
        <w:t xml:space="preserve"> and groups headed by these SFIs</w:t>
      </w:r>
      <w:r w:rsidRPr="002D403F">
        <w:t xml:space="preserve"> to implement by 1 January 2023; </w:t>
      </w:r>
    </w:p>
    <w:p w14:paraId="73F91E38" w14:textId="3B2C4C65" w:rsidR="00D16A47" w:rsidRPr="002D403F" w:rsidRDefault="00D16A47" w:rsidP="00D16A47">
      <w:pPr>
        <w:pStyle w:val="ListBullet"/>
        <w:numPr>
          <w:ilvl w:val="0"/>
          <w:numId w:val="5"/>
        </w:numPr>
      </w:pPr>
      <w:r w:rsidRPr="002D403F">
        <w:t>Insurers and RSE license</w:t>
      </w:r>
      <w:r w:rsidR="00A3031D">
        <w:t>e</w:t>
      </w:r>
      <w:r w:rsidRPr="002D403F">
        <w:t xml:space="preserve">s </w:t>
      </w:r>
      <w:r w:rsidR="00A3031D">
        <w:t>that are</w:t>
      </w:r>
      <w:r w:rsidRPr="002D403F">
        <w:t xml:space="preserve"> SFIs</w:t>
      </w:r>
      <w:r w:rsidR="00A3031D">
        <w:t xml:space="preserve"> and groups headed by these SFIs </w:t>
      </w:r>
      <w:r w:rsidRPr="002D403F">
        <w:t xml:space="preserve"> to implement by 1 July 2023; and</w:t>
      </w:r>
    </w:p>
    <w:p w14:paraId="37092E13" w14:textId="4CB2E101" w:rsidR="00D16A47" w:rsidRPr="002D403F" w:rsidRDefault="00D16A47" w:rsidP="00D16A47">
      <w:pPr>
        <w:pStyle w:val="ListBullet"/>
        <w:numPr>
          <w:ilvl w:val="0"/>
          <w:numId w:val="5"/>
        </w:numPr>
      </w:pPr>
      <w:r w:rsidRPr="002D403F">
        <w:t xml:space="preserve">All other entities (Non-SFIs) to implement by 1 January 2024. </w:t>
      </w:r>
    </w:p>
    <w:p w14:paraId="76395FBF" w14:textId="77777777" w:rsidR="00D16A47" w:rsidRPr="002D403F" w:rsidRDefault="00D16A47" w:rsidP="00D16A47">
      <w:pPr>
        <w:pStyle w:val="ListBullet"/>
        <w:tabs>
          <w:tab w:val="clear" w:pos="425"/>
        </w:tabs>
        <w:ind w:left="0" w:firstLine="0"/>
      </w:pPr>
      <w:r w:rsidRPr="002D403F">
        <w:t xml:space="preserve">A phased implementation will focus on compliance by the largest and most complex entities first, affording smaller entities more time to transition to the new requirements. </w:t>
      </w:r>
    </w:p>
    <w:p w14:paraId="121B2238" w14:textId="77777777" w:rsidR="00566D85" w:rsidRDefault="00566D85" w:rsidP="00DE05FF">
      <w:pPr>
        <w:pStyle w:val="Heading2Numbers"/>
        <w:numPr>
          <w:ilvl w:val="1"/>
          <w:numId w:val="41"/>
        </w:numPr>
        <w:ind w:left="851"/>
      </w:pPr>
      <w:r>
        <w:t>Self-assessment and implementation plan</w:t>
      </w:r>
    </w:p>
    <w:p w14:paraId="35FC6D53" w14:textId="77777777" w:rsidR="00566D85" w:rsidRPr="001D1A65" w:rsidRDefault="002D403F" w:rsidP="00566D85">
      <w:r w:rsidRPr="00A8033C">
        <w:t>APRA intends to give industry at least 18 months between release of the finalised standard (Q2-2021) and the phased implementation dates. During this time</w:t>
      </w:r>
      <w:r w:rsidR="00E930F9">
        <w:t>,</w:t>
      </w:r>
      <w:r w:rsidRPr="00A8033C">
        <w:t xml:space="preserve"> APRA expects that entities will review their existing remuneration frameworks so that any new remuneration arrangements and practices </w:t>
      </w:r>
      <w:r w:rsidR="004A446C">
        <w:t xml:space="preserve">from implementation date </w:t>
      </w:r>
      <w:r w:rsidRPr="00A8033C">
        <w:t xml:space="preserve">are consistent with the intent of the new standard. </w:t>
      </w:r>
    </w:p>
    <w:p w14:paraId="3556DFFE" w14:textId="21F6EA5E" w:rsidR="00DE640F" w:rsidRDefault="00DE640F" w:rsidP="00566D85">
      <w:r>
        <w:t xml:space="preserve">Following release of the finalised standard, </w:t>
      </w:r>
      <w:r w:rsidR="00566D85">
        <w:t xml:space="preserve">APRA expects </w:t>
      </w:r>
      <w:r>
        <w:t>that</w:t>
      </w:r>
      <w:r w:rsidR="00566D85">
        <w:t xml:space="preserve"> </w:t>
      </w:r>
      <w:r w:rsidR="00A8033C">
        <w:t>SFIs</w:t>
      </w:r>
      <w:r w:rsidR="00566D85">
        <w:t xml:space="preserve"> </w:t>
      </w:r>
      <w:r>
        <w:t>will</w:t>
      </w:r>
      <w:r w:rsidR="00566D85">
        <w:t xml:space="preserve"> undertake </w:t>
      </w:r>
      <w:r>
        <w:t xml:space="preserve">a </w:t>
      </w:r>
      <w:r w:rsidR="00566D85">
        <w:t xml:space="preserve">self-assessment and develop an implementation plan. </w:t>
      </w:r>
      <w:r>
        <w:t>S</w:t>
      </w:r>
      <w:r w:rsidR="00566D85">
        <w:t>elf-assessment</w:t>
      </w:r>
      <w:r>
        <w:t>s</w:t>
      </w:r>
      <w:r w:rsidR="00566D85">
        <w:t xml:space="preserve"> should review the </w:t>
      </w:r>
      <w:r w:rsidR="00920641">
        <w:t>CPS 511</w:t>
      </w:r>
      <w:r w:rsidR="00566D85">
        <w:t xml:space="preserve"> requirements against the entity’s e</w:t>
      </w:r>
      <w:r w:rsidR="00A8033C">
        <w:t xml:space="preserve">xisting remuneration practices </w:t>
      </w:r>
      <w:r w:rsidR="00566D85">
        <w:t xml:space="preserve">and identify gaps that need to be addressed. </w:t>
      </w:r>
      <w:r w:rsidR="00A8033C">
        <w:t>APRA may request self-assessment and implementation plans to be shared with APRA</w:t>
      </w:r>
      <w:r w:rsidR="00DA105E">
        <w:t>’s</w:t>
      </w:r>
      <w:r w:rsidR="00A8033C">
        <w:t xml:space="preserve"> supervision team as part of supervisory work.</w:t>
      </w:r>
      <w:r w:rsidRPr="00DE640F">
        <w:t xml:space="preserve"> </w:t>
      </w:r>
    </w:p>
    <w:p w14:paraId="2FFADEB9" w14:textId="13640292" w:rsidR="00566D85" w:rsidRDefault="00920641" w:rsidP="00566D85">
      <w:r>
        <w:t>APRA also plans to release a</w:t>
      </w:r>
      <w:r w:rsidR="00DE640F">
        <w:t xml:space="preserve"> new CPG 511</w:t>
      </w:r>
      <w:r>
        <w:t>,</w:t>
      </w:r>
      <w:r w:rsidR="00DE640F">
        <w:t xml:space="preserve"> </w:t>
      </w:r>
      <w:r>
        <w:t xml:space="preserve">to </w:t>
      </w:r>
      <w:r w:rsidR="00DE640F">
        <w:t xml:space="preserve">assist entities </w:t>
      </w:r>
      <w:r>
        <w:t>in implementing CPS 511</w:t>
      </w:r>
      <w:r w:rsidR="00DE640F">
        <w:t>.</w:t>
      </w:r>
      <w:r>
        <w:t xml:space="preserve"> APRA intends to consult on CPG 511 in 1Q 2021.</w:t>
      </w:r>
    </w:p>
    <w:p w14:paraId="463F2351" w14:textId="77777777" w:rsidR="00566D85" w:rsidRDefault="00566D85" w:rsidP="00DE05FF">
      <w:pPr>
        <w:pStyle w:val="Heading2Numbers"/>
        <w:numPr>
          <w:ilvl w:val="1"/>
          <w:numId w:val="41"/>
        </w:numPr>
        <w:ind w:left="851"/>
      </w:pPr>
      <w:r>
        <w:t xml:space="preserve">APRA implementation review </w:t>
      </w:r>
    </w:p>
    <w:p w14:paraId="7F3AB888" w14:textId="77777777" w:rsidR="00566D85" w:rsidRDefault="00566D85" w:rsidP="00566D85">
      <w:r>
        <w:t>As flagged in the</w:t>
      </w:r>
      <w:r w:rsidRPr="00037CAA">
        <w:t xml:space="preserve"> Information Paper</w:t>
      </w:r>
      <w:r>
        <w:t xml:space="preserve"> </w:t>
      </w:r>
      <w:r w:rsidRPr="00037CAA">
        <w:rPr>
          <w:i/>
        </w:rPr>
        <w:t>Transforming governance, culture, remuneration and accountability: APRA’s approach</w:t>
      </w:r>
      <w:r>
        <w:rPr>
          <w:i/>
        </w:rPr>
        <w:t xml:space="preserve"> </w:t>
      </w:r>
      <w:r>
        <w:t>released in November 2019</w:t>
      </w:r>
      <w:r w:rsidR="00DA105E">
        <w:t>,</w:t>
      </w:r>
      <w:r>
        <w:t xml:space="preserve"> APRA will be </w:t>
      </w:r>
      <w:r>
        <w:lastRenderedPageBreak/>
        <w:t>conducting an implementation review of CPS 511</w:t>
      </w:r>
      <w:r w:rsidRPr="00893011">
        <w:t xml:space="preserve"> from a sample of entities once the standard is </w:t>
      </w:r>
      <w:r w:rsidR="00B14D8B">
        <w:t>implemented</w:t>
      </w:r>
      <w:r w:rsidR="00F8351E">
        <w:t>.</w:t>
      </w:r>
      <w:r>
        <w:t xml:space="preserve"> </w:t>
      </w:r>
    </w:p>
    <w:p w14:paraId="726BDE1B" w14:textId="6EC91B70" w:rsidR="00566D85" w:rsidRDefault="00566D85" w:rsidP="00566D85">
      <w:r>
        <w:t>The implementation review will draw on self-assessments and implementation plans, to gain a deeper understanding of implementation progress for a cross section of entities across</w:t>
      </w:r>
      <w:r w:rsidDel="00893011">
        <w:t xml:space="preserve"> </w:t>
      </w:r>
      <w:r w:rsidR="00DA105E">
        <w:t xml:space="preserve">the </w:t>
      </w:r>
      <w:r>
        <w:t xml:space="preserve">industries </w:t>
      </w:r>
      <w:r w:rsidRPr="00893011">
        <w:t xml:space="preserve">and </w:t>
      </w:r>
      <w:r>
        <w:t xml:space="preserve">will provide </w:t>
      </w:r>
      <w:r w:rsidRPr="00893011">
        <w:t xml:space="preserve">an opportunity to take pre-emptive action to address any shortfalls in </w:t>
      </w:r>
      <w:r w:rsidR="00DA105E">
        <w:t xml:space="preserve">the </w:t>
      </w:r>
      <w:r w:rsidRPr="00893011">
        <w:t>implementation of CPS 511.</w:t>
      </w:r>
      <w:r w:rsidR="00920641">
        <w:t xml:space="preserve"> Closer to implementation, </w:t>
      </w:r>
      <w:r>
        <w:t xml:space="preserve">APRA will contact the relevant entities to notify them of their involvement in APRA’s implementation review. </w:t>
      </w:r>
    </w:p>
    <w:p w14:paraId="2F349C5C" w14:textId="77777777" w:rsidR="00566D85" w:rsidRDefault="00755D5C" w:rsidP="00976F29">
      <w:pPr>
        <w:pStyle w:val="Heading1Numbers"/>
        <w:numPr>
          <w:ilvl w:val="0"/>
          <w:numId w:val="41"/>
        </w:numPr>
      </w:pPr>
      <w:bookmarkStart w:id="49" w:name="_Toc53000781"/>
      <w:bookmarkStart w:id="50" w:name="_Toc55850363"/>
      <w:bookmarkEnd w:id="42"/>
      <w:bookmarkEnd w:id="43"/>
      <w:r>
        <w:lastRenderedPageBreak/>
        <w:t xml:space="preserve">Reporting and </w:t>
      </w:r>
      <w:r w:rsidR="00566D85">
        <w:t>Disclosure</w:t>
      </w:r>
      <w:bookmarkEnd w:id="49"/>
      <w:bookmarkEnd w:id="50"/>
    </w:p>
    <w:p w14:paraId="105F344A" w14:textId="58AEA617" w:rsidR="00755D5C" w:rsidRDefault="00755D5C" w:rsidP="00755D5C">
      <w:r>
        <w:t xml:space="preserve">As foreshadowed in the July 2019 discussion paper, APRA plans to introduce reporting and disclosure requirements for all APRA-regulated entities. </w:t>
      </w:r>
      <w:r w:rsidR="00736B15">
        <w:t xml:space="preserve">APRA intends to consult </w:t>
      </w:r>
      <w:r w:rsidR="00FE01F4">
        <w:t xml:space="preserve">on </w:t>
      </w:r>
      <w:r w:rsidR="00736B15">
        <w:t>propos</w:t>
      </w:r>
      <w:r w:rsidR="00FE01F4">
        <w:t>als</w:t>
      </w:r>
      <w:r w:rsidR="00736B15">
        <w:t xml:space="preserve"> </w:t>
      </w:r>
      <w:r w:rsidR="00FE01F4">
        <w:t>for</w:t>
      </w:r>
      <w:r w:rsidR="00736B15">
        <w:t xml:space="preserve"> reporting and disclosure requirements by late 2021, </w:t>
      </w:r>
      <w:r w:rsidR="00920641">
        <w:t>and finalise</w:t>
      </w:r>
      <w:r w:rsidR="00736B15">
        <w:t xml:space="preserve"> </w:t>
      </w:r>
      <w:r w:rsidR="000602B2">
        <w:t>these</w:t>
      </w:r>
      <w:r w:rsidR="00736B15">
        <w:t xml:space="preserve"> by late 2022.</w:t>
      </w:r>
      <w:r w:rsidR="00736B15" w:rsidRPr="00411AEF">
        <w:t xml:space="preserve"> </w:t>
      </w:r>
    </w:p>
    <w:p w14:paraId="2F65BD92" w14:textId="666671E7" w:rsidR="00755D5C" w:rsidRDefault="000602B2" w:rsidP="00755D5C">
      <w:r>
        <w:t>In developing the proposed reporting and disclosure requirements, APRA will engage with entities</w:t>
      </w:r>
      <w:r w:rsidR="00755D5C">
        <w:t xml:space="preserve"> </w:t>
      </w:r>
      <w:r w:rsidR="005E2EE2">
        <w:t>to minimise any</w:t>
      </w:r>
      <w:r w:rsidR="00755D5C">
        <w:t xml:space="preserve"> </w:t>
      </w:r>
      <w:r w:rsidR="005E2EE2">
        <w:t xml:space="preserve">undue </w:t>
      </w:r>
      <w:r w:rsidR="00755D5C">
        <w:t>burden</w:t>
      </w:r>
      <w:r w:rsidR="005E2EE2">
        <w:t>.</w:t>
      </w:r>
      <w:r w:rsidR="00755D5C">
        <w:t xml:space="preserve"> </w:t>
      </w:r>
      <w:r w:rsidR="005E2EE2">
        <w:t>APRA will also draw upon international experience, where appropriate</w:t>
      </w:r>
      <w:r w:rsidR="00755D5C">
        <w:t xml:space="preserve">. </w:t>
      </w:r>
      <w:r w:rsidR="005E2EE2">
        <w:t>A</w:t>
      </w:r>
      <w:r w:rsidR="00755D5C">
        <w:t xml:space="preserve"> data study</w:t>
      </w:r>
      <w:r w:rsidR="005E2EE2">
        <w:t xml:space="preserve"> will be conducted in 2021</w:t>
      </w:r>
      <w:r w:rsidR="00755D5C">
        <w:t xml:space="preserve">, to inform </w:t>
      </w:r>
      <w:r w:rsidR="005E2EE2">
        <w:t xml:space="preserve">the </w:t>
      </w:r>
      <w:r w:rsidR="00755D5C">
        <w:t>initial design of the reporting standard and disclosure requirements. APRA will contact large or more complex entities directly to participate in the study</w:t>
      </w:r>
      <w:r w:rsidR="00E75621">
        <w:t xml:space="preserve">. Other </w:t>
      </w:r>
      <w:r w:rsidR="00755D5C">
        <w:t xml:space="preserve">entities wishing to participate in the exercise </w:t>
      </w:r>
      <w:r w:rsidR="00E75621">
        <w:t xml:space="preserve">should </w:t>
      </w:r>
      <w:r w:rsidR="00755D5C">
        <w:t xml:space="preserve">contact their APRA supervision team by 15 December 2020. </w:t>
      </w:r>
    </w:p>
    <w:p w14:paraId="6D2656D7" w14:textId="77777777" w:rsidR="00755D5C" w:rsidRDefault="00755D5C" w:rsidP="00DE05FF">
      <w:pPr>
        <w:pStyle w:val="Heading2Numbers"/>
        <w:numPr>
          <w:ilvl w:val="1"/>
          <w:numId w:val="41"/>
        </w:numPr>
        <w:ind w:left="851"/>
      </w:pPr>
      <w:r>
        <w:t>Disclosure proposals</w:t>
      </w:r>
    </w:p>
    <w:p w14:paraId="72DE56E9" w14:textId="038F5A15" w:rsidR="000819D1" w:rsidRDefault="00566D85" w:rsidP="00B3545C">
      <w:r>
        <w:t xml:space="preserve">APRA intends </w:t>
      </w:r>
      <w:r w:rsidR="00084689">
        <w:t xml:space="preserve">to </w:t>
      </w:r>
      <w:r w:rsidR="009D156A">
        <w:t>require</w:t>
      </w:r>
      <w:r w:rsidR="00B3545C">
        <w:t xml:space="preserve"> all APRA-regulated </w:t>
      </w:r>
      <w:r w:rsidR="009D156A">
        <w:t>entities</w:t>
      </w:r>
      <w:r w:rsidR="00B3545C" w:rsidRPr="00B3545C">
        <w:t xml:space="preserve"> to </w:t>
      </w:r>
      <w:r w:rsidR="00B3545C">
        <w:t>improve</w:t>
      </w:r>
      <w:r w:rsidR="00B83945">
        <w:t xml:space="preserve"> the</w:t>
      </w:r>
      <w:r w:rsidR="00B3545C" w:rsidRPr="00B3545C">
        <w:t xml:space="preserve"> transparency </w:t>
      </w:r>
      <w:r w:rsidR="00B3545C">
        <w:t>of</w:t>
      </w:r>
      <w:r w:rsidR="00B83945">
        <w:t>,</w:t>
      </w:r>
      <w:r w:rsidR="00B3545C">
        <w:t xml:space="preserve"> </w:t>
      </w:r>
      <w:r w:rsidR="00B3545C" w:rsidRPr="00B3545C">
        <w:t>and accountability for</w:t>
      </w:r>
      <w:r w:rsidR="00B83945">
        <w:t>,</w:t>
      </w:r>
      <w:r w:rsidR="00B3545C" w:rsidRPr="00B3545C">
        <w:t xml:space="preserve"> remuneration practices</w:t>
      </w:r>
      <w:r w:rsidR="00B3545C">
        <w:t xml:space="preserve">. </w:t>
      </w:r>
      <w:r w:rsidR="00633865">
        <w:t xml:space="preserve">APRA recognises that the design of disclosure requirements </w:t>
      </w:r>
      <w:r w:rsidR="000819D1">
        <w:t>w</w:t>
      </w:r>
      <w:r w:rsidR="00977219">
        <w:t xml:space="preserve">ill </w:t>
      </w:r>
      <w:r w:rsidR="00633865">
        <w:t>need t</w:t>
      </w:r>
      <w:r w:rsidR="00977219">
        <w:t xml:space="preserve">o balance carefully </w:t>
      </w:r>
      <w:r w:rsidR="000819D1">
        <w:t xml:space="preserve">the benefits of </w:t>
      </w:r>
      <w:r w:rsidR="00562A87">
        <w:t xml:space="preserve">transparency on </w:t>
      </w:r>
      <w:r w:rsidR="000819D1">
        <w:t>remuneration decision</w:t>
      </w:r>
      <w:r w:rsidR="00562A87">
        <w:t>s</w:t>
      </w:r>
      <w:r w:rsidR="000819D1">
        <w:t xml:space="preserve"> with respect for commercial</w:t>
      </w:r>
      <w:r w:rsidR="00562A87">
        <w:t>-</w:t>
      </w:r>
      <w:r w:rsidR="000819D1">
        <w:t>in</w:t>
      </w:r>
      <w:r w:rsidR="00562A87">
        <w:t>-</w:t>
      </w:r>
      <w:r w:rsidR="000819D1">
        <w:t xml:space="preserve">confidence information and the privacy of individuals. </w:t>
      </w:r>
    </w:p>
    <w:p w14:paraId="5E6683C6" w14:textId="74E3F390" w:rsidR="00F44103" w:rsidRDefault="00B3545C" w:rsidP="00F44103">
      <w:r>
        <w:t xml:space="preserve">Presently, public disclosure of </w:t>
      </w:r>
      <w:r w:rsidR="00765177">
        <w:t xml:space="preserve">certain </w:t>
      </w:r>
      <w:r>
        <w:t>e</w:t>
      </w:r>
      <w:r w:rsidRPr="00B3545C">
        <w:t>xecutive and director remuneration is required</w:t>
      </w:r>
      <w:r w:rsidR="00154572">
        <w:t xml:space="preserve"> </w:t>
      </w:r>
      <w:r w:rsidR="00765177">
        <w:t>by listed companies</w:t>
      </w:r>
      <w:r w:rsidRPr="00B3545C">
        <w:t xml:space="preserve"> in </w:t>
      </w:r>
      <w:r w:rsidR="00765177">
        <w:t>annual</w:t>
      </w:r>
      <w:r w:rsidRPr="00B3545C">
        <w:t xml:space="preserve"> </w:t>
      </w:r>
      <w:r w:rsidR="00765177">
        <w:t>director</w:t>
      </w:r>
      <w:r w:rsidR="00765177" w:rsidRPr="00B3545C">
        <w:t xml:space="preserve"> </w:t>
      </w:r>
      <w:r w:rsidRPr="00B3545C">
        <w:t>reports</w:t>
      </w:r>
      <w:r w:rsidR="00D80433">
        <w:t xml:space="preserve">, set by section 300A of the </w:t>
      </w:r>
      <w:r w:rsidR="00D80433" w:rsidRPr="00DB33EA">
        <w:rPr>
          <w:i/>
        </w:rPr>
        <w:t>Corporations Act 2001</w:t>
      </w:r>
      <w:r w:rsidR="00F23B2E">
        <w:rPr>
          <w:i/>
        </w:rPr>
        <w:t xml:space="preserve"> </w:t>
      </w:r>
      <w:r w:rsidR="00F23B2E">
        <w:t>(Corporations Act)</w:t>
      </w:r>
      <w:r w:rsidRPr="00B3545C">
        <w:t xml:space="preserve">. </w:t>
      </w:r>
      <w:r w:rsidR="00765177">
        <w:t xml:space="preserve">Additionally, superannuation entities and ADIs are respectively subject to </w:t>
      </w:r>
      <w:r w:rsidR="00765177" w:rsidRPr="00B3545C">
        <w:t xml:space="preserve">remuneration disclosure requirements </w:t>
      </w:r>
      <w:r w:rsidR="00765177">
        <w:t>under s</w:t>
      </w:r>
      <w:r w:rsidR="00D915A5">
        <w:t>ection</w:t>
      </w:r>
      <w:r w:rsidR="00765177">
        <w:t xml:space="preserve"> 29QB of the </w:t>
      </w:r>
      <w:r w:rsidR="00765177" w:rsidRPr="00C62972">
        <w:rPr>
          <w:i/>
          <w:iCs/>
        </w:rPr>
        <w:t>Superannuation Industry (Supervision) Act</w:t>
      </w:r>
      <w:r w:rsidR="00765177">
        <w:t xml:space="preserve"> 1993 (SIS Act) and </w:t>
      </w:r>
      <w:r w:rsidRPr="00B3545C">
        <w:t>as part of APRA's implementation of 'Pillar 3' of the Basel capital framework.</w:t>
      </w:r>
      <w:r>
        <w:rPr>
          <w:rStyle w:val="FootnoteReference"/>
        </w:rPr>
        <w:footnoteReference w:id="9"/>
      </w:r>
      <w:r w:rsidRPr="00B3545C">
        <w:t xml:space="preserve">  </w:t>
      </w:r>
      <w:r w:rsidR="00F23B2E">
        <w:rPr>
          <w:noProof/>
        </w:rPr>
        <w:t xml:space="preserve">APRA intends that its disclosure requirements would expand on current ADI Pillar 3 requirements and complement existing Corporations Act </w:t>
      </w:r>
      <w:r w:rsidR="001B42C0">
        <w:rPr>
          <w:noProof/>
        </w:rPr>
        <w:t xml:space="preserve">and SIS Act </w:t>
      </w:r>
      <w:r w:rsidR="00F23B2E">
        <w:rPr>
          <w:noProof/>
        </w:rPr>
        <w:t>disclosures.</w:t>
      </w:r>
      <w:r w:rsidR="00F44103">
        <w:rPr>
          <w:noProof/>
        </w:rPr>
        <w:t xml:space="preserve"> </w:t>
      </w:r>
    </w:p>
    <w:p w14:paraId="192B5F96" w14:textId="69441100" w:rsidR="00F44103" w:rsidRPr="00F44103" w:rsidRDefault="009D156A" w:rsidP="00F44103">
      <w:r>
        <w:t>However</w:t>
      </w:r>
      <w:r w:rsidR="008F7F03">
        <w:t xml:space="preserve">, </w:t>
      </w:r>
      <w:r w:rsidR="008F7F03" w:rsidDel="004062DC">
        <w:t>there</w:t>
      </w:r>
      <w:r w:rsidR="004062DC">
        <w:t xml:space="preserve"> is inconsistent disclosure of </w:t>
      </w:r>
      <w:r w:rsidR="00965A88">
        <w:t xml:space="preserve">remuneration governance and </w:t>
      </w:r>
      <w:r w:rsidR="004062DC">
        <w:t xml:space="preserve">insufficient detail on remuneration </w:t>
      </w:r>
      <w:r w:rsidR="00965A88">
        <w:t xml:space="preserve">design and </w:t>
      </w:r>
      <w:r w:rsidR="004062DC">
        <w:t>outcomes</w:t>
      </w:r>
      <w:r w:rsidR="00965A88">
        <w:t xml:space="preserve">, particularly for </w:t>
      </w:r>
      <w:r w:rsidR="00524CA5">
        <w:t>HPMRTs and other material risk-takers</w:t>
      </w:r>
      <w:r w:rsidR="008F7F03">
        <w:t>. There</w:t>
      </w:r>
      <w:r w:rsidR="00965A88">
        <w:t xml:space="preserve"> is </w:t>
      </w:r>
      <w:r w:rsidR="008857AA">
        <w:t xml:space="preserve">also </w:t>
      </w:r>
      <w:r w:rsidR="004062DC">
        <w:t xml:space="preserve">a lack of clarity regarding the inputs and outputs </w:t>
      </w:r>
      <w:r w:rsidR="004062DC">
        <w:lastRenderedPageBreak/>
        <w:t>of the consequence management process</w:t>
      </w:r>
      <w:r w:rsidR="009E59B7">
        <w:t xml:space="preserve">. These gaps are impediments to effective market discipline of remuneration outcomes. </w:t>
      </w:r>
      <w:r w:rsidR="004062DC">
        <w:t xml:space="preserve"> </w:t>
      </w:r>
      <w:r w:rsidR="00DF196F" w:rsidDel="004062DC">
        <w:t xml:space="preserve">  </w:t>
      </w:r>
    </w:p>
    <w:p w14:paraId="168973CB" w14:textId="7340CF3D" w:rsidR="00B3545C" w:rsidRPr="00F44103" w:rsidRDefault="00B3545C" w:rsidP="00F44103">
      <w:pPr>
        <w:pStyle w:val="CommentText"/>
      </w:pPr>
      <w:r w:rsidRPr="00F44103">
        <w:t>In the July 2019 consultation</w:t>
      </w:r>
      <w:r w:rsidR="00E83332" w:rsidRPr="00F44103">
        <w:t xml:space="preserve"> on draft CPS 511</w:t>
      </w:r>
      <w:r w:rsidRPr="00F44103">
        <w:t xml:space="preserve">, </w:t>
      </w:r>
      <w:r w:rsidR="00F23B2E" w:rsidRPr="00F44103">
        <w:t>i</w:t>
      </w:r>
      <w:r w:rsidR="00651585" w:rsidRPr="00F44103">
        <w:t xml:space="preserve">ndustry </w:t>
      </w:r>
      <w:r w:rsidR="007164E7" w:rsidRPr="00F44103">
        <w:t>highlighted that</w:t>
      </w:r>
      <w:r w:rsidRPr="00F44103">
        <w:t xml:space="preserve"> current disclosure</w:t>
      </w:r>
      <w:r w:rsidR="00EA64C2" w:rsidRPr="00F44103">
        <w:t xml:space="preserve">s </w:t>
      </w:r>
      <w:r w:rsidR="007164E7" w:rsidRPr="00F44103">
        <w:t xml:space="preserve">can </w:t>
      </w:r>
      <w:r w:rsidR="00074B37" w:rsidRPr="00F44103">
        <w:t>lack comparability</w:t>
      </w:r>
      <w:r w:rsidR="0059489F" w:rsidRPr="004B6976">
        <w:t xml:space="preserve"> and </w:t>
      </w:r>
      <w:r w:rsidR="007164E7">
        <w:t xml:space="preserve">can be overly </w:t>
      </w:r>
      <w:r w:rsidR="007C4056">
        <w:t>complex</w:t>
      </w:r>
      <w:r w:rsidR="00C017D6">
        <w:t>.</w:t>
      </w:r>
      <w:r w:rsidR="007F779A">
        <w:t xml:space="preserve"> </w:t>
      </w:r>
      <w:r w:rsidR="00C017D6">
        <w:t>Industry</w:t>
      </w:r>
      <w:r w:rsidR="00196A48">
        <w:t xml:space="preserve"> suggested </w:t>
      </w:r>
      <w:r w:rsidR="00C017D6">
        <w:t xml:space="preserve">that </w:t>
      </w:r>
      <w:r w:rsidR="00196A48">
        <w:t xml:space="preserve">new disclosure obligations </w:t>
      </w:r>
      <w:r w:rsidR="00C017D6">
        <w:t xml:space="preserve">should </w:t>
      </w:r>
      <w:r w:rsidR="00196A48">
        <w:t>focus on</w:t>
      </w:r>
      <w:r w:rsidR="00795E03">
        <w:t xml:space="preserve"> explain</w:t>
      </w:r>
      <w:r w:rsidR="00196A48">
        <w:t>ing</w:t>
      </w:r>
      <w:r w:rsidR="00795E03">
        <w:t xml:space="preserve"> </w:t>
      </w:r>
      <w:r w:rsidR="00EA64C2">
        <w:t>how targets are chosen</w:t>
      </w:r>
      <w:r w:rsidR="007C4056">
        <w:t xml:space="preserve"> and met</w:t>
      </w:r>
      <w:r w:rsidR="0059489F">
        <w:t xml:space="preserve">, </w:t>
      </w:r>
      <w:r w:rsidR="00EA64C2">
        <w:t xml:space="preserve">why they are appropriate </w:t>
      </w:r>
      <w:r w:rsidR="00795E03">
        <w:t>and the basis of</w:t>
      </w:r>
      <w:r w:rsidRPr="00B3545C">
        <w:t xml:space="preserve"> risk adjustments.</w:t>
      </w:r>
    </w:p>
    <w:p w14:paraId="517DDE08" w14:textId="77777777" w:rsidR="00190143" w:rsidRDefault="00190143" w:rsidP="00B3545C">
      <w:pPr>
        <w:pStyle w:val="CommentText"/>
        <w:rPr>
          <w:noProof/>
        </w:rPr>
      </w:pPr>
    </w:p>
    <w:p w14:paraId="322BDE0E" w14:textId="1B14566B" w:rsidR="00B3545C" w:rsidRDefault="00B3545C" w:rsidP="00B3545C">
      <w:pPr>
        <w:pStyle w:val="CommentText"/>
      </w:pPr>
      <w:r>
        <w:rPr>
          <w:noProof/>
        </w:rPr>
        <w:t xml:space="preserve">APRA </w:t>
      </w:r>
      <w:r w:rsidR="00196A48">
        <w:rPr>
          <w:noProof/>
        </w:rPr>
        <w:t>is considering the following</w:t>
      </w:r>
      <w:r>
        <w:rPr>
          <w:noProof/>
        </w:rPr>
        <w:t>:</w:t>
      </w:r>
    </w:p>
    <w:p w14:paraId="57F29879" w14:textId="465A6EF6" w:rsidR="00B3545C" w:rsidRDefault="007E020A" w:rsidP="00FB3FE8">
      <w:pPr>
        <w:pStyle w:val="ListBullet"/>
        <w:numPr>
          <w:ilvl w:val="0"/>
          <w:numId w:val="5"/>
        </w:numPr>
      </w:pPr>
      <w:r w:rsidRPr="007E683E">
        <w:rPr>
          <w:b/>
        </w:rPr>
        <w:t>remuneration governance and oversight</w:t>
      </w:r>
      <w:r>
        <w:t xml:space="preserve">. </w:t>
      </w:r>
      <w:r w:rsidR="00720579">
        <w:t>Q</w:t>
      </w:r>
      <w:r w:rsidR="0032626E">
        <w:t xml:space="preserve">ualitative information </w:t>
      </w:r>
      <w:r w:rsidR="00F23B2E">
        <w:t>about</w:t>
      </w:r>
      <w:r w:rsidR="0032626E">
        <w:t xml:space="preserve"> the </w:t>
      </w:r>
      <w:r w:rsidR="00FB3FE8">
        <w:t>remuner</w:t>
      </w:r>
      <w:r w:rsidR="0032626E">
        <w:t>ation policy, design</w:t>
      </w:r>
      <w:r w:rsidR="00801107">
        <w:t xml:space="preserve">, </w:t>
      </w:r>
      <w:r w:rsidR="00FB3FE8">
        <w:t>adjustment tools</w:t>
      </w:r>
      <w:r w:rsidR="00801107">
        <w:t xml:space="preserve"> </w:t>
      </w:r>
      <w:r w:rsidR="00016ABE">
        <w:t>and</w:t>
      </w:r>
      <w:r w:rsidR="00FB3FE8">
        <w:t xml:space="preserve"> the process to determine remuneration outcomes.</w:t>
      </w:r>
      <w:r w:rsidR="0032626E">
        <w:t xml:space="preserve"> </w:t>
      </w:r>
      <w:r w:rsidR="00FB3FE8">
        <w:t xml:space="preserve">This </w:t>
      </w:r>
      <w:r w:rsidR="00B75D47">
        <w:t>would</w:t>
      </w:r>
      <w:r w:rsidR="00FB3FE8">
        <w:t xml:space="preserve"> </w:t>
      </w:r>
      <w:r>
        <w:t xml:space="preserve">allow </w:t>
      </w:r>
      <w:r w:rsidR="00FB3FE8">
        <w:t xml:space="preserve">stakeholders to </w:t>
      </w:r>
      <w:r w:rsidR="00884183">
        <w:t xml:space="preserve">evaluate the </w:t>
      </w:r>
      <w:r w:rsidR="00B75D47">
        <w:t xml:space="preserve">effectiveness of </w:t>
      </w:r>
      <w:r w:rsidR="00FB3FE8" w:rsidRPr="00FB3FE8">
        <w:t>remuneration outcomes</w:t>
      </w:r>
      <w:r w:rsidR="00016ABE">
        <w:t>, governance</w:t>
      </w:r>
      <w:r w:rsidR="00FB3FE8">
        <w:t xml:space="preserve"> and</w:t>
      </w:r>
      <w:r w:rsidR="007C4056">
        <w:t xml:space="preserve"> </w:t>
      </w:r>
      <w:r w:rsidR="00FB3FE8" w:rsidRPr="00FB3FE8">
        <w:t>value creation</w:t>
      </w:r>
      <w:r w:rsidR="00BE5EF6">
        <w:t>;</w:t>
      </w:r>
    </w:p>
    <w:p w14:paraId="10D04E8C" w14:textId="31E6BDAF" w:rsidR="00884183" w:rsidRDefault="00884183" w:rsidP="00634BAA">
      <w:pPr>
        <w:pStyle w:val="ListBullet"/>
        <w:numPr>
          <w:ilvl w:val="0"/>
          <w:numId w:val="5"/>
        </w:numPr>
      </w:pPr>
      <w:r w:rsidRPr="007E683E">
        <w:rPr>
          <w:b/>
        </w:rPr>
        <w:t>remuneration design and outcomes</w:t>
      </w:r>
      <w:r>
        <w:t>.</w:t>
      </w:r>
      <w:r w:rsidR="00BE5EF6">
        <w:t xml:space="preserve"> </w:t>
      </w:r>
      <w:r w:rsidR="00720579">
        <w:t>Q</w:t>
      </w:r>
      <w:r w:rsidR="007B1279">
        <w:t xml:space="preserve">uantitative information, </w:t>
      </w:r>
      <w:r w:rsidR="00BE5EF6">
        <w:t>aggregate</w:t>
      </w:r>
      <w:r w:rsidR="00016ABE">
        <w:t>d</w:t>
      </w:r>
      <w:r w:rsidR="00BE5EF6">
        <w:t xml:space="preserve"> for groups of employees </w:t>
      </w:r>
      <w:r w:rsidR="00634BAA">
        <w:t>and specified roles</w:t>
      </w:r>
      <w:r w:rsidR="00B75D47">
        <w:t>, which would</w:t>
      </w:r>
      <w:r w:rsidR="00016ABE">
        <w:t xml:space="preserve"> </w:t>
      </w:r>
      <w:r w:rsidR="007E020A">
        <w:t xml:space="preserve">cover </w:t>
      </w:r>
      <w:r w:rsidR="00BE5EF6">
        <w:t>non-financial measures</w:t>
      </w:r>
      <w:r w:rsidR="00634BAA">
        <w:t xml:space="preserve">, </w:t>
      </w:r>
      <w:r w:rsidR="00BE5EF6">
        <w:t xml:space="preserve">performance </w:t>
      </w:r>
      <w:r w:rsidR="00634BAA">
        <w:t xml:space="preserve">outcomes and variable remuneration </w:t>
      </w:r>
      <w:r w:rsidR="00016ABE">
        <w:t>split by</w:t>
      </w:r>
      <w:r w:rsidR="008A4BC6">
        <w:t xml:space="preserve"> plans (STIs, LTIs and others</w:t>
      </w:r>
      <w:r w:rsidR="007E020A">
        <w:t>)</w:t>
      </w:r>
      <w:r w:rsidR="007E683E">
        <w:t xml:space="preserve">. </w:t>
      </w:r>
      <w:r w:rsidR="00B75D47">
        <w:t>This information would</w:t>
      </w:r>
      <w:r w:rsidR="00634BAA">
        <w:t xml:space="preserve"> </w:t>
      </w:r>
      <w:r w:rsidR="00153A3A">
        <w:t xml:space="preserve">enable </w:t>
      </w:r>
      <w:r w:rsidR="0014428D">
        <w:t xml:space="preserve">stakeholders to gauge compliance with CPS 511 </w:t>
      </w:r>
      <w:r w:rsidR="00153A3A">
        <w:t>and understand how outcomes relate to performance and risk across staff levels</w:t>
      </w:r>
      <w:r w:rsidR="0014428D">
        <w:t xml:space="preserve">; and </w:t>
      </w:r>
    </w:p>
    <w:p w14:paraId="22621C9D" w14:textId="7A791346" w:rsidR="00884183" w:rsidRDefault="007B1279" w:rsidP="00884183">
      <w:pPr>
        <w:pStyle w:val="ListBullet"/>
        <w:numPr>
          <w:ilvl w:val="0"/>
          <w:numId w:val="5"/>
        </w:numPr>
      </w:pPr>
      <w:r w:rsidRPr="007E683E">
        <w:rPr>
          <w:b/>
        </w:rPr>
        <w:t>consequence management</w:t>
      </w:r>
      <w:r>
        <w:t xml:space="preserve">. </w:t>
      </w:r>
      <w:r w:rsidR="00720579">
        <w:t>Q</w:t>
      </w:r>
      <w:r w:rsidR="00884183">
        <w:t>uantitative information</w:t>
      </w:r>
      <w:r w:rsidR="00801107">
        <w:t>,</w:t>
      </w:r>
      <w:r w:rsidR="00884183">
        <w:t xml:space="preserve"> </w:t>
      </w:r>
      <w:r w:rsidR="0014428D">
        <w:t>aggregate</w:t>
      </w:r>
      <w:r w:rsidR="00153A3A">
        <w:t>d</w:t>
      </w:r>
      <w:r w:rsidR="0014428D">
        <w:t xml:space="preserve"> for groups of employees and specified roles</w:t>
      </w:r>
      <w:r w:rsidR="00153A3A">
        <w:t xml:space="preserve">, </w:t>
      </w:r>
      <w:r w:rsidR="00B75D47">
        <w:t xml:space="preserve">which would cover </w:t>
      </w:r>
      <w:r w:rsidR="0067585A">
        <w:t xml:space="preserve">the </w:t>
      </w:r>
      <w:r w:rsidR="00153A3A">
        <w:t>value of upward and downward adjustments by</w:t>
      </w:r>
      <w:r w:rsidR="0067585A">
        <w:t xml:space="preserve"> </w:t>
      </w:r>
      <w:r w:rsidR="0014428D">
        <w:t>adjustment tool</w:t>
      </w:r>
      <w:r w:rsidR="008A4BC6">
        <w:t>s</w:t>
      </w:r>
      <w:r w:rsidR="0014428D">
        <w:t xml:space="preserve">. </w:t>
      </w:r>
      <w:r w:rsidR="00153A3A">
        <w:t xml:space="preserve">This </w:t>
      </w:r>
      <w:r w:rsidR="00B75D47">
        <w:t>information would support</w:t>
      </w:r>
      <w:r w:rsidR="0014428D">
        <w:t xml:space="preserve"> stakeholders </w:t>
      </w:r>
      <w:r w:rsidR="00B75D47">
        <w:t xml:space="preserve">in </w:t>
      </w:r>
      <w:r w:rsidR="0014428D">
        <w:t>understand</w:t>
      </w:r>
      <w:r w:rsidR="00B75D47">
        <w:t>ing</w:t>
      </w:r>
      <w:r w:rsidR="0014428D">
        <w:t xml:space="preserve"> the frequency and level of risk adjustment</w:t>
      </w:r>
      <w:r w:rsidR="00153A3A">
        <w:t xml:space="preserve"> and </w:t>
      </w:r>
      <w:r w:rsidR="0014428D">
        <w:t>alignment</w:t>
      </w:r>
      <w:r w:rsidR="0014428D" w:rsidRPr="00884183">
        <w:t xml:space="preserve"> to outcomes</w:t>
      </w:r>
      <w:r w:rsidR="00400055">
        <w:t>.</w:t>
      </w:r>
      <w:r w:rsidR="00B3249E">
        <w:t xml:space="preserve"> </w:t>
      </w:r>
    </w:p>
    <w:p w14:paraId="28F07F04" w14:textId="16087BBC" w:rsidR="0035676C" w:rsidRDefault="00400055" w:rsidP="00B12532">
      <w:pPr>
        <w:tabs>
          <w:tab w:val="left" w:pos="1876"/>
        </w:tabs>
        <w:rPr>
          <w:noProof/>
        </w:rPr>
      </w:pPr>
      <w:r>
        <w:rPr>
          <w:noProof/>
        </w:rPr>
        <w:t xml:space="preserve">APRA </w:t>
      </w:r>
      <w:r w:rsidR="00354CEF">
        <w:rPr>
          <w:noProof/>
        </w:rPr>
        <w:t>is considering</w:t>
      </w:r>
      <w:r>
        <w:rPr>
          <w:noProof/>
        </w:rPr>
        <w:t xml:space="preserve"> </w:t>
      </w:r>
      <w:r w:rsidR="00354CEF">
        <w:rPr>
          <w:noProof/>
        </w:rPr>
        <w:t>a standardised approach for entities to publishing</w:t>
      </w:r>
      <w:r>
        <w:rPr>
          <w:noProof/>
        </w:rPr>
        <w:t xml:space="preserve"> certain, core quantitative disclosures</w:t>
      </w:r>
      <w:r w:rsidR="00354CEF">
        <w:rPr>
          <w:noProof/>
        </w:rPr>
        <w:t>.</w:t>
      </w:r>
      <w:r w:rsidR="00196A48">
        <w:rPr>
          <w:noProof/>
        </w:rPr>
        <w:t xml:space="preserve"> </w:t>
      </w:r>
      <w:r w:rsidR="00354CEF">
        <w:rPr>
          <w:noProof/>
        </w:rPr>
        <w:t>E</w:t>
      </w:r>
      <w:r w:rsidR="00196A48">
        <w:rPr>
          <w:noProof/>
        </w:rPr>
        <w:t xml:space="preserve">ntities </w:t>
      </w:r>
      <w:r w:rsidR="00354CEF">
        <w:rPr>
          <w:noProof/>
        </w:rPr>
        <w:t xml:space="preserve">would have more </w:t>
      </w:r>
      <w:r w:rsidR="00196A48">
        <w:rPr>
          <w:noProof/>
        </w:rPr>
        <w:t xml:space="preserve">discretion on </w:t>
      </w:r>
      <w:r w:rsidR="00354CEF">
        <w:rPr>
          <w:noProof/>
        </w:rPr>
        <w:t xml:space="preserve">how they publish </w:t>
      </w:r>
      <w:r w:rsidR="00196A48">
        <w:rPr>
          <w:noProof/>
        </w:rPr>
        <w:t xml:space="preserve">qualitiative and other supplementary information. </w:t>
      </w:r>
      <w:r w:rsidR="00720579">
        <w:rPr>
          <w:noProof/>
        </w:rPr>
        <w:t>APRA</w:t>
      </w:r>
      <w:r w:rsidR="0067585A">
        <w:rPr>
          <w:noProof/>
        </w:rPr>
        <w:t xml:space="preserve"> </w:t>
      </w:r>
      <w:r w:rsidR="00354CEF">
        <w:rPr>
          <w:noProof/>
        </w:rPr>
        <w:t>is also considering publishing entity-level data in an external publication</w:t>
      </w:r>
      <w:r w:rsidR="0067585A">
        <w:rPr>
          <w:noProof/>
        </w:rPr>
        <w:t>, to faciliate</w:t>
      </w:r>
      <w:r w:rsidR="00C77C0D">
        <w:rPr>
          <w:noProof/>
        </w:rPr>
        <w:t xml:space="preserve"> </w:t>
      </w:r>
      <w:r w:rsidR="0067585A">
        <w:rPr>
          <w:noProof/>
        </w:rPr>
        <w:t xml:space="preserve">external </w:t>
      </w:r>
      <w:r w:rsidR="00C77C0D">
        <w:rPr>
          <w:noProof/>
        </w:rPr>
        <w:t>benchmarking</w:t>
      </w:r>
      <w:r>
        <w:rPr>
          <w:noProof/>
        </w:rPr>
        <w:t xml:space="preserve">. </w:t>
      </w:r>
    </w:p>
    <w:p w14:paraId="2D4576F9" w14:textId="5E8F53DC" w:rsidR="00D36D06" w:rsidRDefault="00074B37" w:rsidP="00B12532">
      <w:pPr>
        <w:tabs>
          <w:tab w:val="left" w:pos="1876"/>
        </w:tabs>
      </w:pPr>
      <w:r>
        <w:t xml:space="preserve">APRA invites feedback on the </w:t>
      </w:r>
      <w:r w:rsidR="00354CEF">
        <w:t>considerations</w:t>
      </w:r>
      <w:r>
        <w:t xml:space="preserve"> </w:t>
      </w:r>
      <w:r w:rsidR="00EB78FA">
        <w:t>above</w:t>
      </w:r>
      <w:r>
        <w:t xml:space="preserve"> and </w:t>
      </w:r>
      <w:r w:rsidR="00D36D06" w:rsidRPr="00D36D06">
        <w:t>the</w:t>
      </w:r>
      <w:r w:rsidR="00A356A4">
        <w:t>se</w:t>
      </w:r>
      <w:r w:rsidR="00D36D06" w:rsidRPr="00D36D06">
        <w:t xml:space="preserve"> </w:t>
      </w:r>
      <w:r w:rsidR="004E3FAF">
        <w:t xml:space="preserve">specific </w:t>
      </w:r>
      <w:r w:rsidR="00483C12">
        <w:t>questions:</w:t>
      </w:r>
    </w:p>
    <w:p w14:paraId="5CF202FA" w14:textId="77777777" w:rsidR="00633865" w:rsidRDefault="002575C5" w:rsidP="00483C12">
      <w:pPr>
        <w:pStyle w:val="ListParagraph"/>
        <w:numPr>
          <w:ilvl w:val="0"/>
          <w:numId w:val="12"/>
        </w:numPr>
        <w:rPr>
          <w:rFonts w:ascii="DIN OT Light" w:hAnsi="DIN OT Light"/>
        </w:rPr>
      </w:pPr>
      <w:r w:rsidRPr="00483C12">
        <w:rPr>
          <w:rFonts w:ascii="DIN OT Light" w:hAnsi="DIN OT Light"/>
        </w:rPr>
        <w:t xml:space="preserve">What </w:t>
      </w:r>
      <w:r w:rsidR="007F779A">
        <w:rPr>
          <w:rFonts w:ascii="DIN OT Light" w:hAnsi="DIN OT Light"/>
        </w:rPr>
        <w:t xml:space="preserve">principles should inform the types of information required to be disclosed for prudential purposes? </w:t>
      </w:r>
    </w:p>
    <w:p w14:paraId="4B690677" w14:textId="77777777" w:rsidR="00633865" w:rsidRPr="00927C25" w:rsidRDefault="002575C5" w:rsidP="00977219">
      <w:pPr>
        <w:pStyle w:val="ListParagraph"/>
        <w:numPr>
          <w:ilvl w:val="0"/>
          <w:numId w:val="12"/>
        </w:numPr>
        <w:rPr>
          <w:rFonts w:ascii="DIN OT Light" w:hAnsi="DIN OT Light"/>
        </w:rPr>
      </w:pPr>
      <w:r w:rsidRPr="00927C25">
        <w:rPr>
          <w:rFonts w:ascii="DIN OT Light" w:hAnsi="DIN OT Light"/>
        </w:rPr>
        <w:t xml:space="preserve">How could prudential disclosures complement </w:t>
      </w:r>
      <w:r w:rsidR="00736B15" w:rsidRPr="00927C25">
        <w:rPr>
          <w:rFonts w:ascii="DIN OT Light" w:hAnsi="DIN OT Light"/>
        </w:rPr>
        <w:t xml:space="preserve">disclosures required under the </w:t>
      </w:r>
      <w:r w:rsidRPr="00927C25">
        <w:rPr>
          <w:rFonts w:ascii="DIN OT Light" w:hAnsi="DIN OT Light"/>
        </w:rPr>
        <w:t>Corp</w:t>
      </w:r>
      <w:r w:rsidR="00736B15" w:rsidRPr="00927C25">
        <w:rPr>
          <w:rFonts w:ascii="DIN OT Light" w:hAnsi="DIN OT Light"/>
        </w:rPr>
        <w:t>orations</w:t>
      </w:r>
      <w:r w:rsidRPr="00927C25">
        <w:rPr>
          <w:rFonts w:ascii="DIN OT Light" w:hAnsi="DIN OT Light"/>
        </w:rPr>
        <w:t xml:space="preserve"> Act</w:t>
      </w:r>
      <w:r w:rsidR="00633865" w:rsidRPr="00927C25">
        <w:rPr>
          <w:rFonts w:ascii="DIN OT Light" w:hAnsi="DIN OT Light"/>
        </w:rPr>
        <w:t xml:space="preserve">? </w:t>
      </w:r>
    </w:p>
    <w:p w14:paraId="1729CE50" w14:textId="77777777" w:rsidR="00736B15" w:rsidRDefault="00736B15">
      <w:pPr>
        <w:pStyle w:val="ListParagraph"/>
        <w:numPr>
          <w:ilvl w:val="0"/>
          <w:numId w:val="12"/>
        </w:numPr>
      </w:pPr>
      <w:r w:rsidRPr="00633865">
        <w:rPr>
          <w:rFonts w:ascii="DIN OT Light" w:hAnsi="DIN OT Light"/>
        </w:rPr>
        <w:lastRenderedPageBreak/>
        <w:t xml:space="preserve">Would a proportional approach to disclosures, similar to that proposed for revised CPS 511, promote market discipline </w:t>
      </w:r>
      <w:r w:rsidR="00633865">
        <w:rPr>
          <w:rFonts w:ascii="DIN OT Light" w:hAnsi="DIN OT Light"/>
        </w:rPr>
        <w:t>for the appropriate</w:t>
      </w:r>
      <w:r w:rsidRPr="00633865">
        <w:rPr>
          <w:rFonts w:ascii="DIN OT Light" w:hAnsi="DIN OT Light"/>
        </w:rPr>
        <w:t xml:space="preserve"> cohort of entities?</w:t>
      </w:r>
    </w:p>
    <w:p w14:paraId="39DC86B0" w14:textId="65BA2A33" w:rsidR="00483C12" w:rsidRPr="00483C12" w:rsidRDefault="00C017D6" w:rsidP="00483C12">
      <w:r>
        <w:br w:type="page"/>
      </w:r>
    </w:p>
    <w:p w14:paraId="07CCD5A5" w14:textId="436FD7FA" w:rsidR="00225440" w:rsidRDefault="00225440" w:rsidP="0097393A">
      <w:pPr>
        <w:pStyle w:val="Heading1Numbers"/>
        <w:numPr>
          <w:ilvl w:val="0"/>
          <w:numId w:val="41"/>
        </w:numPr>
        <w:pBdr>
          <w:bottom w:val="none" w:sz="0" w:space="0" w:color="auto"/>
        </w:pBdr>
      </w:pPr>
      <w:bookmarkStart w:id="51" w:name="_Toc41831033"/>
      <w:bookmarkStart w:id="52" w:name="_Toc55850364"/>
      <w:r>
        <w:lastRenderedPageBreak/>
        <w:t>Consultation on revised CPS 511</w:t>
      </w:r>
      <w:bookmarkEnd w:id="51"/>
      <w:bookmarkEnd w:id="52"/>
    </w:p>
    <w:p w14:paraId="2321DC22" w14:textId="5EB4A688" w:rsidR="00225440" w:rsidRPr="00766A4D" w:rsidRDefault="00225440" w:rsidP="0097393A">
      <w:pPr>
        <w:pStyle w:val="Heading2Numbers"/>
        <w:numPr>
          <w:ilvl w:val="1"/>
          <w:numId w:val="41"/>
        </w:numPr>
        <w:ind w:left="851"/>
      </w:pPr>
      <w:r w:rsidRPr="00766A4D">
        <w:t xml:space="preserve">Request for submissions </w:t>
      </w:r>
    </w:p>
    <w:p w14:paraId="6506BA4C" w14:textId="1CE8184D" w:rsidR="00225440" w:rsidRPr="00766A4D" w:rsidRDefault="00225440" w:rsidP="00225440">
      <w:r w:rsidRPr="00766A4D">
        <w:t xml:space="preserve">APRA invites written submissions on </w:t>
      </w:r>
      <w:r>
        <w:t>revised CPS511</w:t>
      </w:r>
      <w:r w:rsidRPr="00766A4D">
        <w:t>. Writte</w:t>
      </w:r>
      <w:r>
        <w:t xml:space="preserve">n submissions should be sent to </w:t>
      </w:r>
      <w:hyperlink r:id="rId13" w:history="1">
        <w:r w:rsidRPr="00784D76">
          <w:rPr>
            <w:rStyle w:val="Hyperlink"/>
          </w:rPr>
          <w:t>Policy.Development@apra.gov.au</w:t>
        </w:r>
      </w:hyperlink>
      <w:r>
        <w:t xml:space="preserve"> </w:t>
      </w:r>
      <w:r w:rsidRPr="00E44E96">
        <w:t xml:space="preserve">by </w:t>
      </w:r>
      <w:r>
        <w:t xml:space="preserve">12 February 2021 </w:t>
      </w:r>
      <w:r w:rsidRPr="00766A4D">
        <w:t>and addressed to:</w:t>
      </w:r>
    </w:p>
    <w:p w14:paraId="4E25ED6B" w14:textId="77777777" w:rsidR="00225440" w:rsidRPr="00766A4D" w:rsidRDefault="00225440" w:rsidP="00225440">
      <w:pPr>
        <w:pStyle w:val="Address"/>
        <w:ind w:left="425"/>
      </w:pPr>
      <w:r w:rsidRPr="00766A4D">
        <w:t>General Manager, Policy Development</w:t>
      </w:r>
    </w:p>
    <w:p w14:paraId="20120CB9" w14:textId="77777777" w:rsidR="00225440" w:rsidRPr="00766A4D" w:rsidRDefault="00225440" w:rsidP="00225440">
      <w:pPr>
        <w:pStyle w:val="Address"/>
        <w:ind w:left="425"/>
      </w:pPr>
      <w:r w:rsidRPr="00766A4D">
        <w:t>Policy and Advice Division</w:t>
      </w:r>
    </w:p>
    <w:p w14:paraId="6F7EC96E" w14:textId="77777777" w:rsidR="00225440" w:rsidRPr="00766A4D" w:rsidRDefault="00225440" w:rsidP="00225440">
      <w:pPr>
        <w:pStyle w:val="Address"/>
        <w:spacing w:after="360"/>
        <w:ind w:left="425"/>
      </w:pPr>
      <w:r w:rsidRPr="00766A4D">
        <w:t>Australian Prudential Regulation Authority</w:t>
      </w:r>
    </w:p>
    <w:p w14:paraId="6E0271F3" w14:textId="77777777" w:rsidR="00225440" w:rsidRPr="00766A4D" w:rsidRDefault="00225440" w:rsidP="0097393A">
      <w:pPr>
        <w:pStyle w:val="Heading2Numbers"/>
        <w:numPr>
          <w:ilvl w:val="1"/>
          <w:numId w:val="41"/>
        </w:numPr>
        <w:ind w:left="851"/>
      </w:pPr>
      <w:r w:rsidRPr="00766A4D">
        <w:t>Important disclosure notice – publication of submissions</w:t>
      </w:r>
    </w:p>
    <w:p w14:paraId="6EDA742E" w14:textId="77777777" w:rsidR="00225440" w:rsidRPr="00766A4D" w:rsidRDefault="00225440" w:rsidP="00225440">
      <w:r w:rsidRPr="00766A4D">
        <w:t xml:space="preserve">All information in submissions will be made available to the public on the APRA website unless a respondent expressly requests that all or part of the submission is to remain in confidence. </w:t>
      </w:r>
    </w:p>
    <w:p w14:paraId="4DA8011F" w14:textId="77777777" w:rsidR="00225440" w:rsidRPr="00766A4D" w:rsidRDefault="00225440" w:rsidP="00225440">
      <w:r w:rsidRPr="00766A4D">
        <w:t xml:space="preserve">Automatically generated confidentiality statements in emails do not suffice for this purpose. </w:t>
      </w:r>
    </w:p>
    <w:p w14:paraId="413FD834" w14:textId="77777777" w:rsidR="00225440" w:rsidRPr="00766A4D" w:rsidRDefault="00225440" w:rsidP="00225440">
      <w:r w:rsidRPr="00766A4D">
        <w:t>Respondents who would like part of their submission to remain in confidence should provide this information marked as confidential in a separate attachment.</w:t>
      </w:r>
    </w:p>
    <w:p w14:paraId="495629D8" w14:textId="77777777" w:rsidR="00225440" w:rsidRPr="00766A4D" w:rsidRDefault="00225440" w:rsidP="00225440">
      <w:r w:rsidRPr="00766A4D">
        <w:t xml:space="preserve">Submissions may be the subject of a request for access made under the </w:t>
      </w:r>
      <w:r w:rsidRPr="00766A4D">
        <w:rPr>
          <w:i/>
        </w:rPr>
        <w:t xml:space="preserve">Freedom of Information Act 1982 </w:t>
      </w:r>
      <w:r w:rsidRPr="00766A4D">
        <w:t xml:space="preserve">(FOIA). </w:t>
      </w:r>
    </w:p>
    <w:p w14:paraId="09900CFA" w14:textId="77777777" w:rsidR="00225440" w:rsidRPr="00766A4D" w:rsidRDefault="00225440" w:rsidP="00225440">
      <w:r w:rsidRPr="00766A4D">
        <w:t xml:space="preserve">APRA will determine such requests, if any, in accordance with the provisions of the FOIA. Information in the submission about any APRA-regulated entity that is not in the public domain and that is identified as confidential will be protected by section 56 of the </w:t>
      </w:r>
      <w:r w:rsidRPr="00766A4D">
        <w:rPr>
          <w:i/>
        </w:rPr>
        <w:t xml:space="preserve">Australian Prudential Regulation Authority Act 1998 </w:t>
      </w:r>
      <w:r w:rsidRPr="00766A4D">
        <w:t>and will therefore be exempt from production under the FOIA.</w:t>
      </w:r>
    </w:p>
    <w:p w14:paraId="2DDC3F04" w14:textId="5F7173E1" w:rsidR="00483C12" w:rsidRPr="00C017D6" w:rsidRDefault="00C017D6" w:rsidP="0097393A">
      <w:r w:rsidRPr="00C017D6">
        <w:t xml:space="preserve"> </w:t>
      </w:r>
    </w:p>
    <w:p w14:paraId="5C27ED8B" w14:textId="77777777" w:rsidR="00D80433" w:rsidRPr="00607DAF" w:rsidRDefault="00D80433" w:rsidP="00D80433"/>
    <w:p w14:paraId="02D0E503" w14:textId="77777777" w:rsidR="00D80433" w:rsidRPr="00AE5718" w:rsidRDefault="00D80433" w:rsidP="00D80433"/>
    <w:p w14:paraId="22EE4CB4" w14:textId="77777777" w:rsidR="00D80433" w:rsidRDefault="00D80433" w:rsidP="00D80433"/>
    <w:p w14:paraId="2B015A1B" w14:textId="77777777" w:rsidR="00702DDC" w:rsidRDefault="00702DDC" w:rsidP="00B12532">
      <w:pPr>
        <w:tabs>
          <w:tab w:val="left" w:pos="1876"/>
        </w:tabs>
        <w:sectPr w:rsidR="00702DDC" w:rsidSect="00AD7CB0">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567" w:footer="567" w:gutter="0"/>
          <w:pgNumType w:start="1"/>
          <w:cols w:space="708"/>
          <w:titlePg/>
          <w:docGrid w:linePitch="360"/>
        </w:sectPr>
      </w:pPr>
    </w:p>
    <w:p w14:paraId="6DEA7793" w14:textId="77777777" w:rsidR="00074B37" w:rsidRDefault="00074B37" w:rsidP="00B12532">
      <w:pPr>
        <w:tabs>
          <w:tab w:val="left" w:pos="1876"/>
        </w:tabs>
      </w:pPr>
    </w:p>
    <w:sectPr w:rsidR="00074B37" w:rsidSect="00AD7CB0">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29141" w14:textId="77777777" w:rsidR="00B44FC5" w:rsidRPr="000D4EDE" w:rsidRDefault="00B44FC5" w:rsidP="000D4EDE">
      <w:r>
        <w:separator/>
      </w:r>
    </w:p>
  </w:endnote>
  <w:endnote w:type="continuationSeparator" w:id="0">
    <w:p w14:paraId="68DEFB86" w14:textId="77777777" w:rsidR="00B44FC5" w:rsidRPr="000D4EDE" w:rsidRDefault="00B44FC5" w:rsidP="000D4EDE">
      <w:r>
        <w:continuationSeparator/>
      </w:r>
    </w:p>
  </w:endnote>
  <w:endnote w:type="continuationNotice" w:id="1">
    <w:p w14:paraId="194DF522" w14:textId="77777777" w:rsidR="00B44FC5" w:rsidRDefault="00B44F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DIN OT Light">
    <w:altName w:val="MV Boli"/>
    <w:charset w:val="00"/>
    <w:family w:val="swiss"/>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DIN OT">
    <w:altName w:val="MV Boli"/>
    <w:charset w:val="00"/>
    <w:family w:val="swiss"/>
    <w:pitch w:val="variable"/>
    <w:sig w:usb0="800000EF" w:usb1="4000A47B" w:usb2="00000000" w:usb3="00000000" w:csb0="00000001" w:csb1="00000000"/>
  </w:font>
  <w:font w:name="DIN OT Medium">
    <w:altName w:val="Arial"/>
    <w:charset w:val="00"/>
    <w:family w:val="swiss"/>
    <w:pitch w:val="variable"/>
    <w:sig w:usb0="800000EF" w:usb1="4000A47B" w:usb2="00000000" w:usb3="00000000" w:csb0="00000001" w:csb1="00000000"/>
  </w:font>
  <w:font w:name="DIN Offc Medium">
    <w:altName w:val="Calibri"/>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E264" w14:textId="77777777" w:rsidR="00180AD0" w:rsidRDefault="00180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7BF82" w14:textId="0D396887" w:rsidR="00531312" w:rsidRDefault="00531312" w:rsidP="007501B0">
    <w:pPr>
      <w:pStyle w:val="Footer"/>
    </w:pPr>
    <w:r w:rsidRPr="002A641A">
      <w:ptab w:relativeTo="margin" w:alignment="left" w:leader="none"/>
    </w:r>
    <w:r w:rsidRPr="00BB2437">
      <w:t xml:space="preserve">AUSTRALIAN PRUDENTIAL REGULATION AUTHORITY </w:t>
    </w:r>
    <w:r>
      <w:ptab w:relativeTo="margin" w:alignment="right" w:leader="none"/>
    </w:r>
    <w:r>
      <w:fldChar w:fldCharType="begin"/>
    </w:r>
    <w:r>
      <w:instrText xml:space="preserve"> PAGE  \* Arabic  \* MERGEFORMAT </w:instrText>
    </w:r>
    <w:r>
      <w:fldChar w:fldCharType="separate"/>
    </w:r>
    <w:r w:rsidR="00180AD0">
      <w:rPr>
        <w:noProof/>
      </w:rPr>
      <w:t>20</w:t>
    </w:r>
    <w:r>
      <w:fldChar w:fldCharType="end"/>
    </w:r>
  </w:p>
  <w:p w14:paraId="0EDAB346" w14:textId="77777777" w:rsidR="00531312" w:rsidRDefault="00531312" w:rsidP="007501B0">
    <w:r>
      <w:rPr>
        <w:noProof/>
        <w:lang w:eastAsia="en-AU"/>
      </w:rPr>
      <mc:AlternateContent>
        <mc:Choice Requires="wpg">
          <w:drawing>
            <wp:anchor distT="0" distB="0" distL="114300" distR="114300" simplePos="0" relativeHeight="251658241" behindDoc="0" locked="0" layoutInCell="1" allowOverlap="1" wp14:anchorId="654BE109" wp14:editId="2B050F81">
              <wp:simplePos x="0" y="0"/>
              <wp:positionH relativeFrom="column">
                <wp:posOffset>-914400</wp:posOffset>
              </wp:positionH>
              <wp:positionV relativeFrom="paragraph">
                <wp:posOffset>419735</wp:posOffset>
              </wp:positionV>
              <wp:extent cx="15120000" cy="277200"/>
              <wp:effectExtent l="0" t="0" r="5715" b="8890"/>
              <wp:wrapNone/>
              <wp:docPr id="5" name="Group 5" descr="Footer Banner" title="Footer Banner"/>
              <wp:cNvGraphicFramePr/>
              <a:graphic xmlns:a="http://schemas.openxmlformats.org/drawingml/2006/main">
                <a:graphicData uri="http://schemas.microsoft.com/office/word/2010/wordprocessingGroup">
                  <wpg:wgp>
                    <wpg:cNvGrpSpPr/>
                    <wpg:grpSpPr>
                      <a:xfrm>
                        <a:off x="0" y="0"/>
                        <a:ext cx="15120000" cy="277200"/>
                        <a:chOff x="0" y="0"/>
                        <a:chExt cx="15120000" cy="277200"/>
                      </a:xfrm>
                    </wpg:grpSpPr>
                    <wps:wsp>
                      <wps:cNvPr id="8" name="Rectangle 5" descr="Footer Banner" title="Footer Banner"/>
                      <wps:cNvSpPr/>
                      <wps:spPr>
                        <a:xfrm>
                          <a:off x="0" y="0"/>
                          <a:ext cx="15120000" cy="27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descr="Footer Banner" title="Footer Banner"/>
                      <wps:cNvSpPr/>
                      <wps:spPr>
                        <a:xfrm>
                          <a:off x="914400" y="0"/>
                          <a:ext cx="2732400" cy="27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5E4E66" id="Group 5" o:spid="_x0000_s1026" alt="Title: Footer Banner - Description: Footer Banner" style="position:absolute;margin-left:-1in;margin-top:33.05pt;width:1190.55pt;height:21.85pt;z-index:251658241" coordsize="151200,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">
              <v:rect id="Rectangle 5" o:spid="_x0000_s1027" alt="Footer Banner" style="position:absolute;width:151200;height: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x970A&#10;AADaAAAADwAAAGRycy9kb3ducmV2LnhtbERPzYrCMBC+L/gOYQRva6rIKrVRRBB7kAXdfYChGZvS&#10;ZFKaqPXtzUHw+PH9F9vBWXGnPjSeFcymGQjiyuuGawX/f4fvFYgQkTVaz6TgSQG2m9FXgbn2Dz7T&#10;/RJrkUI45KjAxNjlUobKkMMw9R1x4q6+dxgT7Gupe3ykcGflPMt+pMOGU4PBjvaGqvZycwpshjda&#10;nle/V3OsebkIpT21pVKT8bBbg4g0xI/47S61grQ1XUk3QG5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bAx970AAADaAAAADwAAAAAAAAAAAAAAAACYAgAAZHJzL2Rvd25yZXYu&#10;eG1sUEsFBgAAAAAEAAQA9QAAAIIDAAAAAA==&#10;" fillcolor="#00a9e0 [3205]" stroked="f" strokeweight="2pt"/>
              <v:rect id="Rectangle 9" o:spid="_x0000_s1028" alt="Footer Banner" style="position:absolute;left:9144;width:27324;height: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kmsMA&#10;AADaAAAADwAAAGRycy9kb3ducmV2LnhtbESPQWsCMRSE7wX/Q3hCb5pVqOhqlCpUemxVSr09Ns/N&#10;0s1L2GTdtb++EYQeh5n5hllteluLKzWhcqxgMs5AEBdOV1wqOB3fRnMQISJrrB2TghsF2KwHTyvM&#10;tev4k66HWIoE4ZCjAhOjz6UMhSGLYew8cfIurrEYk2xKqRvsEtzWcpplM2mx4rRg0NPOUPFzaK0C&#10;vz99nC9m67vZ7etl35ft92/VKvU87F+XICL18T/8aL9rBQu4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vkmsMAAADaAAAADwAAAAAAAAAAAAAAAACYAgAAZHJzL2Rv&#10;d25yZXYueG1sUEsFBgAAAAAEAAQA9QAAAIgDAAAAAA==&#10;" fillcolor="#012169 [3204]" stroked="f" strokeweight="2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C524" w14:textId="77777777" w:rsidR="00180AD0" w:rsidRDefault="00180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BC0E4" w14:textId="77777777" w:rsidR="00B44FC5" w:rsidRPr="000D4EDE" w:rsidRDefault="00B44FC5" w:rsidP="000D4EDE">
      <w:r>
        <w:separator/>
      </w:r>
    </w:p>
  </w:footnote>
  <w:footnote w:type="continuationSeparator" w:id="0">
    <w:p w14:paraId="42A17B95" w14:textId="77777777" w:rsidR="00B44FC5" w:rsidRPr="000D4EDE" w:rsidRDefault="00B44FC5" w:rsidP="000D4EDE">
      <w:r>
        <w:continuationSeparator/>
      </w:r>
    </w:p>
  </w:footnote>
  <w:footnote w:type="continuationNotice" w:id="1">
    <w:p w14:paraId="7ADBA34F" w14:textId="77777777" w:rsidR="00B44FC5" w:rsidRDefault="00B44FC5">
      <w:pPr>
        <w:spacing w:after="0"/>
      </w:pPr>
    </w:p>
  </w:footnote>
  <w:footnote w:id="2">
    <w:p w14:paraId="4F64DAAF" w14:textId="77777777" w:rsidR="00531312" w:rsidRDefault="00531312">
      <w:pPr>
        <w:pStyle w:val="FootnoteText"/>
      </w:pPr>
      <w:r>
        <w:rPr>
          <w:rStyle w:val="FootnoteReference"/>
        </w:rPr>
        <w:footnoteRef/>
      </w:r>
      <w:r>
        <w:t xml:space="preserve"> Roy</w:t>
      </w:r>
      <w:r w:rsidRPr="003C1A89">
        <w:t xml:space="preserve">al Commission into Misconduct in the Banking, Superannuation and Financial Services Industry (2019) </w:t>
      </w:r>
      <w:r w:rsidRPr="003C1A89">
        <w:rPr>
          <w:i/>
        </w:rPr>
        <w:t>Royal Commission into Misconduct in the Banking, Superannuation and Financial Services Industry Final Report</w:t>
      </w:r>
      <w:r>
        <w:t>.</w:t>
      </w:r>
    </w:p>
  </w:footnote>
  <w:footnote w:id="3">
    <w:p w14:paraId="6B265AB1" w14:textId="77777777" w:rsidR="00531312" w:rsidRDefault="00531312" w:rsidP="009A72CF">
      <w:pPr>
        <w:pStyle w:val="FootnoteText"/>
      </w:pPr>
      <w:r>
        <w:rPr>
          <w:rStyle w:val="FootnoteReference"/>
        </w:rPr>
        <w:footnoteRef/>
      </w:r>
      <w:r>
        <w:t xml:space="preserve"> The current prudential framework for remuneration covers </w:t>
      </w:r>
      <w:r w:rsidRPr="00973BB8">
        <w:t>Prudential Standard CPS 510 Governance for authorised deposit-taking institution</w:t>
      </w:r>
      <w:r>
        <w:t xml:space="preserve">s, general insurers, </w:t>
      </w:r>
      <w:r w:rsidRPr="00973BB8">
        <w:t xml:space="preserve">life </w:t>
      </w:r>
      <w:r>
        <w:t>companies</w:t>
      </w:r>
      <w:r w:rsidRPr="00973BB8">
        <w:t xml:space="preserve"> and </w:t>
      </w:r>
      <w:r>
        <w:t xml:space="preserve">private health insurers (CPS 510), </w:t>
      </w:r>
      <w:r w:rsidRPr="00973BB8">
        <w:t>and in Prudential Standard SPS 510 Governance for registra</w:t>
      </w:r>
      <w:r>
        <w:t xml:space="preserve">ble superannuation entity </w:t>
      </w:r>
      <w:r w:rsidRPr="00973BB8">
        <w:t>licensees</w:t>
      </w:r>
      <w:r>
        <w:t xml:space="preserve"> </w:t>
      </w:r>
      <w:r w:rsidRPr="00973BB8">
        <w:t>(SPS 510</w:t>
      </w:r>
      <w:r>
        <w:t xml:space="preserve">), </w:t>
      </w:r>
      <w:r w:rsidRPr="00973BB8">
        <w:t>Prudential Practice Guide PPG 511 Remuneration and Prudential Pra</w:t>
      </w:r>
      <w:r>
        <w:t>ctice Guide SPG 511 Remuneration.</w:t>
      </w:r>
    </w:p>
  </w:footnote>
  <w:footnote w:id="4">
    <w:p w14:paraId="39722074" w14:textId="00F43F98" w:rsidR="00531312" w:rsidRDefault="00531312" w:rsidP="009A72CF">
      <w:pPr>
        <w:pStyle w:val="FootnoteText"/>
      </w:pPr>
      <w:r>
        <w:rPr>
          <w:rStyle w:val="FootnoteReference"/>
        </w:rPr>
        <w:footnoteRef/>
      </w:r>
      <w:r>
        <w:t xml:space="preserve"> Roy</w:t>
      </w:r>
      <w:r w:rsidRPr="003C1A89">
        <w:t xml:space="preserve">al Commission into Misconduct in the Banking, Superannuation and Financial Services Industry (2019) </w:t>
      </w:r>
      <w:r w:rsidRPr="003C1A89">
        <w:rPr>
          <w:i/>
        </w:rPr>
        <w:t>Royal Commission into Misconduct in the Banking, Superannuation and Financial Services Industry Final Report</w:t>
      </w:r>
      <w:r>
        <w:t>.</w:t>
      </w:r>
    </w:p>
  </w:footnote>
  <w:footnote w:id="5">
    <w:p w14:paraId="3F9D9BF0" w14:textId="3395196A" w:rsidR="00531312" w:rsidRDefault="00531312">
      <w:pPr>
        <w:pStyle w:val="FootnoteText"/>
      </w:pPr>
      <w:r>
        <w:rPr>
          <w:rStyle w:val="FootnoteReference"/>
        </w:rPr>
        <w:footnoteRef/>
      </w:r>
      <w:r>
        <w:t xml:space="preserve"> </w:t>
      </w:r>
      <w:r w:rsidRPr="008859B2">
        <w:t>https://www.fsb.org/work-of-the-fsb/policy-development/building-resilience-of-financial-institutions/compensation/</w:t>
      </w:r>
    </w:p>
  </w:footnote>
  <w:footnote w:id="6">
    <w:p w14:paraId="6A53C832" w14:textId="3FA8FA98" w:rsidR="00531312" w:rsidRDefault="00531312" w:rsidP="008D65A6">
      <w:pPr>
        <w:pStyle w:val="FootnoteText"/>
      </w:pPr>
      <w:r>
        <w:rPr>
          <w:rStyle w:val="FootnoteReference"/>
        </w:rPr>
        <w:footnoteRef/>
      </w:r>
      <w:r>
        <w:t xml:space="preserve"> </w:t>
      </w:r>
      <w:r w:rsidRPr="0091270D">
        <w:rPr>
          <w:rStyle w:val="Hyperlink"/>
          <w:color w:val="000000"/>
          <w:u w:val="none"/>
          <w:shd w:val="clear" w:color="auto" w:fill="FFFFFF"/>
        </w:rPr>
        <w:t>https://asic.gov.au/regulatory-resources/corporate-governance/corporate-governance-taskforce/</w:t>
      </w:r>
    </w:p>
  </w:footnote>
  <w:footnote w:id="7">
    <w:p w14:paraId="18144425" w14:textId="37C380A1" w:rsidR="00531312" w:rsidRDefault="00531312" w:rsidP="00CD366C">
      <w:pPr>
        <w:pStyle w:val="FootnoteText"/>
      </w:pPr>
      <w:r>
        <w:rPr>
          <w:rStyle w:val="FootnoteReference"/>
        </w:rPr>
        <w:footnoteRef/>
      </w:r>
      <w:r>
        <w:t xml:space="preserve"> In relation to ADIs, this includes</w:t>
      </w:r>
      <w:r w:rsidRPr="00E633FC">
        <w:t xml:space="preserve"> the P</w:t>
      </w:r>
      <w:r>
        <w:t xml:space="preserve">rudential </w:t>
      </w:r>
      <w:r w:rsidRPr="00E633FC">
        <w:t>R</w:t>
      </w:r>
      <w:r>
        <w:t xml:space="preserve">egulation </w:t>
      </w:r>
      <w:r w:rsidRPr="00E633FC">
        <w:t>A</w:t>
      </w:r>
      <w:r>
        <w:t xml:space="preserve">uthority </w:t>
      </w:r>
      <w:r w:rsidRPr="00E633FC">
        <w:t>(United Kingdom)</w:t>
      </w:r>
      <w:r>
        <w:t xml:space="preserve"> and</w:t>
      </w:r>
      <w:r w:rsidRPr="00E633FC">
        <w:t xml:space="preserve"> </w:t>
      </w:r>
      <w:r>
        <w:t>European Banking Authority</w:t>
      </w:r>
      <w:r w:rsidRPr="00E633FC">
        <w:t xml:space="preserve"> (Europe).</w:t>
      </w:r>
    </w:p>
  </w:footnote>
  <w:footnote w:id="8">
    <w:p w14:paraId="6125C508" w14:textId="263D2BE8" w:rsidR="00531312" w:rsidRDefault="00531312" w:rsidP="00CD13AC">
      <w:pPr>
        <w:pStyle w:val="FootnoteText"/>
      </w:pPr>
      <w:r>
        <w:rPr>
          <w:rStyle w:val="FootnoteReference"/>
        </w:rPr>
        <w:footnoteRef/>
      </w:r>
      <w:r>
        <w:t xml:space="preserve"> </w:t>
      </w:r>
      <w:r w:rsidR="00FB5C07">
        <w:t>I</w:t>
      </w:r>
      <w:r>
        <w:t xml:space="preserve">n addition for an RSE licensee, </w:t>
      </w:r>
      <w:r w:rsidR="00FB5C07">
        <w:t xml:space="preserve">a HPMRT </w:t>
      </w:r>
      <w:r>
        <w:t xml:space="preserve">means a person whose activities have a material potential impact on </w:t>
      </w:r>
      <w:r w:rsidR="00FB5C07" w:rsidRPr="00FB5C07">
        <w:t>performing its duties and exercising its powers in the best financial interests of beneficiaries</w:t>
      </w:r>
      <w:r>
        <w:t>.</w:t>
      </w:r>
    </w:p>
  </w:footnote>
  <w:footnote w:id="9">
    <w:p w14:paraId="1A8EE956" w14:textId="77777777" w:rsidR="00531312" w:rsidRDefault="00531312" w:rsidP="00B3545C">
      <w:pPr>
        <w:pStyle w:val="FootnoteText"/>
      </w:pPr>
      <w:r>
        <w:rPr>
          <w:rStyle w:val="FootnoteReference"/>
        </w:rPr>
        <w:footnoteRef/>
      </w:r>
      <w:r>
        <w:t xml:space="preserve"> </w:t>
      </w:r>
      <w:r w:rsidRPr="00B3545C">
        <w:t>See Prudential Standard APS 330 Public Disclosure (APS 330) and Basel Committee on Banking Supervision Pillar 3 disclosure requirements - updated framework, December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B04D" w14:textId="77777777" w:rsidR="00180AD0" w:rsidRDefault="00180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BF2C7" w14:textId="77777777" w:rsidR="00180AD0" w:rsidRDefault="00180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82639" w14:textId="72950270" w:rsidR="00531312" w:rsidRDefault="00531312">
    <w:pPr>
      <w:pStyle w:val="Header"/>
    </w:pPr>
    <w:r>
      <w:rPr>
        <w:noProof/>
        <w:lang w:eastAsia="en-AU"/>
      </w:rPr>
      <w:drawing>
        <wp:anchor distT="0" distB="0" distL="114300" distR="114300" simplePos="0" relativeHeight="251658240" behindDoc="1" locked="1" layoutInCell="1" allowOverlap="1" wp14:anchorId="25D7111C" wp14:editId="46B8193E">
          <wp:simplePos x="0" y="0"/>
          <wp:positionH relativeFrom="page">
            <wp:align>left</wp:align>
          </wp:positionH>
          <wp:positionV relativeFrom="page">
            <wp:align>top</wp:align>
          </wp:positionV>
          <wp:extent cx="7549200" cy="10674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06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0BB6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0DA1B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D86C1F"/>
    <w:multiLevelType w:val="hybridMultilevel"/>
    <w:tmpl w:val="5A1AFDBE"/>
    <w:lvl w:ilvl="0" w:tplc="4E18440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5E6DC8"/>
    <w:multiLevelType w:val="hybridMultilevel"/>
    <w:tmpl w:val="E4E277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D6B0349"/>
    <w:multiLevelType w:val="hybridMultilevel"/>
    <w:tmpl w:val="7C203DBE"/>
    <w:lvl w:ilvl="0" w:tplc="198A0D7C">
      <w:start w:val="1"/>
      <w:numFmt w:val="bullet"/>
      <w:lvlText w:val="•"/>
      <w:lvlJc w:val="left"/>
      <w:pPr>
        <w:tabs>
          <w:tab w:val="num" w:pos="360"/>
        </w:tabs>
        <w:ind w:left="360" w:hanging="360"/>
      </w:pPr>
      <w:rPr>
        <w:rFonts w:ascii="Arial" w:hAnsi="Arial" w:hint="default"/>
      </w:rPr>
    </w:lvl>
    <w:lvl w:ilvl="1" w:tplc="B5E49BD2" w:tentative="1">
      <w:start w:val="1"/>
      <w:numFmt w:val="bullet"/>
      <w:lvlText w:val="•"/>
      <w:lvlJc w:val="left"/>
      <w:pPr>
        <w:tabs>
          <w:tab w:val="num" w:pos="1080"/>
        </w:tabs>
        <w:ind w:left="1080" w:hanging="360"/>
      </w:pPr>
      <w:rPr>
        <w:rFonts w:ascii="Arial" w:hAnsi="Arial" w:hint="default"/>
      </w:rPr>
    </w:lvl>
    <w:lvl w:ilvl="2" w:tplc="6D4A1EE2" w:tentative="1">
      <w:start w:val="1"/>
      <w:numFmt w:val="bullet"/>
      <w:lvlText w:val="•"/>
      <w:lvlJc w:val="left"/>
      <w:pPr>
        <w:tabs>
          <w:tab w:val="num" w:pos="1800"/>
        </w:tabs>
        <w:ind w:left="1800" w:hanging="360"/>
      </w:pPr>
      <w:rPr>
        <w:rFonts w:ascii="Arial" w:hAnsi="Arial" w:hint="default"/>
      </w:rPr>
    </w:lvl>
    <w:lvl w:ilvl="3" w:tplc="2C38B81A" w:tentative="1">
      <w:start w:val="1"/>
      <w:numFmt w:val="bullet"/>
      <w:lvlText w:val="•"/>
      <w:lvlJc w:val="left"/>
      <w:pPr>
        <w:tabs>
          <w:tab w:val="num" w:pos="2520"/>
        </w:tabs>
        <w:ind w:left="2520" w:hanging="360"/>
      </w:pPr>
      <w:rPr>
        <w:rFonts w:ascii="Arial" w:hAnsi="Arial" w:hint="default"/>
      </w:rPr>
    </w:lvl>
    <w:lvl w:ilvl="4" w:tplc="69344C9A" w:tentative="1">
      <w:start w:val="1"/>
      <w:numFmt w:val="bullet"/>
      <w:lvlText w:val="•"/>
      <w:lvlJc w:val="left"/>
      <w:pPr>
        <w:tabs>
          <w:tab w:val="num" w:pos="3240"/>
        </w:tabs>
        <w:ind w:left="3240" w:hanging="360"/>
      </w:pPr>
      <w:rPr>
        <w:rFonts w:ascii="Arial" w:hAnsi="Arial" w:hint="default"/>
      </w:rPr>
    </w:lvl>
    <w:lvl w:ilvl="5" w:tplc="0CC67766" w:tentative="1">
      <w:start w:val="1"/>
      <w:numFmt w:val="bullet"/>
      <w:lvlText w:val="•"/>
      <w:lvlJc w:val="left"/>
      <w:pPr>
        <w:tabs>
          <w:tab w:val="num" w:pos="3960"/>
        </w:tabs>
        <w:ind w:left="3960" w:hanging="360"/>
      </w:pPr>
      <w:rPr>
        <w:rFonts w:ascii="Arial" w:hAnsi="Arial" w:hint="default"/>
      </w:rPr>
    </w:lvl>
    <w:lvl w:ilvl="6" w:tplc="E5627908" w:tentative="1">
      <w:start w:val="1"/>
      <w:numFmt w:val="bullet"/>
      <w:lvlText w:val="•"/>
      <w:lvlJc w:val="left"/>
      <w:pPr>
        <w:tabs>
          <w:tab w:val="num" w:pos="4680"/>
        </w:tabs>
        <w:ind w:left="4680" w:hanging="360"/>
      </w:pPr>
      <w:rPr>
        <w:rFonts w:ascii="Arial" w:hAnsi="Arial" w:hint="default"/>
      </w:rPr>
    </w:lvl>
    <w:lvl w:ilvl="7" w:tplc="BB80C740" w:tentative="1">
      <w:start w:val="1"/>
      <w:numFmt w:val="bullet"/>
      <w:lvlText w:val="•"/>
      <w:lvlJc w:val="left"/>
      <w:pPr>
        <w:tabs>
          <w:tab w:val="num" w:pos="5400"/>
        </w:tabs>
        <w:ind w:left="5400" w:hanging="360"/>
      </w:pPr>
      <w:rPr>
        <w:rFonts w:ascii="Arial" w:hAnsi="Arial" w:hint="default"/>
      </w:rPr>
    </w:lvl>
    <w:lvl w:ilvl="8" w:tplc="8D5C945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0E3655CA"/>
    <w:multiLevelType w:val="hybridMultilevel"/>
    <w:tmpl w:val="DF160ECC"/>
    <w:lvl w:ilvl="0" w:tplc="CD2A7EEA">
      <w:start w:val="1"/>
      <w:numFmt w:val="bullet"/>
      <w:lvlRestart w:val="0"/>
      <w:lvlText w:val=""/>
      <w:lvlJc w:val="left"/>
      <w:pPr>
        <w:ind w:left="72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6B4B53"/>
    <w:multiLevelType w:val="hybridMultilevel"/>
    <w:tmpl w:val="E598B23E"/>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16463545"/>
    <w:multiLevelType w:val="multilevel"/>
    <w:tmpl w:val="A22E581C"/>
    <w:lvl w:ilvl="0">
      <w:start w:val="1"/>
      <w:numFmt w:val="decimal"/>
      <w:lvlText w:val="%1."/>
      <w:lvlJc w:val="left"/>
      <w:pPr>
        <w:tabs>
          <w:tab w:val="num" w:pos="1276"/>
        </w:tabs>
        <w:ind w:left="1276" w:hanging="567"/>
      </w:pPr>
      <w:rPr>
        <w:rFonts w:hint="default"/>
        <w:sz w:val="22"/>
        <w:szCs w:val="22"/>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736223"/>
    <w:multiLevelType w:val="hybridMultilevel"/>
    <w:tmpl w:val="2E18A626"/>
    <w:lvl w:ilvl="0" w:tplc="CD2A7E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AE53F4"/>
    <w:multiLevelType w:val="multilevel"/>
    <w:tmpl w:val="0E9EFF54"/>
    <w:lvl w:ilvl="0">
      <w:start w:val="1"/>
      <w:numFmt w:val="decimal"/>
      <w:pStyle w:val="ListNumber"/>
      <w:lvlText w:val="%1."/>
      <w:lvlJc w:val="left"/>
      <w:pPr>
        <w:tabs>
          <w:tab w:val="num" w:pos="851"/>
        </w:tabs>
        <w:ind w:left="851" w:hanging="851"/>
      </w:pPr>
      <w:rPr>
        <w:rFonts w:hint="default"/>
        <w:i w:val="0"/>
        <w:spacing w:val="0"/>
      </w:rPr>
    </w:lvl>
    <w:lvl w:ilvl="1">
      <w:start w:val="1"/>
      <w:numFmt w:val="lowerLetter"/>
      <w:pStyle w:val="ListNumber2"/>
      <w:lvlText w:val="%2)"/>
      <w:lvlJc w:val="left"/>
      <w:pPr>
        <w:tabs>
          <w:tab w:val="num" w:pos="1701"/>
        </w:tabs>
        <w:ind w:left="1701" w:hanging="850"/>
      </w:pPr>
      <w:rPr>
        <w:rFonts w:ascii="DIN OT Light" w:eastAsiaTheme="minorHAnsi" w:hAnsi="DIN OT Light" w:cstheme="minorBidi"/>
        <w:spacing w:val="0"/>
      </w:rPr>
    </w:lvl>
    <w:lvl w:ilvl="2">
      <w:start w:val="1"/>
      <w:numFmt w:val="decimal"/>
      <w:pStyle w:val="ListNumber3"/>
      <w:lvlText w:val="%1.%2.%3."/>
      <w:lvlJc w:val="left"/>
      <w:pPr>
        <w:tabs>
          <w:tab w:val="num" w:pos="2552"/>
        </w:tabs>
        <w:ind w:left="2552" w:hanging="851"/>
      </w:pPr>
      <w:rPr>
        <w:rFonts w:hint="default"/>
        <w:spacing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A3E6085"/>
    <w:multiLevelType w:val="hybridMultilevel"/>
    <w:tmpl w:val="5880A56E"/>
    <w:lvl w:ilvl="0" w:tplc="CD2A7E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88026A"/>
    <w:multiLevelType w:val="hybridMultilevel"/>
    <w:tmpl w:val="8EF03932"/>
    <w:lvl w:ilvl="0" w:tplc="849E19F2">
      <w:start w:val="1"/>
      <w:numFmt w:val="bullet"/>
      <w:lvlText w:val="•"/>
      <w:lvlJc w:val="left"/>
      <w:pPr>
        <w:tabs>
          <w:tab w:val="num" w:pos="360"/>
        </w:tabs>
        <w:ind w:left="360" w:hanging="360"/>
      </w:pPr>
      <w:rPr>
        <w:rFonts w:ascii="Arial" w:hAnsi="Arial" w:hint="default"/>
      </w:rPr>
    </w:lvl>
    <w:lvl w:ilvl="1" w:tplc="9B2C7354">
      <w:start w:val="302"/>
      <w:numFmt w:val="bullet"/>
      <w:lvlText w:val="•"/>
      <w:lvlJc w:val="left"/>
      <w:pPr>
        <w:tabs>
          <w:tab w:val="num" w:pos="1080"/>
        </w:tabs>
        <w:ind w:left="1080" w:hanging="360"/>
      </w:pPr>
      <w:rPr>
        <w:rFonts w:ascii="Arial" w:hAnsi="Arial" w:hint="default"/>
      </w:rPr>
    </w:lvl>
    <w:lvl w:ilvl="2" w:tplc="BBD0C934" w:tentative="1">
      <w:start w:val="1"/>
      <w:numFmt w:val="bullet"/>
      <w:lvlText w:val="•"/>
      <w:lvlJc w:val="left"/>
      <w:pPr>
        <w:tabs>
          <w:tab w:val="num" w:pos="1800"/>
        </w:tabs>
        <w:ind w:left="1800" w:hanging="360"/>
      </w:pPr>
      <w:rPr>
        <w:rFonts w:ascii="Arial" w:hAnsi="Arial" w:hint="default"/>
      </w:rPr>
    </w:lvl>
    <w:lvl w:ilvl="3" w:tplc="4B72B438" w:tentative="1">
      <w:start w:val="1"/>
      <w:numFmt w:val="bullet"/>
      <w:lvlText w:val="•"/>
      <w:lvlJc w:val="left"/>
      <w:pPr>
        <w:tabs>
          <w:tab w:val="num" w:pos="2520"/>
        </w:tabs>
        <w:ind w:left="2520" w:hanging="360"/>
      </w:pPr>
      <w:rPr>
        <w:rFonts w:ascii="Arial" w:hAnsi="Arial" w:hint="default"/>
      </w:rPr>
    </w:lvl>
    <w:lvl w:ilvl="4" w:tplc="775EDFD2" w:tentative="1">
      <w:start w:val="1"/>
      <w:numFmt w:val="bullet"/>
      <w:lvlText w:val="•"/>
      <w:lvlJc w:val="left"/>
      <w:pPr>
        <w:tabs>
          <w:tab w:val="num" w:pos="3240"/>
        </w:tabs>
        <w:ind w:left="3240" w:hanging="360"/>
      </w:pPr>
      <w:rPr>
        <w:rFonts w:ascii="Arial" w:hAnsi="Arial" w:hint="default"/>
      </w:rPr>
    </w:lvl>
    <w:lvl w:ilvl="5" w:tplc="1DEEB176" w:tentative="1">
      <w:start w:val="1"/>
      <w:numFmt w:val="bullet"/>
      <w:lvlText w:val="•"/>
      <w:lvlJc w:val="left"/>
      <w:pPr>
        <w:tabs>
          <w:tab w:val="num" w:pos="3960"/>
        </w:tabs>
        <w:ind w:left="3960" w:hanging="360"/>
      </w:pPr>
      <w:rPr>
        <w:rFonts w:ascii="Arial" w:hAnsi="Arial" w:hint="default"/>
      </w:rPr>
    </w:lvl>
    <w:lvl w:ilvl="6" w:tplc="914EEA60" w:tentative="1">
      <w:start w:val="1"/>
      <w:numFmt w:val="bullet"/>
      <w:lvlText w:val="•"/>
      <w:lvlJc w:val="left"/>
      <w:pPr>
        <w:tabs>
          <w:tab w:val="num" w:pos="4680"/>
        </w:tabs>
        <w:ind w:left="4680" w:hanging="360"/>
      </w:pPr>
      <w:rPr>
        <w:rFonts w:ascii="Arial" w:hAnsi="Arial" w:hint="default"/>
      </w:rPr>
    </w:lvl>
    <w:lvl w:ilvl="7" w:tplc="E4B6DC78" w:tentative="1">
      <w:start w:val="1"/>
      <w:numFmt w:val="bullet"/>
      <w:lvlText w:val="•"/>
      <w:lvlJc w:val="left"/>
      <w:pPr>
        <w:tabs>
          <w:tab w:val="num" w:pos="5400"/>
        </w:tabs>
        <w:ind w:left="5400" w:hanging="360"/>
      </w:pPr>
      <w:rPr>
        <w:rFonts w:ascii="Arial" w:hAnsi="Arial" w:hint="default"/>
      </w:rPr>
    </w:lvl>
    <w:lvl w:ilvl="8" w:tplc="61E611D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AC07B70"/>
    <w:multiLevelType w:val="hybridMultilevel"/>
    <w:tmpl w:val="71D45424"/>
    <w:lvl w:ilvl="0" w:tplc="45982846">
      <w:start w:val="1"/>
      <w:numFmt w:val="bullet"/>
      <w:lvlText w:val="•"/>
      <w:lvlJc w:val="left"/>
      <w:pPr>
        <w:tabs>
          <w:tab w:val="num" w:pos="360"/>
        </w:tabs>
        <w:ind w:left="360" w:hanging="360"/>
      </w:pPr>
      <w:rPr>
        <w:rFonts w:ascii="Arial" w:hAnsi="Arial" w:hint="default"/>
      </w:rPr>
    </w:lvl>
    <w:lvl w:ilvl="1" w:tplc="49BAC3DE" w:tentative="1">
      <w:start w:val="1"/>
      <w:numFmt w:val="bullet"/>
      <w:lvlText w:val="•"/>
      <w:lvlJc w:val="left"/>
      <w:pPr>
        <w:tabs>
          <w:tab w:val="num" w:pos="1080"/>
        </w:tabs>
        <w:ind w:left="1080" w:hanging="360"/>
      </w:pPr>
      <w:rPr>
        <w:rFonts w:ascii="Arial" w:hAnsi="Arial" w:hint="default"/>
      </w:rPr>
    </w:lvl>
    <w:lvl w:ilvl="2" w:tplc="AC1656E0" w:tentative="1">
      <w:start w:val="1"/>
      <w:numFmt w:val="bullet"/>
      <w:lvlText w:val="•"/>
      <w:lvlJc w:val="left"/>
      <w:pPr>
        <w:tabs>
          <w:tab w:val="num" w:pos="1800"/>
        </w:tabs>
        <w:ind w:left="1800" w:hanging="360"/>
      </w:pPr>
      <w:rPr>
        <w:rFonts w:ascii="Arial" w:hAnsi="Arial" w:hint="default"/>
      </w:rPr>
    </w:lvl>
    <w:lvl w:ilvl="3" w:tplc="69BA6C4C" w:tentative="1">
      <w:start w:val="1"/>
      <w:numFmt w:val="bullet"/>
      <w:lvlText w:val="•"/>
      <w:lvlJc w:val="left"/>
      <w:pPr>
        <w:tabs>
          <w:tab w:val="num" w:pos="2520"/>
        </w:tabs>
        <w:ind w:left="2520" w:hanging="360"/>
      </w:pPr>
      <w:rPr>
        <w:rFonts w:ascii="Arial" w:hAnsi="Arial" w:hint="default"/>
      </w:rPr>
    </w:lvl>
    <w:lvl w:ilvl="4" w:tplc="078CCCCC" w:tentative="1">
      <w:start w:val="1"/>
      <w:numFmt w:val="bullet"/>
      <w:lvlText w:val="•"/>
      <w:lvlJc w:val="left"/>
      <w:pPr>
        <w:tabs>
          <w:tab w:val="num" w:pos="3240"/>
        </w:tabs>
        <w:ind w:left="3240" w:hanging="360"/>
      </w:pPr>
      <w:rPr>
        <w:rFonts w:ascii="Arial" w:hAnsi="Arial" w:hint="default"/>
      </w:rPr>
    </w:lvl>
    <w:lvl w:ilvl="5" w:tplc="2FC61330" w:tentative="1">
      <w:start w:val="1"/>
      <w:numFmt w:val="bullet"/>
      <w:lvlText w:val="•"/>
      <w:lvlJc w:val="left"/>
      <w:pPr>
        <w:tabs>
          <w:tab w:val="num" w:pos="3960"/>
        </w:tabs>
        <w:ind w:left="3960" w:hanging="360"/>
      </w:pPr>
      <w:rPr>
        <w:rFonts w:ascii="Arial" w:hAnsi="Arial" w:hint="default"/>
      </w:rPr>
    </w:lvl>
    <w:lvl w:ilvl="6" w:tplc="86C0E3E0" w:tentative="1">
      <w:start w:val="1"/>
      <w:numFmt w:val="bullet"/>
      <w:lvlText w:val="•"/>
      <w:lvlJc w:val="left"/>
      <w:pPr>
        <w:tabs>
          <w:tab w:val="num" w:pos="4680"/>
        </w:tabs>
        <w:ind w:left="4680" w:hanging="360"/>
      </w:pPr>
      <w:rPr>
        <w:rFonts w:ascii="Arial" w:hAnsi="Arial" w:hint="default"/>
      </w:rPr>
    </w:lvl>
    <w:lvl w:ilvl="7" w:tplc="9668A374" w:tentative="1">
      <w:start w:val="1"/>
      <w:numFmt w:val="bullet"/>
      <w:lvlText w:val="•"/>
      <w:lvlJc w:val="left"/>
      <w:pPr>
        <w:tabs>
          <w:tab w:val="num" w:pos="5400"/>
        </w:tabs>
        <w:ind w:left="5400" w:hanging="360"/>
      </w:pPr>
      <w:rPr>
        <w:rFonts w:ascii="Arial" w:hAnsi="Arial" w:hint="default"/>
      </w:rPr>
    </w:lvl>
    <w:lvl w:ilvl="8" w:tplc="00D0AB6A"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1DF200DE"/>
    <w:multiLevelType w:val="hybridMultilevel"/>
    <w:tmpl w:val="E908874C"/>
    <w:lvl w:ilvl="0" w:tplc="CD2A7E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1409B1"/>
    <w:multiLevelType w:val="multilevel"/>
    <w:tmpl w:val="0C09001F"/>
    <w:numStyleLink w:val="111111"/>
  </w:abstractNum>
  <w:abstractNum w:abstractNumId="19" w15:restartNumberingAfterBreak="0">
    <w:nsid w:val="2460210B"/>
    <w:multiLevelType w:val="multilevel"/>
    <w:tmpl w:val="D2B4048C"/>
    <w:lvl w:ilvl="0">
      <w:start w:val="1"/>
      <w:numFmt w:val="bullet"/>
      <w:lvlText w:val="×"/>
      <w:lvlJc w:val="left"/>
      <w:pPr>
        <w:ind w:left="0" w:firstLine="0"/>
      </w:pPr>
      <w:rPr>
        <w:rFonts w:ascii="Arial" w:hAnsi="Arial"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3B121F"/>
    <w:multiLevelType w:val="hybridMultilevel"/>
    <w:tmpl w:val="A3A0AE9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87F52E5"/>
    <w:multiLevelType w:val="hybridMultilevel"/>
    <w:tmpl w:val="C28E5C20"/>
    <w:lvl w:ilvl="0" w:tplc="CD2A7E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A02CA3"/>
    <w:multiLevelType w:val="hybridMultilevel"/>
    <w:tmpl w:val="392EE1E8"/>
    <w:lvl w:ilvl="0" w:tplc="CD2A7E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041B0D"/>
    <w:multiLevelType w:val="hybridMultilevel"/>
    <w:tmpl w:val="2D6252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106863"/>
    <w:multiLevelType w:val="hybridMultilevel"/>
    <w:tmpl w:val="FA74F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EC908AB"/>
    <w:multiLevelType w:val="hybridMultilevel"/>
    <w:tmpl w:val="4FBA2D1C"/>
    <w:lvl w:ilvl="0" w:tplc="CD2A7EEA">
      <w:start w:val="1"/>
      <w:numFmt w:val="bullet"/>
      <w:lvlRestart w:val="0"/>
      <w:lvlText w:val=""/>
      <w:lvlJc w:val="left"/>
      <w:pPr>
        <w:ind w:left="780" w:hanging="363"/>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301F50AC"/>
    <w:multiLevelType w:val="multilevel"/>
    <w:tmpl w:val="AC5E151C"/>
    <w:styleLink w:val="BulletList"/>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8" w15:restartNumberingAfterBreak="0">
    <w:nsid w:val="31247D9F"/>
    <w:multiLevelType w:val="hybridMultilevel"/>
    <w:tmpl w:val="451EE24E"/>
    <w:lvl w:ilvl="0" w:tplc="CD2A7E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AD3485"/>
    <w:multiLevelType w:val="multilevel"/>
    <w:tmpl w:val="DB445C1A"/>
    <w:styleLink w:val="ListNumbers"/>
    <w:lvl w:ilvl="0">
      <w:start w:val="1"/>
      <w:numFmt w:val="decimal"/>
      <w:pStyle w:val="Heading1Numbered"/>
      <w:lvlText w:val="%1."/>
      <w:lvlJc w:val="left"/>
      <w:pPr>
        <w:ind w:left="709" w:hanging="709"/>
      </w:pPr>
      <w:rPr>
        <w:rFonts w:hint="default"/>
      </w:rPr>
    </w:lvl>
    <w:lvl w:ilvl="1">
      <w:start w:val="1"/>
      <w:numFmt w:val="decimal"/>
      <w:pStyle w:val="Heading2Numbered"/>
      <w:lvlText w:val="%1.%2"/>
      <w:lvlJc w:val="left"/>
      <w:pPr>
        <w:ind w:left="709" w:hanging="709"/>
      </w:pPr>
      <w:rPr>
        <w:rFonts w:hint="default"/>
      </w:rPr>
    </w:lvl>
    <w:lvl w:ilvl="2">
      <w:start w:val="1"/>
      <w:numFmt w:val="decimal"/>
      <w:pStyle w:val="Heading3Numbered"/>
      <w:lvlText w:val="%1.%2.%3"/>
      <w:lvlJc w:val="left"/>
      <w:pPr>
        <w:ind w:left="709" w:hanging="709"/>
      </w:pPr>
      <w:rPr>
        <w:rFonts w:hint="default"/>
      </w:rPr>
    </w:lvl>
    <w:lvl w:ilvl="3">
      <w:start w:val="1"/>
      <w:numFmt w:val="lowerLetter"/>
      <w:pStyle w:val="Heading4Numbered"/>
      <w:lvlText w:val="%4)"/>
      <w:lvlJc w:val="left"/>
      <w:pPr>
        <w:ind w:left="1418"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30" w15:restartNumberingAfterBreak="0">
    <w:nsid w:val="3C095FCE"/>
    <w:multiLevelType w:val="hybridMultilevel"/>
    <w:tmpl w:val="346C8480"/>
    <w:lvl w:ilvl="0" w:tplc="9A949C24">
      <w:start w:val="1"/>
      <w:numFmt w:val="bullet"/>
      <w:lvlText w:val="•"/>
      <w:lvlJc w:val="left"/>
      <w:pPr>
        <w:tabs>
          <w:tab w:val="num" w:pos="360"/>
        </w:tabs>
        <w:ind w:left="360" w:hanging="360"/>
      </w:pPr>
      <w:rPr>
        <w:rFonts w:ascii="Arial" w:hAnsi="Arial" w:hint="default"/>
      </w:rPr>
    </w:lvl>
    <w:lvl w:ilvl="1" w:tplc="B0C63E2A" w:tentative="1">
      <w:start w:val="1"/>
      <w:numFmt w:val="bullet"/>
      <w:lvlText w:val="•"/>
      <w:lvlJc w:val="left"/>
      <w:pPr>
        <w:tabs>
          <w:tab w:val="num" w:pos="1080"/>
        </w:tabs>
        <w:ind w:left="1080" w:hanging="360"/>
      </w:pPr>
      <w:rPr>
        <w:rFonts w:ascii="Arial" w:hAnsi="Arial" w:hint="default"/>
      </w:rPr>
    </w:lvl>
    <w:lvl w:ilvl="2" w:tplc="4118BD5A" w:tentative="1">
      <w:start w:val="1"/>
      <w:numFmt w:val="bullet"/>
      <w:lvlText w:val="•"/>
      <w:lvlJc w:val="left"/>
      <w:pPr>
        <w:tabs>
          <w:tab w:val="num" w:pos="1800"/>
        </w:tabs>
        <w:ind w:left="1800" w:hanging="360"/>
      </w:pPr>
      <w:rPr>
        <w:rFonts w:ascii="Arial" w:hAnsi="Arial" w:hint="default"/>
      </w:rPr>
    </w:lvl>
    <w:lvl w:ilvl="3" w:tplc="D292D0AA" w:tentative="1">
      <w:start w:val="1"/>
      <w:numFmt w:val="bullet"/>
      <w:lvlText w:val="•"/>
      <w:lvlJc w:val="left"/>
      <w:pPr>
        <w:tabs>
          <w:tab w:val="num" w:pos="2520"/>
        </w:tabs>
        <w:ind w:left="2520" w:hanging="360"/>
      </w:pPr>
      <w:rPr>
        <w:rFonts w:ascii="Arial" w:hAnsi="Arial" w:hint="default"/>
      </w:rPr>
    </w:lvl>
    <w:lvl w:ilvl="4" w:tplc="ACF6F524" w:tentative="1">
      <w:start w:val="1"/>
      <w:numFmt w:val="bullet"/>
      <w:lvlText w:val="•"/>
      <w:lvlJc w:val="left"/>
      <w:pPr>
        <w:tabs>
          <w:tab w:val="num" w:pos="3240"/>
        </w:tabs>
        <w:ind w:left="3240" w:hanging="360"/>
      </w:pPr>
      <w:rPr>
        <w:rFonts w:ascii="Arial" w:hAnsi="Arial" w:hint="default"/>
      </w:rPr>
    </w:lvl>
    <w:lvl w:ilvl="5" w:tplc="F666285C" w:tentative="1">
      <w:start w:val="1"/>
      <w:numFmt w:val="bullet"/>
      <w:lvlText w:val="•"/>
      <w:lvlJc w:val="left"/>
      <w:pPr>
        <w:tabs>
          <w:tab w:val="num" w:pos="3960"/>
        </w:tabs>
        <w:ind w:left="3960" w:hanging="360"/>
      </w:pPr>
      <w:rPr>
        <w:rFonts w:ascii="Arial" w:hAnsi="Arial" w:hint="default"/>
      </w:rPr>
    </w:lvl>
    <w:lvl w:ilvl="6" w:tplc="9AEA7256" w:tentative="1">
      <w:start w:val="1"/>
      <w:numFmt w:val="bullet"/>
      <w:lvlText w:val="•"/>
      <w:lvlJc w:val="left"/>
      <w:pPr>
        <w:tabs>
          <w:tab w:val="num" w:pos="4680"/>
        </w:tabs>
        <w:ind w:left="4680" w:hanging="360"/>
      </w:pPr>
      <w:rPr>
        <w:rFonts w:ascii="Arial" w:hAnsi="Arial" w:hint="default"/>
      </w:rPr>
    </w:lvl>
    <w:lvl w:ilvl="7" w:tplc="C8C6EAB4" w:tentative="1">
      <w:start w:val="1"/>
      <w:numFmt w:val="bullet"/>
      <w:lvlText w:val="•"/>
      <w:lvlJc w:val="left"/>
      <w:pPr>
        <w:tabs>
          <w:tab w:val="num" w:pos="5400"/>
        </w:tabs>
        <w:ind w:left="5400" w:hanging="360"/>
      </w:pPr>
      <w:rPr>
        <w:rFonts w:ascii="Arial" w:hAnsi="Arial" w:hint="default"/>
      </w:rPr>
    </w:lvl>
    <w:lvl w:ilvl="8" w:tplc="B91A9B0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3CA54CAB"/>
    <w:multiLevelType w:val="hybridMultilevel"/>
    <w:tmpl w:val="FEAA6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0FE1B54"/>
    <w:multiLevelType w:val="multilevel"/>
    <w:tmpl w:val="F40E62C6"/>
    <w:lvl w:ilvl="0">
      <w:start w:val="1"/>
      <w:numFmt w:val="decimal"/>
      <w:suff w:val="nothing"/>
      <w:lvlText w:val="Chapter %1 - "/>
      <w:lvlJc w:val="left"/>
      <w:pPr>
        <w:ind w:left="0" w:firstLine="0"/>
      </w:pPr>
      <w:rPr>
        <w:rFonts w:hint="default"/>
      </w:rPr>
    </w:lvl>
    <w:lvl w:ilvl="1">
      <w:start w:val="1"/>
      <w:numFmt w:val="decimal"/>
      <w:lvlText w:val="%1.%2"/>
      <w:lvlJc w:val="left"/>
      <w:pPr>
        <w:tabs>
          <w:tab w:val="num" w:pos="2268"/>
        </w:tabs>
        <w:ind w:left="2268" w:hanging="851"/>
      </w:pPr>
      <w:rPr>
        <w:b w:val="0"/>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76"/>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5C43426"/>
    <w:multiLevelType w:val="hybridMultilevel"/>
    <w:tmpl w:val="F78A0DA4"/>
    <w:lvl w:ilvl="0" w:tplc="B99C4768">
      <w:start w:val="1"/>
      <w:numFmt w:val="decimal"/>
      <w:lvlText w:val="%1."/>
      <w:lvlJc w:val="left"/>
      <w:pPr>
        <w:ind w:left="360" w:hanging="360"/>
      </w:pPr>
      <w:rPr>
        <w:rFonts w:ascii="DIN OT Light" w:hAnsi="DIN OT Light"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8471DEA"/>
    <w:multiLevelType w:val="hybridMultilevel"/>
    <w:tmpl w:val="BD6C70AC"/>
    <w:lvl w:ilvl="0" w:tplc="EEC229B0">
      <w:start w:val="1"/>
      <w:numFmt w:val="bullet"/>
      <w:lvlText w:val="•"/>
      <w:lvlJc w:val="left"/>
      <w:pPr>
        <w:tabs>
          <w:tab w:val="num" w:pos="360"/>
        </w:tabs>
        <w:ind w:left="360" w:hanging="360"/>
      </w:pPr>
      <w:rPr>
        <w:rFonts w:ascii="Arial" w:hAnsi="Arial" w:hint="default"/>
      </w:rPr>
    </w:lvl>
    <w:lvl w:ilvl="1" w:tplc="A328DA1C" w:tentative="1">
      <w:start w:val="1"/>
      <w:numFmt w:val="bullet"/>
      <w:lvlText w:val="•"/>
      <w:lvlJc w:val="left"/>
      <w:pPr>
        <w:tabs>
          <w:tab w:val="num" w:pos="1080"/>
        </w:tabs>
        <w:ind w:left="1080" w:hanging="360"/>
      </w:pPr>
      <w:rPr>
        <w:rFonts w:ascii="Arial" w:hAnsi="Arial" w:hint="default"/>
      </w:rPr>
    </w:lvl>
    <w:lvl w:ilvl="2" w:tplc="F1DAB88C" w:tentative="1">
      <w:start w:val="1"/>
      <w:numFmt w:val="bullet"/>
      <w:lvlText w:val="•"/>
      <w:lvlJc w:val="left"/>
      <w:pPr>
        <w:tabs>
          <w:tab w:val="num" w:pos="1800"/>
        </w:tabs>
        <w:ind w:left="1800" w:hanging="360"/>
      </w:pPr>
      <w:rPr>
        <w:rFonts w:ascii="Arial" w:hAnsi="Arial" w:hint="default"/>
      </w:rPr>
    </w:lvl>
    <w:lvl w:ilvl="3" w:tplc="6B90E5AC" w:tentative="1">
      <w:start w:val="1"/>
      <w:numFmt w:val="bullet"/>
      <w:lvlText w:val="•"/>
      <w:lvlJc w:val="left"/>
      <w:pPr>
        <w:tabs>
          <w:tab w:val="num" w:pos="2520"/>
        </w:tabs>
        <w:ind w:left="2520" w:hanging="360"/>
      </w:pPr>
      <w:rPr>
        <w:rFonts w:ascii="Arial" w:hAnsi="Arial" w:hint="default"/>
      </w:rPr>
    </w:lvl>
    <w:lvl w:ilvl="4" w:tplc="8B34E22E" w:tentative="1">
      <w:start w:val="1"/>
      <w:numFmt w:val="bullet"/>
      <w:lvlText w:val="•"/>
      <w:lvlJc w:val="left"/>
      <w:pPr>
        <w:tabs>
          <w:tab w:val="num" w:pos="3240"/>
        </w:tabs>
        <w:ind w:left="3240" w:hanging="360"/>
      </w:pPr>
      <w:rPr>
        <w:rFonts w:ascii="Arial" w:hAnsi="Arial" w:hint="default"/>
      </w:rPr>
    </w:lvl>
    <w:lvl w:ilvl="5" w:tplc="98BA9EB0" w:tentative="1">
      <w:start w:val="1"/>
      <w:numFmt w:val="bullet"/>
      <w:lvlText w:val="•"/>
      <w:lvlJc w:val="left"/>
      <w:pPr>
        <w:tabs>
          <w:tab w:val="num" w:pos="3960"/>
        </w:tabs>
        <w:ind w:left="3960" w:hanging="360"/>
      </w:pPr>
      <w:rPr>
        <w:rFonts w:ascii="Arial" w:hAnsi="Arial" w:hint="default"/>
      </w:rPr>
    </w:lvl>
    <w:lvl w:ilvl="6" w:tplc="2ED0364A" w:tentative="1">
      <w:start w:val="1"/>
      <w:numFmt w:val="bullet"/>
      <w:lvlText w:val="•"/>
      <w:lvlJc w:val="left"/>
      <w:pPr>
        <w:tabs>
          <w:tab w:val="num" w:pos="4680"/>
        </w:tabs>
        <w:ind w:left="4680" w:hanging="360"/>
      </w:pPr>
      <w:rPr>
        <w:rFonts w:ascii="Arial" w:hAnsi="Arial" w:hint="default"/>
      </w:rPr>
    </w:lvl>
    <w:lvl w:ilvl="7" w:tplc="28C44924" w:tentative="1">
      <w:start w:val="1"/>
      <w:numFmt w:val="bullet"/>
      <w:lvlText w:val="•"/>
      <w:lvlJc w:val="left"/>
      <w:pPr>
        <w:tabs>
          <w:tab w:val="num" w:pos="5400"/>
        </w:tabs>
        <w:ind w:left="5400" w:hanging="360"/>
      </w:pPr>
      <w:rPr>
        <w:rFonts w:ascii="Arial" w:hAnsi="Arial" w:hint="default"/>
      </w:rPr>
    </w:lvl>
    <w:lvl w:ilvl="8" w:tplc="398E57B0"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49544E8B"/>
    <w:multiLevelType w:val="hybridMultilevel"/>
    <w:tmpl w:val="D8EA1B64"/>
    <w:lvl w:ilvl="0" w:tplc="CD2A7E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6528ED"/>
    <w:multiLevelType w:val="hybridMultilevel"/>
    <w:tmpl w:val="A12EEF48"/>
    <w:lvl w:ilvl="0" w:tplc="CD2A7E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C03DC3"/>
    <w:multiLevelType w:val="hybridMultilevel"/>
    <w:tmpl w:val="2D461B86"/>
    <w:lvl w:ilvl="0" w:tplc="1284BFEE">
      <w:start w:val="1"/>
      <w:numFmt w:val="decimal"/>
      <w:pStyle w:val="Numberedfigureheading"/>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67F0F35"/>
    <w:multiLevelType w:val="hybridMultilevel"/>
    <w:tmpl w:val="53881E86"/>
    <w:lvl w:ilvl="0" w:tplc="CD2A7E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7C63C7"/>
    <w:multiLevelType w:val="hybridMultilevel"/>
    <w:tmpl w:val="1BAC0DEA"/>
    <w:lvl w:ilvl="0" w:tplc="CD2A7E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AC211D0"/>
    <w:multiLevelType w:val="hybridMultilevel"/>
    <w:tmpl w:val="FF6804F4"/>
    <w:lvl w:ilvl="0" w:tplc="CD2A7E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526774"/>
    <w:multiLevelType w:val="multilevel"/>
    <w:tmpl w:val="7CC65220"/>
    <w:lvl w:ilvl="0">
      <w:start w:val="1"/>
      <w:numFmt w:val="upperLetter"/>
      <w:pStyle w:val="AttachmentHeading"/>
      <w:suff w:val="space"/>
      <w:lvlText w:val="Attachmen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FFF038A"/>
    <w:multiLevelType w:val="hybridMultilevel"/>
    <w:tmpl w:val="F3C80518"/>
    <w:lvl w:ilvl="0" w:tplc="CD2A7E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380B88"/>
    <w:multiLevelType w:val="multilevel"/>
    <w:tmpl w:val="DB445C1A"/>
    <w:numStyleLink w:val="ListNumbers"/>
  </w:abstractNum>
  <w:abstractNum w:abstractNumId="44" w15:restartNumberingAfterBreak="0">
    <w:nsid w:val="60BB22DE"/>
    <w:multiLevelType w:val="multilevel"/>
    <w:tmpl w:val="BB648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C3487A"/>
    <w:multiLevelType w:val="hybridMultilevel"/>
    <w:tmpl w:val="61AA3A8A"/>
    <w:lvl w:ilvl="0" w:tplc="D56080DE">
      <w:numFmt w:val="bullet"/>
      <w:lvlText w:val="•"/>
      <w:lvlJc w:val="left"/>
      <w:pPr>
        <w:ind w:left="413" w:hanging="360"/>
      </w:pPr>
      <w:rPr>
        <w:rFonts w:ascii="DIN OT Light" w:eastAsiaTheme="minorHAnsi" w:hAnsi="DIN OT Light" w:cstheme="minorBidi" w:hint="default"/>
      </w:rPr>
    </w:lvl>
    <w:lvl w:ilvl="1" w:tplc="0C090003">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46" w15:restartNumberingAfterBreak="0">
    <w:nsid w:val="6EDE156E"/>
    <w:multiLevelType w:val="multilevel"/>
    <w:tmpl w:val="A6DAA39A"/>
    <w:lvl w:ilvl="0">
      <w:start w:val="1"/>
      <w:numFmt w:val="bullet"/>
      <w:lvlText w:val=""/>
      <w:lvlJc w:val="left"/>
      <w:pPr>
        <w:ind w:left="0" w:firstLine="0"/>
      </w:pPr>
      <w:rPr>
        <w:rFonts w:ascii="Wingdings" w:hAnsi="Wingding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742B56F4"/>
    <w:multiLevelType w:val="hybridMultilevel"/>
    <w:tmpl w:val="32B013A4"/>
    <w:lvl w:ilvl="0" w:tplc="CD2A7EEA">
      <w:start w:val="1"/>
      <w:numFmt w:val="bullet"/>
      <w:lvlRestart w:val="0"/>
      <w:lvlText w:val=""/>
      <w:lvlJc w:val="left"/>
      <w:pPr>
        <w:ind w:left="72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957B5F"/>
    <w:multiLevelType w:val="multilevel"/>
    <w:tmpl w:val="F40E62C6"/>
    <w:lvl w:ilvl="0">
      <w:start w:val="1"/>
      <w:numFmt w:val="decimal"/>
      <w:suff w:val="nothing"/>
      <w:lvlText w:val="Chapter %1 - "/>
      <w:lvlJc w:val="left"/>
      <w:pPr>
        <w:ind w:left="0" w:firstLine="0"/>
      </w:pPr>
      <w:rPr>
        <w:rFonts w:hint="default"/>
      </w:rPr>
    </w:lvl>
    <w:lvl w:ilvl="1">
      <w:start w:val="1"/>
      <w:numFmt w:val="decimal"/>
      <w:lvlText w:val="%1.%2"/>
      <w:lvlJc w:val="left"/>
      <w:pPr>
        <w:tabs>
          <w:tab w:val="num" w:pos="2268"/>
        </w:tabs>
        <w:ind w:left="2268" w:hanging="851"/>
      </w:pPr>
      <w:rPr>
        <w:b w:val="0"/>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76"/>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7A5571B0"/>
    <w:multiLevelType w:val="hybridMultilevel"/>
    <w:tmpl w:val="26D2A68A"/>
    <w:lvl w:ilvl="0" w:tplc="A3B27856">
      <w:start w:val="1"/>
      <w:numFmt w:val="bullet"/>
      <w:lvlText w:val="-"/>
      <w:lvlJc w:val="left"/>
      <w:pPr>
        <w:ind w:left="360" w:hanging="360"/>
      </w:pPr>
      <w:rPr>
        <w:rFonts w:ascii="Calibri" w:eastAsia="Calibri"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0" w15:restartNumberingAfterBreak="0">
    <w:nsid w:val="7C0E6E8A"/>
    <w:multiLevelType w:val="hybridMultilevel"/>
    <w:tmpl w:val="B4D04064"/>
    <w:lvl w:ilvl="0" w:tplc="899ED676">
      <w:start w:val="1"/>
      <w:numFmt w:val="decimal"/>
      <w:pStyle w:val="Numberedtableheading"/>
      <w:lvlText w:val="Table %1."/>
      <w:lvlJc w:val="left"/>
      <w:pPr>
        <w:ind w:left="1210" w:hanging="360"/>
      </w:pPr>
      <w:rPr>
        <w:rFonts w:hint="default"/>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num w:numId="1">
    <w:abstractNumId w:val="1"/>
  </w:num>
  <w:num w:numId="2">
    <w:abstractNumId w:val="0"/>
  </w:num>
  <w:num w:numId="3">
    <w:abstractNumId w:val="7"/>
  </w:num>
  <w:num w:numId="4">
    <w:abstractNumId w:val="32"/>
  </w:num>
  <w:num w:numId="5">
    <w:abstractNumId w:val="27"/>
  </w:num>
  <w:num w:numId="6">
    <w:abstractNumId w:val="13"/>
  </w:num>
  <w:num w:numId="7">
    <w:abstractNumId w:val="41"/>
  </w:num>
  <w:num w:numId="8">
    <w:abstractNumId w:val="50"/>
  </w:num>
  <w:num w:numId="9">
    <w:abstractNumId w:val="37"/>
  </w:num>
  <w:num w:numId="10">
    <w:abstractNumId w:val="45"/>
  </w:num>
  <w:num w:numId="11">
    <w:abstractNumId w:val="4"/>
  </w:num>
  <w:num w:numId="12">
    <w:abstractNumId w:val="25"/>
  </w:num>
  <w:num w:numId="13">
    <w:abstractNumId w:val="10"/>
  </w:num>
  <w:num w:numId="14">
    <w:abstractNumId w:val="20"/>
  </w:num>
  <w:num w:numId="15">
    <w:abstractNumId w:val="18"/>
  </w:num>
  <w:num w:numId="16">
    <w:abstractNumId w:val="29"/>
  </w:num>
  <w:num w:numId="17">
    <w:abstractNumId w:val="4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34"/>
  </w:num>
  <w:num w:numId="22">
    <w:abstractNumId w:val="8"/>
  </w:num>
  <w:num w:numId="23">
    <w:abstractNumId w:val="16"/>
  </w:num>
  <w:num w:numId="24">
    <w:abstractNumId w:val="31"/>
  </w:num>
  <w:num w:numId="25">
    <w:abstractNumId w:val="21"/>
  </w:num>
  <w:num w:numId="26">
    <w:abstractNumId w:val="39"/>
  </w:num>
  <w:num w:numId="27">
    <w:abstractNumId w:val="26"/>
  </w:num>
  <w:num w:numId="28">
    <w:abstractNumId w:val="35"/>
  </w:num>
  <w:num w:numId="29">
    <w:abstractNumId w:val="9"/>
  </w:num>
  <w:num w:numId="30">
    <w:abstractNumId w:val="47"/>
  </w:num>
  <w:num w:numId="31">
    <w:abstractNumId w:val="36"/>
  </w:num>
  <w:num w:numId="32">
    <w:abstractNumId w:val="23"/>
  </w:num>
  <w:num w:numId="33">
    <w:abstractNumId w:val="22"/>
  </w:num>
  <w:num w:numId="34">
    <w:abstractNumId w:val="17"/>
  </w:num>
  <w:num w:numId="35">
    <w:abstractNumId w:val="40"/>
  </w:num>
  <w:num w:numId="36">
    <w:abstractNumId w:val="42"/>
  </w:num>
  <w:num w:numId="37">
    <w:abstractNumId w:val="28"/>
  </w:num>
  <w:num w:numId="38">
    <w:abstractNumId w:val="12"/>
  </w:num>
  <w:num w:numId="39">
    <w:abstractNumId w:val="38"/>
  </w:num>
  <w:num w:numId="40">
    <w:abstractNumId w:val="14"/>
  </w:num>
  <w:num w:numId="41">
    <w:abstractNumId w:val="48"/>
  </w:num>
  <w:num w:numId="42">
    <w:abstractNumId w:val="44"/>
  </w:num>
  <w:num w:numId="43">
    <w:abstractNumId w:val="11"/>
  </w:num>
  <w:num w:numId="44">
    <w:abstractNumId w:val="33"/>
  </w:num>
  <w:num w:numId="45">
    <w:abstractNumId w:val="3"/>
  </w:num>
  <w:num w:numId="46">
    <w:abstractNumId w:val="24"/>
  </w:num>
  <w:num w:numId="47">
    <w:abstractNumId w:val="5"/>
  </w:num>
  <w:num w:numId="48">
    <w:abstractNumId w:val="2"/>
  </w:num>
  <w:num w:numId="49">
    <w:abstractNumId w:val="49"/>
  </w:num>
  <w:num w:numId="50">
    <w:abstractNumId w:val="46"/>
  </w:num>
  <w:num w:numId="51">
    <w:abstractNumId w:val="19"/>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stylePaneSortMethod w:val="0004"/>
  <w:documentProtection w:formatting="1" w:enforcement="0"/>
  <w:styleLockTheme/>
  <w:styleLockQFSet/>
  <w:defaultTabStop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C6"/>
    <w:rsid w:val="0000050A"/>
    <w:rsid w:val="0000063A"/>
    <w:rsid w:val="0000077C"/>
    <w:rsid w:val="00000A7B"/>
    <w:rsid w:val="00000B9D"/>
    <w:rsid w:val="00000C26"/>
    <w:rsid w:val="000010CA"/>
    <w:rsid w:val="0000129E"/>
    <w:rsid w:val="00001607"/>
    <w:rsid w:val="00001785"/>
    <w:rsid w:val="000018C8"/>
    <w:rsid w:val="00001905"/>
    <w:rsid w:val="00001D90"/>
    <w:rsid w:val="0000203E"/>
    <w:rsid w:val="00002174"/>
    <w:rsid w:val="0000238A"/>
    <w:rsid w:val="00002789"/>
    <w:rsid w:val="00002B6F"/>
    <w:rsid w:val="0000303B"/>
    <w:rsid w:val="000033E0"/>
    <w:rsid w:val="000036FB"/>
    <w:rsid w:val="0000391B"/>
    <w:rsid w:val="00004139"/>
    <w:rsid w:val="00004388"/>
    <w:rsid w:val="00004437"/>
    <w:rsid w:val="00004494"/>
    <w:rsid w:val="00004550"/>
    <w:rsid w:val="00004CB2"/>
    <w:rsid w:val="00004CCE"/>
    <w:rsid w:val="00004D94"/>
    <w:rsid w:val="00004FC0"/>
    <w:rsid w:val="0000500F"/>
    <w:rsid w:val="00005768"/>
    <w:rsid w:val="00005D98"/>
    <w:rsid w:val="00005DBA"/>
    <w:rsid w:val="0000635B"/>
    <w:rsid w:val="00006A61"/>
    <w:rsid w:val="00006A81"/>
    <w:rsid w:val="00007262"/>
    <w:rsid w:val="000075E8"/>
    <w:rsid w:val="00007D5A"/>
    <w:rsid w:val="00007E47"/>
    <w:rsid w:val="00007FFE"/>
    <w:rsid w:val="00010004"/>
    <w:rsid w:val="00010118"/>
    <w:rsid w:val="00010182"/>
    <w:rsid w:val="00010E67"/>
    <w:rsid w:val="000111D8"/>
    <w:rsid w:val="0001177F"/>
    <w:rsid w:val="00011806"/>
    <w:rsid w:val="00011898"/>
    <w:rsid w:val="00011A09"/>
    <w:rsid w:val="00011C96"/>
    <w:rsid w:val="0001206C"/>
    <w:rsid w:val="0001242C"/>
    <w:rsid w:val="00012433"/>
    <w:rsid w:val="000124EE"/>
    <w:rsid w:val="000124F6"/>
    <w:rsid w:val="00012E9C"/>
    <w:rsid w:val="0001305B"/>
    <w:rsid w:val="0001306B"/>
    <w:rsid w:val="0001332F"/>
    <w:rsid w:val="00013418"/>
    <w:rsid w:val="00013453"/>
    <w:rsid w:val="00013732"/>
    <w:rsid w:val="000137CE"/>
    <w:rsid w:val="0001397B"/>
    <w:rsid w:val="00013B41"/>
    <w:rsid w:val="000141B9"/>
    <w:rsid w:val="0001450C"/>
    <w:rsid w:val="000145AB"/>
    <w:rsid w:val="00014B57"/>
    <w:rsid w:val="00014DB5"/>
    <w:rsid w:val="00015003"/>
    <w:rsid w:val="0001518D"/>
    <w:rsid w:val="00015341"/>
    <w:rsid w:val="00015408"/>
    <w:rsid w:val="00015734"/>
    <w:rsid w:val="00015B3A"/>
    <w:rsid w:val="00015B4C"/>
    <w:rsid w:val="00015C79"/>
    <w:rsid w:val="00015CA3"/>
    <w:rsid w:val="00015CE4"/>
    <w:rsid w:val="00015CEB"/>
    <w:rsid w:val="00015DC2"/>
    <w:rsid w:val="0001605B"/>
    <w:rsid w:val="000162A2"/>
    <w:rsid w:val="00016946"/>
    <w:rsid w:val="00016ABE"/>
    <w:rsid w:val="00016DBF"/>
    <w:rsid w:val="0001733D"/>
    <w:rsid w:val="0001756D"/>
    <w:rsid w:val="0002030B"/>
    <w:rsid w:val="000203A2"/>
    <w:rsid w:val="00020667"/>
    <w:rsid w:val="00020920"/>
    <w:rsid w:val="00020B15"/>
    <w:rsid w:val="00020C5D"/>
    <w:rsid w:val="000214B7"/>
    <w:rsid w:val="00021EBC"/>
    <w:rsid w:val="00022346"/>
    <w:rsid w:val="00022367"/>
    <w:rsid w:val="00022668"/>
    <w:rsid w:val="00022F0D"/>
    <w:rsid w:val="0002302F"/>
    <w:rsid w:val="00023145"/>
    <w:rsid w:val="0002323E"/>
    <w:rsid w:val="000236F6"/>
    <w:rsid w:val="0002372B"/>
    <w:rsid w:val="000238C8"/>
    <w:rsid w:val="00023AA0"/>
    <w:rsid w:val="00023B16"/>
    <w:rsid w:val="00024040"/>
    <w:rsid w:val="00024060"/>
    <w:rsid w:val="00024258"/>
    <w:rsid w:val="00024348"/>
    <w:rsid w:val="000245F4"/>
    <w:rsid w:val="00025ED0"/>
    <w:rsid w:val="00025FCA"/>
    <w:rsid w:val="000263AA"/>
    <w:rsid w:val="0002718B"/>
    <w:rsid w:val="00027F5C"/>
    <w:rsid w:val="00030183"/>
    <w:rsid w:val="0003028B"/>
    <w:rsid w:val="00030404"/>
    <w:rsid w:val="00030EE1"/>
    <w:rsid w:val="00031051"/>
    <w:rsid w:val="00031267"/>
    <w:rsid w:val="00031555"/>
    <w:rsid w:val="000317BE"/>
    <w:rsid w:val="000319CC"/>
    <w:rsid w:val="00031CE7"/>
    <w:rsid w:val="00032184"/>
    <w:rsid w:val="000321A4"/>
    <w:rsid w:val="00032425"/>
    <w:rsid w:val="00032687"/>
    <w:rsid w:val="000326AD"/>
    <w:rsid w:val="00032908"/>
    <w:rsid w:val="000329C0"/>
    <w:rsid w:val="00032DB8"/>
    <w:rsid w:val="0003330D"/>
    <w:rsid w:val="0003338B"/>
    <w:rsid w:val="00033459"/>
    <w:rsid w:val="00033715"/>
    <w:rsid w:val="00033758"/>
    <w:rsid w:val="000337D8"/>
    <w:rsid w:val="00033A4B"/>
    <w:rsid w:val="00033F6B"/>
    <w:rsid w:val="00034415"/>
    <w:rsid w:val="000344D8"/>
    <w:rsid w:val="00034571"/>
    <w:rsid w:val="0003458F"/>
    <w:rsid w:val="00034853"/>
    <w:rsid w:val="00034A19"/>
    <w:rsid w:val="00034A85"/>
    <w:rsid w:val="00035095"/>
    <w:rsid w:val="000352F2"/>
    <w:rsid w:val="000356A7"/>
    <w:rsid w:val="00035797"/>
    <w:rsid w:val="0003595A"/>
    <w:rsid w:val="000359BC"/>
    <w:rsid w:val="00035B3E"/>
    <w:rsid w:val="00035BE3"/>
    <w:rsid w:val="00035BE9"/>
    <w:rsid w:val="00035CC6"/>
    <w:rsid w:val="0003690E"/>
    <w:rsid w:val="00036A5A"/>
    <w:rsid w:val="00036C74"/>
    <w:rsid w:val="00036D0B"/>
    <w:rsid w:val="00036EFB"/>
    <w:rsid w:val="00036F2E"/>
    <w:rsid w:val="00036F9E"/>
    <w:rsid w:val="00037AF8"/>
    <w:rsid w:val="00037B4F"/>
    <w:rsid w:val="00037BF5"/>
    <w:rsid w:val="00037C10"/>
    <w:rsid w:val="00037CAA"/>
    <w:rsid w:val="00040377"/>
    <w:rsid w:val="00040454"/>
    <w:rsid w:val="00040631"/>
    <w:rsid w:val="00040762"/>
    <w:rsid w:val="00040A52"/>
    <w:rsid w:val="00040A9D"/>
    <w:rsid w:val="00040EA7"/>
    <w:rsid w:val="000413B3"/>
    <w:rsid w:val="000415A2"/>
    <w:rsid w:val="00041811"/>
    <w:rsid w:val="0004198C"/>
    <w:rsid w:val="00041CD4"/>
    <w:rsid w:val="00041DB7"/>
    <w:rsid w:val="00041DF1"/>
    <w:rsid w:val="00041EB1"/>
    <w:rsid w:val="00042A52"/>
    <w:rsid w:val="00042FAB"/>
    <w:rsid w:val="000431E5"/>
    <w:rsid w:val="000436F9"/>
    <w:rsid w:val="0004396C"/>
    <w:rsid w:val="00043A2D"/>
    <w:rsid w:val="00043B09"/>
    <w:rsid w:val="000442EF"/>
    <w:rsid w:val="000446CC"/>
    <w:rsid w:val="00044E23"/>
    <w:rsid w:val="000451BD"/>
    <w:rsid w:val="00045463"/>
    <w:rsid w:val="0004564A"/>
    <w:rsid w:val="000459FF"/>
    <w:rsid w:val="000460DE"/>
    <w:rsid w:val="00046272"/>
    <w:rsid w:val="000464DD"/>
    <w:rsid w:val="0004692B"/>
    <w:rsid w:val="00047A7F"/>
    <w:rsid w:val="00047BA7"/>
    <w:rsid w:val="00047C47"/>
    <w:rsid w:val="000503CF"/>
    <w:rsid w:val="00050AB4"/>
    <w:rsid w:val="00050BA1"/>
    <w:rsid w:val="00050C80"/>
    <w:rsid w:val="00050FFB"/>
    <w:rsid w:val="0005142C"/>
    <w:rsid w:val="0005155E"/>
    <w:rsid w:val="0005179B"/>
    <w:rsid w:val="000518B4"/>
    <w:rsid w:val="00051C26"/>
    <w:rsid w:val="00052181"/>
    <w:rsid w:val="00052234"/>
    <w:rsid w:val="00052311"/>
    <w:rsid w:val="000528E8"/>
    <w:rsid w:val="00052E80"/>
    <w:rsid w:val="00053877"/>
    <w:rsid w:val="00053BBA"/>
    <w:rsid w:val="000542E7"/>
    <w:rsid w:val="0005449D"/>
    <w:rsid w:val="00054683"/>
    <w:rsid w:val="00054A46"/>
    <w:rsid w:val="0005524E"/>
    <w:rsid w:val="000556F7"/>
    <w:rsid w:val="000570D3"/>
    <w:rsid w:val="000573E5"/>
    <w:rsid w:val="00057B71"/>
    <w:rsid w:val="00057B88"/>
    <w:rsid w:val="00057C04"/>
    <w:rsid w:val="00057F7E"/>
    <w:rsid w:val="00057FB9"/>
    <w:rsid w:val="000602B2"/>
    <w:rsid w:val="00060412"/>
    <w:rsid w:val="00060597"/>
    <w:rsid w:val="00060830"/>
    <w:rsid w:val="00060AA6"/>
    <w:rsid w:val="00061282"/>
    <w:rsid w:val="00061C88"/>
    <w:rsid w:val="00061CE0"/>
    <w:rsid w:val="00061E20"/>
    <w:rsid w:val="0006251D"/>
    <w:rsid w:val="000628E9"/>
    <w:rsid w:val="00062F41"/>
    <w:rsid w:val="00063034"/>
    <w:rsid w:val="000634CF"/>
    <w:rsid w:val="000641CE"/>
    <w:rsid w:val="000648B9"/>
    <w:rsid w:val="000649E8"/>
    <w:rsid w:val="00064BC4"/>
    <w:rsid w:val="00064C89"/>
    <w:rsid w:val="0006529D"/>
    <w:rsid w:val="00065580"/>
    <w:rsid w:val="0006576A"/>
    <w:rsid w:val="000657A6"/>
    <w:rsid w:val="000659B1"/>
    <w:rsid w:val="000659E8"/>
    <w:rsid w:val="00065ABA"/>
    <w:rsid w:val="00065C4A"/>
    <w:rsid w:val="00066184"/>
    <w:rsid w:val="0006630B"/>
    <w:rsid w:val="00066984"/>
    <w:rsid w:val="00066DE0"/>
    <w:rsid w:val="00066F40"/>
    <w:rsid w:val="0006729E"/>
    <w:rsid w:val="000672EF"/>
    <w:rsid w:val="000676B4"/>
    <w:rsid w:val="0006772E"/>
    <w:rsid w:val="00067A97"/>
    <w:rsid w:val="00067BE1"/>
    <w:rsid w:val="00067CE3"/>
    <w:rsid w:val="00067EEA"/>
    <w:rsid w:val="00070279"/>
    <w:rsid w:val="00070370"/>
    <w:rsid w:val="000704E4"/>
    <w:rsid w:val="00070809"/>
    <w:rsid w:val="00071414"/>
    <w:rsid w:val="000715EC"/>
    <w:rsid w:val="000719B3"/>
    <w:rsid w:val="00071BC4"/>
    <w:rsid w:val="0007202C"/>
    <w:rsid w:val="00072034"/>
    <w:rsid w:val="00072054"/>
    <w:rsid w:val="00072180"/>
    <w:rsid w:val="00072307"/>
    <w:rsid w:val="00072760"/>
    <w:rsid w:val="00072820"/>
    <w:rsid w:val="000728DF"/>
    <w:rsid w:val="00072B30"/>
    <w:rsid w:val="0007319C"/>
    <w:rsid w:val="000732AA"/>
    <w:rsid w:val="00073343"/>
    <w:rsid w:val="00073B16"/>
    <w:rsid w:val="0007420D"/>
    <w:rsid w:val="000742FC"/>
    <w:rsid w:val="00074469"/>
    <w:rsid w:val="00074B37"/>
    <w:rsid w:val="000751D4"/>
    <w:rsid w:val="000755D7"/>
    <w:rsid w:val="00075ECB"/>
    <w:rsid w:val="0007619B"/>
    <w:rsid w:val="00076423"/>
    <w:rsid w:val="00076652"/>
    <w:rsid w:val="000767DD"/>
    <w:rsid w:val="00076C88"/>
    <w:rsid w:val="00077876"/>
    <w:rsid w:val="0007788F"/>
    <w:rsid w:val="000779AE"/>
    <w:rsid w:val="0008011A"/>
    <w:rsid w:val="00080268"/>
    <w:rsid w:val="00080C04"/>
    <w:rsid w:val="000816AF"/>
    <w:rsid w:val="000819D1"/>
    <w:rsid w:val="000822AC"/>
    <w:rsid w:val="00082331"/>
    <w:rsid w:val="000824B2"/>
    <w:rsid w:val="000831A7"/>
    <w:rsid w:val="000831FC"/>
    <w:rsid w:val="00083E8C"/>
    <w:rsid w:val="00083F16"/>
    <w:rsid w:val="00084689"/>
    <w:rsid w:val="000849EE"/>
    <w:rsid w:val="00084C2A"/>
    <w:rsid w:val="00084D01"/>
    <w:rsid w:val="00084F8B"/>
    <w:rsid w:val="00084FCB"/>
    <w:rsid w:val="000851D0"/>
    <w:rsid w:val="0008526A"/>
    <w:rsid w:val="00085369"/>
    <w:rsid w:val="00085454"/>
    <w:rsid w:val="00085467"/>
    <w:rsid w:val="000854E3"/>
    <w:rsid w:val="00085570"/>
    <w:rsid w:val="00085659"/>
    <w:rsid w:val="000859D7"/>
    <w:rsid w:val="00085D3C"/>
    <w:rsid w:val="00085E74"/>
    <w:rsid w:val="0008610B"/>
    <w:rsid w:val="000865A9"/>
    <w:rsid w:val="000867F2"/>
    <w:rsid w:val="0008689D"/>
    <w:rsid w:val="00086997"/>
    <w:rsid w:val="00086B44"/>
    <w:rsid w:val="00086BCA"/>
    <w:rsid w:val="00086C3A"/>
    <w:rsid w:val="00086D07"/>
    <w:rsid w:val="00086E73"/>
    <w:rsid w:val="00086F71"/>
    <w:rsid w:val="00087605"/>
    <w:rsid w:val="00087627"/>
    <w:rsid w:val="0009001B"/>
    <w:rsid w:val="000900EC"/>
    <w:rsid w:val="0009089A"/>
    <w:rsid w:val="000908FD"/>
    <w:rsid w:val="0009115A"/>
    <w:rsid w:val="0009121F"/>
    <w:rsid w:val="000913EF"/>
    <w:rsid w:val="0009153E"/>
    <w:rsid w:val="000918A5"/>
    <w:rsid w:val="00091BE2"/>
    <w:rsid w:val="00091CE1"/>
    <w:rsid w:val="00091DAB"/>
    <w:rsid w:val="00091F39"/>
    <w:rsid w:val="00092061"/>
    <w:rsid w:val="0009206A"/>
    <w:rsid w:val="000923E1"/>
    <w:rsid w:val="00092420"/>
    <w:rsid w:val="00092447"/>
    <w:rsid w:val="0009303B"/>
    <w:rsid w:val="000931A9"/>
    <w:rsid w:val="0009327C"/>
    <w:rsid w:val="00093915"/>
    <w:rsid w:val="0009399E"/>
    <w:rsid w:val="00093FD1"/>
    <w:rsid w:val="000944F8"/>
    <w:rsid w:val="00094706"/>
    <w:rsid w:val="000949AD"/>
    <w:rsid w:val="00094A59"/>
    <w:rsid w:val="00094BCC"/>
    <w:rsid w:val="00094BDD"/>
    <w:rsid w:val="00094C30"/>
    <w:rsid w:val="00094D6E"/>
    <w:rsid w:val="00094FA5"/>
    <w:rsid w:val="00095109"/>
    <w:rsid w:val="0009522A"/>
    <w:rsid w:val="00095919"/>
    <w:rsid w:val="00095F18"/>
    <w:rsid w:val="00096B0F"/>
    <w:rsid w:val="00096C06"/>
    <w:rsid w:val="00096EAE"/>
    <w:rsid w:val="00096F35"/>
    <w:rsid w:val="000971BF"/>
    <w:rsid w:val="00097467"/>
    <w:rsid w:val="00097C37"/>
    <w:rsid w:val="00097E78"/>
    <w:rsid w:val="000A0573"/>
    <w:rsid w:val="000A0767"/>
    <w:rsid w:val="000A0809"/>
    <w:rsid w:val="000A0914"/>
    <w:rsid w:val="000A0AEA"/>
    <w:rsid w:val="000A0D75"/>
    <w:rsid w:val="000A1392"/>
    <w:rsid w:val="000A15DA"/>
    <w:rsid w:val="000A19BC"/>
    <w:rsid w:val="000A1BD5"/>
    <w:rsid w:val="000A1E87"/>
    <w:rsid w:val="000A1FB5"/>
    <w:rsid w:val="000A20F2"/>
    <w:rsid w:val="000A25FD"/>
    <w:rsid w:val="000A2758"/>
    <w:rsid w:val="000A2BD9"/>
    <w:rsid w:val="000A2E40"/>
    <w:rsid w:val="000A324E"/>
    <w:rsid w:val="000A3362"/>
    <w:rsid w:val="000A3557"/>
    <w:rsid w:val="000A38BC"/>
    <w:rsid w:val="000A3C53"/>
    <w:rsid w:val="000A490E"/>
    <w:rsid w:val="000A4F34"/>
    <w:rsid w:val="000A5987"/>
    <w:rsid w:val="000A59B5"/>
    <w:rsid w:val="000A60C2"/>
    <w:rsid w:val="000A65A3"/>
    <w:rsid w:val="000A684C"/>
    <w:rsid w:val="000A6AEF"/>
    <w:rsid w:val="000A6CFA"/>
    <w:rsid w:val="000A723D"/>
    <w:rsid w:val="000A72B3"/>
    <w:rsid w:val="000A74FC"/>
    <w:rsid w:val="000A7517"/>
    <w:rsid w:val="000A784B"/>
    <w:rsid w:val="000A7873"/>
    <w:rsid w:val="000A795A"/>
    <w:rsid w:val="000A79BE"/>
    <w:rsid w:val="000A7C68"/>
    <w:rsid w:val="000A7C8C"/>
    <w:rsid w:val="000A7F84"/>
    <w:rsid w:val="000B0413"/>
    <w:rsid w:val="000B0435"/>
    <w:rsid w:val="000B04C5"/>
    <w:rsid w:val="000B051E"/>
    <w:rsid w:val="000B051F"/>
    <w:rsid w:val="000B09AC"/>
    <w:rsid w:val="000B2156"/>
    <w:rsid w:val="000B27AF"/>
    <w:rsid w:val="000B28DE"/>
    <w:rsid w:val="000B2E02"/>
    <w:rsid w:val="000B2F6D"/>
    <w:rsid w:val="000B3400"/>
    <w:rsid w:val="000B3CBC"/>
    <w:rsid w:val="000B3DC9"/>
    <w:rsid w:val="000B4FE6"/>
    <w:rsid w:val="000B546C"/>
    <w:rsid w:val="000B5746"/>
    <w:rsid w:val="000B62D8"/>
    <w:rsid w:val="000B63CA"/>
    <w:rsid w:val="000B66DD"/>
    <w:rsid w:val="000B67EC"/>
    <w:rsid w:val="000B6D74"/>
    <w:rsid w:val="000B6F83"/>
    <w:rsid w:val="000B707A"/>
    <w:rsid w:val="000B716E"/>
    <w:rsid w:val="000B7469"/>
    <w:rsid w:val="000B74AB"/>
    <w:rsid w:val="000B74CA"/>
    <w:rsid w:val="000B752A"/>
    <w:rsid w:val="000B7672"/>
    <w:rsid w:val="000C016E"/>
    <w:rsid w:val="000C022E"/>
    <w:rsid w:val="000C0A73"/>
    <w:rsid w:val="000C0C1F"/>
    <w:rsid w:val="000C0CC3"/>
    <w:rsid w:val="000C10FD"/>
    <w:rsid w:val="000C123D"/>
    <w:rsid w:val="000C135E"/>
    <w:rsid w:val="000C142C"/>
    <w:rsid w:val="000C14D9"/>
    <w:rsid w:val="000C15C7"/>
    <w:rsid w:val="000C1669"/>
    <w:rsid w:val="000C19BF"/>
    <w:rsid w:val="000C1B97"/>
    <w:rsid w:val="000C1C99"/>
    <w:rsid w:val="000C1EB1"/>
    <w:rsid w:val="000C1F4F"/>
    <w:rsid w:val="000C217B"/>
    <w:rsid w:val="000C254B"/>
    <w:rsid w:val="000C2F09"/>
    <w:rsid w:val="000C32C5"/>
    <w:rsid w:val="000C3364"/>
    <w:rsid w:val="000C343F"/>
    <w:rsid w:val="000C356D"/>
    <w:rsid w:val="000C378B"/>
    <w:rsid w:val="000C424C"/>
    <w:rsid w:val="000C426A"/>
    <w:rsid w:val="000C4553"/>
    <w:rsid w:val="000C481A"/>
    <w:rsid w:val="000C4A19"/>
    <w:rsid w:val="000C4B3B"/>
    <w:rsid w:val="000C5090"/>
    <w:rsid w:val="000C5256"/>
    <w:rsid w:val="000C5A58"/>
    <w:rsid w:val="000C5DCF"/>
    <w:rsid w:val="000C5E59"/>
    <w:rsid w:val="000C5FF6"/>
    <w:rsid w:val="000C62AB"/>
    <w:rsid w:val="000C66EC"/>
    <w:rsid w:val="000C692C"/>
    <w:rsid w:val="000C6E76"/>
    <w:rsid w:val="000C7008"/>
    <w:rsid w:val="000C7799"/>
    <w:rsid w:val="000C7FF0"/>
    <w:rsid w:val="000D0257"/>
    <w:rsid w:val="000D047F"/>
    <w:rsid w:val="000D077F"/>
    <w:rsid w:val="000D086E"/>
    <w:rsid w:val="000D0A7B"/>
    <w:rsid w:val="000D0D6C"/>
    <w:rsid w:val="000D0EA2"/>
    <w:rsid w:val="000D136C"/>
    <w:rsid w:val="000D1C18"/>
    <w:rsid w:val="000D2076"/>
    <w:rsid w:val="000D2A42"/>
    <w:rsid w:val="000D2C9F"/>
    <w:rsid w:val="000D352B"/>
    <w:rsid w:val="000D4013"/>
    <w:rsid w:val="000D4182"/>
    <w:rsid w:val="000D46F6"/>
    <w:rsid w:val="000D47E8"/>
    <w:rsid w:val="000D4A8A"/>
    <w:rsid w:val="000D4C3F"/>
    <w:rsid w:val="000D4EDE"/>
    <w:rsid w:val="000D4EF0"/>
    <w:rsid w:val="000D4FB8"/>
    <w:rsid w:val="000D5685"/>
    <w:rsid w:val="000D5B6A"/>
    <w:rsid w:val="000D5BAB"/>
    <w:rsid w:val="000D5BD1"/>
    <w:rsid w:val="000D62B5"/>
    <w:rsid w:val="000D68C7"/>
    <w:rsid w:val="000D6F06"/>
    <w:rsid w:val="000D72B1"/>
    <w:rsid w:val="000D73DA"/>
    <w:rsid w:val="000D73DE"/>
    <w:rsid w:val="000D77B5"/>
    <w:rsid w:val="000D7BB3"/>
    <w:rsid w:val="000D7DA4"/>
    <w:rsid w:val="000E01F8"/>
    <w:rsid w:val="000E0376"/>
    <w:rsid w:val="000E03BC"/>
    <w:rsid w:val="000E05F7"/>
    <w:rsid w:val="000E0685"/>
    <w:rsid w:val="000E0C7F"/>
    <w:rsid w:val="000E0DEE"/>
    <w:rsid w:val="000E15C8"/>
    <w:rsid w:val="000E1767"/>
    <w:rsid w:val="000E1BC2"/>
    <w:rsid w:val="000E2460"/>
    <w:rsid w:val="000E2609"/>
    <w:rsid w:val="000E2702"/>
    <w:rsid w:val="000E278C"/>
    <w:rsid w:val="000E2932"/>
    <w:rsid w:val="000E2942"/>
    <w:rsid w:val="000E3241"/>
    <w:rsid w:val="000E334F"/>
    <w:rsid w:val="000E3427"/>
    <w:rsid w:val="000E3B69"/>
    <w:rsid w:val="000E40A0"/>
    <w:rsid w:val="000E425F"/>
    <w:rsid w:val="000E43AC"/>
    <w:rsid w:val="000E4469"/>
    <w:rsid w:val="000E5040"/>
    <w:rsid w:val="000E524F"/>
    <w:rsid w:val="000E52DC"/>
    <w:rsid w:val="000E54B4"/>
    <w:rsid w:val="000E5709"/>
    <w:rsid w:val="000E58A0"/>
    <w:rsid w:val="000E5CF2"/>
    <w:rsid w:val="000E5E32"/>
    <w:rsid w:val="000E5FCA"/>
    <w:rsid w:val="000E6920"/>
    <w:rsid w:val="000E6973"/>
    <w:rsid w:val="000E6A1E"/>
    <w:rsid w:val="000E6D5D"/>
    <w:rsid w:val="000E6E37"/>
    <w:rsid w:val="000E7203"/>
    <w:rsid w:val="000E747B"/>
    <w:rsid w:val="000E7A56"/>
    <w:rsid w:val="000E7A9C"/>
    <w:rsid w:val="000E7FD6"/>
    <w:rsid w:val="000F009B"/>
    <w:rsid w:val="000F024E"/>
    <w:rsid w:val="000F043C"/>
    <w:rsid w:val="000F0635"/>
    <w:rsid w:val="000F069A"/>
    <w:rsid w:val="000F09D0"/>
    <w:rsid w:val="000F0CD7"/>
    <w:rsid w:val="000F0E6F"/>
    <w:rsid w:val="000F1498"/>
    <w:rsid w:val="000F161E"/>
    <w:rsid w:val="000F1650"/>
    <w:rsid w:val="000F1761"/>
    <w:rsid w:val="000F1A53"/>
    <w:rsid w:val="000F2080"/>
    <w:rsid w:val="000F23B3"/>
    <w:rsid w:val="000F2486"/>
    <w:rsid w:val="000F27B4"/>
    <w:rsid w:val="000F296D"/>
    <w:rsid w:val="000F29FA"/>
    <w:rsid w:val="000F2EFE"/>
    <w:rsid w:val="000F3031"/>
    <w:rsid w:val="000F303D"/>
    <w:rsid w:val="000F381F"/>
    <w:rsid w:val="000F3889"/>
    <w:rsid w:val="000F3D5C"/>
    <w:rsid w:val="000F3DF9"/>
    <w:rsid w:val="000F3EB8"/>
    <w:rsid w:val="000F443D"/>
    <w:rsid w:val="000F46CF"/>
    <w:rsid w:val="000F492F"/>
    <w:rsid w:val="000F4D8E"/>
    <w:rsid w:val="000F56E4"/>
    <w:rsid w:val="000F6285"/>
    <w:rsid w:val="000F63C2"/>
    <w:rsid w:val="000F6601"/>
    <w:rsid w:val="000F6A98"/>
    <w:rsid w:val="000F708E"/>
    <w:rsid w:val="000F7B38"/>
    <w:rsid w:val="000F7B89"/>
    <w:rsid w:val="001001CE"/>
    <w:rsid w:val="00100374"/>
    <w:rsid w:val="0010067D"/>
    <w:rsid w:val="00100D58"/>
    <w:rsid w:val="00101570"/>
    <w:rsid w:val="00101829"/>
    <w:rsid w:val="001018A5"/>
    <w:rsid w:val="00101A52"/>
    <w:rsid w:val="00101B1E"/>
    <w:rsid w:val="00101D3F"/>
    <w:rsid w:val="00101E60"/>
    <w:rsid w:val="0010249F"/>
    <w:rsid w:val="00102B1B"/>
    <w:rsid w:val="00102BBB"/>
    <w:rsid w:val="00102C4C"/>
    <w:rsid w:val="00102DAA"/>
    <w:rsid w:val="00103216"/>
    <w:rsid w:val="001034BA"/>
    <w:rsid w:val="001034DE"/>
    <w:rsid w:val="001038D6"/>
    <w:rsid w:val="00103FA6"/>
    <w:rsid w:val="00104097"/>
    <w:rsid w:val="0010414B"/>
    <w:rsid w:val="00104761"/>
    <w:rsid w:val="00104CE0"/>
    <w:rsid w:val="001052D6"/>
    <w:rsid w:val="00105635"/>
    <w:rsid w:val="00105CD0"/>
    <w:rsid w:val="00106693"/>
    <w:rsid w:val="001066E8"/>
    <w:rsid w:val="00106E36"/>
    <w:rsid w:val="00106F48"/>
    <w:rsid w:val="00106F56"/>
    <w:rsid w:val="00107204"/>
    <w:rsid w:val="00107366"/>
    <w:rsid w:val="0010776F"/>
    <w:rsid w:val="00107EB2"/>
    <w:rsid w:val="001102C4"/>
    <w:rsid w:val="001107AE"/>
    <w:rsid w:val="00110ADF"/>
    <w:rsid w:val="00110ECA"/>
    <w:rsid w:val="00110F89"/>
    <w:rsid w:val="001110B2"/>
    <w:rsid w:val="001119A4"/>
    <w:rsid w:val="00111A4F"/>
    <w:rsid w:val="00111AD6"/>
    <w:rsid w:val="00112CAE"/>
    <w:rsid w:val="00112EA1"/>
    <w:rsid w:val="00112EED"/>
    <w:rsid w:val="00112F10"/>
    <w:rsid w:val="00113045"/>
    <w:rsid w:val="0011360C"/>
    <w:rsid w:val="00113BE9"/>
    <w:rsid w:val="00113E3A"/>
    <w:rsid w:val="00114385"/>
    <w:rsid w:val="0011485F"/>
    <w:rsid w:val="00114927"/>
    <w:rsid w:val="00115A39"/>
    <w:rsid w:val="001164E9"/>
    <w:rsid w:val="001167E7"/>
    <w:rsid w:val="00116D49"/>
    <w:rsid w:val="00116F22"/>
    <w:rsid w:val="001172C9"/>
    <w:rsid w:val="00120085"/>
    <w:rsid w:val="0012074C"/>
    <w:rsid w:val="001207EE"/>
    <w:rsid w:val="00120912"/>
    <w:rsid w:val="001209A5"/>
    <w:rsid w:val="001211D3"/>
    <w:rsid w:val="001212A4"/>
    <w:rsid w:val="00121436"/>
    <w:rsid w:val="00121B08"/>
    <w:rsid w:val="00121DB7"/>
    <w:rsid w:val="00122433"/>
    <w:rsid w:val="00122E3F"/>
    <w:rsid w:val="00123098"/>
    <w:rsid w:val="00123576"/>
    <w:rsid w:val="001235E9"/>
    <w:rsid w:val="00123A9E"/>
    <w:rsid w:val="001241CB"/>
    <w:rsid w:val="001243DB"/>
    <w:rsid w:val="0012453C"/>
    <w:rsid w:val="00124551"/>
    <w:rsid w:val="00124B21"/>
    <w:rsid w:val="00124D41"/>
    <w:rsid w:val="00125570"/>
    <w:rsid w:val="00125B85"/>
    <w:rsid w:val="00125BAA"/>
    <w:rsid w:val="00125D0E"/>
    <w:rsid w:val="0012616B"/>
    <w:rsid w:val="001265A8"/>
    <w:rsid w:val="001266BF"/>
    <w:rsid w:val="00127023"/>
    <w:rsid w:val="00127199"/>
    <w:rsid w:val="0012746F"/>
    <w:rsid w:val="001276E9"/>
    <w:rsid w:val="00127DBA"/>
    <w:rsid w:val="00127E91"/>
    <w:rsid w:val="001302F0"/>
    <w:rsid w:val="001303CF"/>
    <w:rsid w:val="001304AA"/>
    <w:rsid w:val="0013068D"/>
    <w:rsid w:val="00130D28"/>
    <w:rsid w:val="00130DA5"/>
    <w:rsid w:val="00130E50"/>
    <w:rsid w:val="00130FAE"/>
    <w:rsid w:val="001310D4"/>
    <w:rsid w:val="001311BD"/>
    <w:rsid w:val="00131482"/>
    <w:rsid w:val="00131B6F"/>
    <w:rsid w:val="00131E7C"/>
    <w:rsid w:val="00132469"/>
    <w:rsid w:val="001327B8"/>
    <w:rsid w:val="00132ED4"/>
    <w:rsid w:val="00133199"/>
    <w:rsid w:val="001335A5"/>
    <w:rsid w:val="00133CC9"/>
    <w:rsid w:val="00133CF2"/>
    <w:rsid w:val="00134384"/>
    <w:rsid w:val="0013471B"/>
    <w:rsid w:val="001347BC"/>
    <w:rsid w:val="001350AA"/>
    <w:rsid w:val="001352D4"/>
    <w:rsid w:val="00135ADD"/>
    <w:rsid w:val="00135D1A"/>
    <w:rsid w:val="0013620F"/>
    <w:rsid w:val="00136787"/>
    <w:rsid w:val="00136A45"/>
    <w:rsid w:val="00136C65"/>
    <w:rsid w:val="00136CC3"/>
    <w:rsid w:val="00136D17"/>
    <w:rsid w:val="00136DBE"/>
    <w:rsid w:val="00136FD5"/>
    <w:rsid w:val="001372C8"/>
    <w:rsid w:val="001374BC"/>
    <w:rsid w:val="00137B6C"/>
    <w:rsid w:val="00137D45"/>
    <w:rsid w:val="00140687"/>
    <w:rsid w:val="00140BD3"/>
    <w:rsid w:val="001416FE"/>
    <w:rsid w:val="00141C60"/>
    <w:rsid w:val="0014200B"/>
    <w:rsid w:val="001423AB"/>
    <w:rsid w:val="00142964"/>
    <w:rsid w:val="00142AC2"/>
    <w:rsid w:val="001433C5"/>
    <w:rsid w:val="001434F1"/>
    <w:rsid w:val="00143645"/>
    <w:rsid w:val="001438C1"/>
    <w:rsid w:val="00143EA7"/>
    <w:rsid w:val="0014428D"/>
    <w:rsid w:val="00144295"/>
    <w:rsid w:val="00144494"/>
    <w:rsid w:val="00144B8C"/>
    <w:rsid w:val="00144E23"/>
    <w:rsid w:val="001452F0"/>
    <w:rsid w:val="00145643"/>
    <w:rsid w:val="00145CB5"/>
    <w:rsid w:val="00145CC8"/>
    <w:rsid w:val="00146293"/>
    <w:rsid w:val="001462BA"/>
    <w:rsid w:val="001463C5"/>
    <w:rsid w:val="001464A5"/>
    <w:rsid w:val="0014688D"/>
    <w:rsid w:val="00146CA4"/>
    <w:rsid w:val="001475F0"/>
    <w:rsid w:val="00147CF7"/>
    <w:rsid w:val="00147D3B"/>
    <w:rsid w:val="00147EE6"/>
    <w:rsid w:val="00147F4C"/>
    <w:rsid w:val="00147FA4"/>
    <w:rsid w:val="0015017A"/>
    <w:rsid w:val="001501CE"/>
    <w:rsid w:val="00150453"/>
    <w:rsid w:val="001507A5"/>
    <w:rsid w:val="001507D3"/>
    <w:rsid w:val="00150C0B"/>
    <w:rsid w:val="00150D2F"/>
    <w:rsid w:val="00150D67"/>
    <w:rsid w:val="00151160"/>
    <w:rsid w:val="00151581"/>
    <w:rsid w:val="001515A9"/>
    <w:rsid w:val="0015182B"/>
    <w:rsid w:val="00151A62"/>
    <w:rsid w:val="00151D78"/>
    <w:rsid w:val="00151EEF"/>
    <w:rsid w:val="00152124"/>
    <w:rsid w:val="001521B8"/>
    <w:rsid w:val="0015226F"/>
    <w:rsid w:val="00152362"/>
    <w:rsid w:val="001526F1"/>
    <w:rsid w:val="00152E92"/>
    <w:rsid w:val="0015304D"/>
    <w:rsid w:val="0015308E"/>
    <w:rsid w:val="001535AF"/>
    <w:rsid w:val="001537BF"/>
    <w:rsid w:val="00153816"/>
    <w:rsid w:val="00153A3A"/>
    <w:rsid w:val="00153E98"/>
    <w:rsid w:val="00154113"/>
    <w:rsid w:val="00154572"/>
    <w:rsid w:val="001551E9"/>
    <w:rsid w:val="001557DF"/>
    <w:rsid w:val="00156179"/>
    <w:rsid w:val="00156944"/>
    <w:rsid w:val="00156A4B"/>
    <w:rsid w:val="00156B67"/>
    <w:rsid w:val="00156F01"/>
    <w:rsid w:val="00157276"/>
    <w:rsid w:val="001574BC"/>
    <w:rsid w:val="0015752E"/>
    <w:rsid w:val="00157560"/>
    <w:rsid w:val="00157C98"/>
    <w:rsid w:val="00157DD6"/>
    <w:rsid w:val="00160149"/>
    <w:rsid w:val="00160463"/>
    <w:rsid w:val="0016052F"/>
    <w:rsid w:val="001606B1"/>
    <w:rsid w:val="00161682"/>
    <w:rsid w:val="00161ECF"/>
    <w:rsid w:val="00161EFB"/>
    <w:rsid w:val="00161F7D"/>
    <w:rsid w:val="0016235E"/>
    <w:rsid w:val="00162521"/>
    <w:rsid w:val="0016272E"/>
    <w:rsid w:val="0016277A"/>
    <w:rsid w:val="00162866"/>
    <w:rsid w:val="00162E8A"/>
    <w:rsid w:val="00163013"/>
    <w:rsid w:val="001630BF"/>
    <w:rsid w:val="001632BE"/>
    <w:rsid w:val="001634BD"/>
    <w:rsid w:val="001636BE"/>
    <w:rsid w:val="001636F2"/>
    <w:rsid w:val="001638C2"/>
    <w:rsid w:val="00163B4C"/>
    <w:rsid w:val="00163B6A"/>
    <w:rsid w:val="00163BDD"/>
    <w:rsid w:val="00163C6F"/>
    <w:rsid w:val="00164214"/>
    <w:rsid w:val="0016431F"/>
    <w:rsid w:val="001645F2"/>
    <w:rsid w:val="00164E0A"/>
    <w:rsid w:val="00164FF6"/>
    <w:rsid w:val="001653B6"/>
    <w:rsid w:val="001658E0"/>
    <w:rsid w:val="00165AC3"/>
    <w:rsid w:val="00165BF6"/>
    <w:rsid w:val="00165D58"/>
    <w:rsid w:val="00165E06"/>
    <w:rsid w:val="00166063"/>
    <w:rsid w:val="001665FE"/>
    <w:rsid w:val="00166619"/>
    <w:rsid w:val="001666DF"/>
    <w:rsid w:val="00166B4F"/>
    <w:rsid w:val="00166E3D"/>
    <w:rsid w:val="001671D4"/>
    <w:rsid w:val="00167430"/>
    <w:rsid w:val="0016754E"/>
    <w:rsid w:val="00167687"/>
    <w:rsid w:val="00167D6D"/>
    <w:rsid w:val="00167E60"/>
    <w:rsid w:val="001700E2"/>
    <w:rsid w:val="0017064C"/>
    <w:rsid w:val="001707F4"/>
    <w:rsid w:val="00170B5E"/>
    <w:rsid w:val="001715F4"/>
    <w:rsid w:val="00171600"/>
    <w:rsid w:val="00171D7F"/>
    <w:rsid w:val="0017255B"/>
    <w:rsid w:val="00172662"/>
    <w:rsid w:val="0017268F"/>
    <w:rsid w:val="001726B2"/>
    <w:rsid w:val="001728E1"/>
    <w:rsid w:val="001728FC"/>
    <w:rsid w:val="00172B78"/>
    <w:rsid w:val="00172F84"/>
    <w:rsid w:val="001730DD"/>
    <w:rsid w:val="00173122"/>
    <w:rsid w:val="001736DC"/>
    <w:rsid w:val="00173B88"/>
    <w:rsid w:val="00173CFE"/>
    <w:rsid w:val="00173F6A"/>
    <w:rsid w:val="00174008"/>
    <w:rsid w:val="0017403D"/>
    <w:rsid w:val="001748F0"/>
    <w:rsid w:val="00174B0F"/>
    <w:rsid w:val="0017574F"/>
    <w:rsid w:val="0017577E"/>
    <w:rsid w:val="0017589C"/>
    <w:rsid w:val="001758A2"/>
    <w:rsid w:val="001759C7"/>
    <w:rsid w:val="00175AD3"/>
    <w:rsid w:val="00175EC5"/>
    <w:rsid w:val="001766D1"/>
    <w:rsid w:val="00176917"/>
    <w:rsid w:val="00176999"/>
    <w:rsid w:val="00176A87"/>
    <w:rsid w:val="00176CE9"/>
    <w:rsid w:val="00176D53"/>
    <w:rsid w:val="00176F51"/>
    <w:rsid w:val="0017723D"/>
    <w:rsid w:val="00177411"/>
    <w:rsid w:val="00177ABB"/>
    <w:rsid w:val="00177B70"/>
    <w:rsid w:val="00177C64"/>
    <w:rsid w:val="00177FEE"/>
    <w:rsid w:val="001801CE"/>
    <w:rsid w:val="00180354"/>
    <w:rsid w:val="0018037A"/>
    <w:rsid w:val="001804F7"/>
    <w:rsid w:val="00180AD0"/>
    <w:rsid w:val="00180B00"/>
    <w:rsid w:val="00180D75"/>
    <w:rsid w:val="00180FC0"/>
    <w:rsid w:val="00181694"/>
    <w:rsid w:val="0018184E"/>
    <w:rsid w:val="00181F73"/>
    <w:rsid w:val="00182027"/>
    <w:rsid w:val="0018235E"/>
    <w:rsid w:val="00182608"/>
    <w:rsid w:val="00182743"/>
    <w:rsid w:val="00182AF2"/>
    <w:rsid w:val="0018366B"/>
    <w:rsid w:val="00184187"/>
    <w:rsid w:val="001841DF"/>
    <w:rsid w:val="001842AB"/>
    <w:rsid w:val="00184459"/>
    <w:rsid w:val="001844BB"/>
    <w:rsid w:val="0018456D"/>
    <w:rsid w:val="00184D8F"/>
    <w:rsid w:val="00185647"/>
    <w:rsid w:val="00185BD8"/>
    <w:rsid w:val="00185E0E"/>
    <w:rsid w:val="00185EFA"/>
    <w:rsid w:val="00186143"/>
    <w:rsid w:val="00186360"/>
    <w:rsid w:val="001865FB"/>
    <w:rsid w:val="00186AC2"/>
    <w:rsid w:val="001871DD"/>
    <w:rsid w:val="0018782F"/>
    <w:rsid w:val="00190143"/>
    <w:rsid w:val="00190150"/>
    <w:rsid w:val="00190601"/>
    <w:rsid w:val="00190DE6"/>
    <w:rsid w:val="00191207"/>
    <w:rsid w:val="001920BC"/>
    <w:rsid w:val="001922F9"/>
    <w:rsid w:val="001924C7"/>
    <w:rsid w:val="001925F6"/>
    <w:rsid w:val="001938F8"/>
    <w:rsid w:val="00193A1F"/>
    <w:rsid w:val="00193CB4"/>
    <w:rsid w:val="00193E16"/>
    <w:rsid w:val="0019412D"/>
    <w:rsid w:val="00194368"/>
    <w:rsid w:val="001948C8"/>
    <w:rsid w:val="00194B2D"/>
    <w:rsid w:val="00194D2A"/>
    <w:rsid w:val="00194D58"/>
    <w:rsid w:val="00195147"/>
    <w:rsid w:val="00195243"/>
    <w:rsid w:val="001958DE"/>
    <w:rsid w:val="00195B12"/>
    <w:rsid w:val="00195D8E"/>
    <w:rsid w:val="0019631C"/>
    <w:rsid w:val="00196540"/>
    <w:rsid w:val="00196A48"/>
    <w:rsid w:val="00196A5A"/>
    <w:rsid w:val="00196B69"/>
    <w:rsid w:val="00196F8E"/>
    <w:rsid w:val="0019715D"/>
    <w:rsid w:val="001A016E"/>
    <w:rsid w:val="001A0397"/>
    <w:rsid w:val="001A03F1"/>
    <w:rsid w:val="001A042D"/>
    <w:rsid w:val="001A0868"/>
    <w:rsid w:val="001A10B5"/>
    <w:rsid w:val="001A1672"/>
    <w:rsid w:val="001A16A7"/>
    <w:rsid w:val="001A1B6C"/>
    <w:rsid w:val="001A2AD7"/>
    <w:rsid w:val="001A2B36"/>
    <w:rsid w:val="001A323C"/>
    <w:rsid w:val="001A34C5"/>
    <w:rsid w:val="001A38D6"/>
    <w:rsid w:val="001A3A7E"/>
    <w:rsid w:val="001A41E1"/>
    <w:rsid w:val="001A4217"/>
    <w:rsid w:val="001A4EA4"/>
    <w:rsid w:val="001A51C7"/>
    <w:rsid w:val="001A51DE"/>
    <w:rsid w:val="001A57C6"/>
    <w:rsid w:val="001A587C"/>
    <w:rsid w:val="001A591B"/>
    <w:rsid w:val="001A599D"/>
    <w:rsid w:val="001A6008"/>
    <w:rsid w:val="001A6179"/>
    <w:rsid w:val="001A653D"/>
    <w:rsid w:val="001A664F"/>
    <w:rsid w:val="001A73B5"/>
    <w:rsid w:val="001A7592"/>
    <w:rsid w:val="001A7795"/>
    <w:rsid w:val="001B02B5"/>
    <w:rsid w:val="001B0358"/>
    <w:rsid w:val="001B050C"/>
    <w:rsid w:val="001B08D4"/>
    <w:rsid w:val="001B08FB"/>
    <w:rsid w:val="001B0F17"/>
    <w:rsid w:val="001B1015"/>
    <w:rsid w:val="001B10D8"/>
    <w:rsid w:val="001B10F9"/>
    <w:rsid w:val="001B1347"/>
    <w:rsid w:val="001B16C6"/>
    <w:rsid w:val="001B187D"/>
    <w:rsid w:val="001B1B84"/>
    <w:rsid w:val="001B1FC1"/>
    <w:rsid w:val="001B1FCD"/>
    <w:rsid w:val="001B2085"/>
    <w:rsid w:val="001B2A0D"/>
    <w:rsid w:val="001B2A4E"/>
    <w:rsid w:val="001B2AAA"/>
    <w:rsid w:val="001B2DB7"/>
    <w:rsid w:val="001B33B8"/>
    <w:rsid w:val="001B34D9"/>
    <w:rsid w:val="001B3987"/>
    <w:rsid w:val="001B3A9F"/>
    <w:rsid w:val="001B3E5F"/>
    <w:rsid w:val="001B40B5"/>
    <w:rsid w:val="001B42C0"/>
    <w:rsid w:val="001B43F7"/>
    <w:rsid w:val="001B480C"/>
    <w:rsid w:val="001B4D95"/>
    <w:rsid w:val="001B5815"/>
    <w:rsid w:val="001B5854"/>
    <w:rsid w:val="001B685F"/>
    <w:rsid w:val="001B6B7F"/>
    <w:rsid w:val="001B6C25"/>
    <w:rsid w:val="001B6E4D"/>
    <w:rsid w:val="001B6F51"/>
    <w:rsid w:val="001B7711"/>
    <w:rsid w:val="001B7E92"/>
    <w:rsid w:val="001C0107"/>
    <w:rsid w:val="001C032F"/>
    <w:rsid w:val="001C0DE3"/>
    <w:rsid w:val="001C0F49"/>
    <w:rsid w:val="001C12D0"/>
    <w:rsid w:val="001C13F8"/>
    <w:rsid w:val="001C1429"/>
    <w:rsid w:val="001C144D"/>
    <w:rsid w:val="001C2022"/>
    <w:rsid w:val="001C229E"/>
    <w:rsid w:val="001C29C3"/>
    <w:rsid w:val="001C2B63"/>
    <w:rsid w:val="001C2D6B"/>
    <w:rsid w:val="001C3119"/>
    <w:rsid w:val="001C3423"/>
    <w:rsid w:val="001C342F"/>
    <w:rsid w:val="001C35F9"/>
    <w:rsid w:val="001C3915"/>
    <w:rsid w:val="001C3F96"/>
    <w:rsid w:val="001C414A"/>
    <w:rsid w:val="001C4282"/>
    <w:rsid w:val="001C4D1F"/>
    <w:rsid w:val="001C54B1"/>
    <w:rsid w:val="001C5503"/>
    <w:rsid w:val="001C6494"/>
    <w:rsid w:val="001C65C7"/>
    <w:rsid w:val="001C678D"/>
    <w:rsid w:val="001C69AA"/>
    <w:rsid w:val="001C6F82"/>
    <w:rsid w:val="001C79FE"/>
    <w:rsid w:val="001C7FEB"/>
    <w:rsid w:val="001D09A3"/>
    <w:rsid w:val="001D0C02"/>
    <w:rsid w:val="001D0E1B"/>
    <w:rsid w:val="001D105D"/>
    <w:rsid w:val="001D1263"/>
    <w:rsid w:val="001D1375"/>
    <w:rsid w:val="001D14E9"/>
    <w:rsid w:val="001D1909"/>
    <w:rsid w:val="001D198A"/>
    <w:rsid w:val="001D1A65"/>
    <w:rsid w:val="001D1D21"/>
    <w:rsid w:val="001D1D2B"/>
    <w:rsid w:val="001D2270"/>
    <w:rsid w:val="001D23AD"/>
    <w:rsid w:val="001D2878"/>
    <w:rsid w:val="001D30C3"/>
    <w:rsid w:val="001D399E"/>
    <w:rsid w:val="001D3A68"/>
    <w:rsid w:val="001D3AF3"/>
    <w:rsid w:val="001D3B83"/>
    <w:rsid w:val="001D3D43"/>
    <w:rsid w:val="001D3FE4"/>
    <w:rsid w:val="001D44BF"/>
    <w:rsid w:val="001D44C4"/>
    <w:rsid w:val="001D4520"/>
    <w:rsid w:val="001D4CFD"/>
    <w:rsid w:val="001D51A6"/>
    <w:rsid w:val="001D523D"/>
    <w:rsid w:val="001D565A"/>
    <w:rsid w:val="001D57E8"/>
    <w:rsid w:val="001D5843"/>
    <w:rsid w:val="001D6408"/>
    <w:rsid w:val="001D6FE8"/>
    <w:rsid w:val="001D71BF"/>
    <w:rsid w:val="001D7714"/>
    <w:rsid w:val="001E0485"/>
    <w:rsid w:val="001E066D"/>
    <w:rsid w:val="001E084F"/>
    <w:rsid w:val="001E0DAB"/>
    <w:rsid w:val="001E0F51"/>
    <w:rsid w:val="001E1A4A"/>
    <w:rsid w:val="001E1DD0"/>
    <w:rsid w:val="001E20A1"/>
    <w:rsid w:val="001E25CC"/>
    <w:rsid w:val="001E2675"/>
    <w:rsid w:val="001E2CEE"/>
    <w:rsid w:val="001E33B8"/>
    <w:rsid w:val="001E3AAA"/>
    <w:rsid w:val="001E3AAD"/>
    <w:rsid w:val="001E3D7E"/>
    <w:rsid w:val="001E494A"/>
    <w:rsid w:val="001E513D"/>
    <w:rsid w:val="001E51B8"/>
    <w:rsid w:val="001E55BF"/>
    <w:rsid w:val="001E56F6"/>
    <w:rsid w:val="001E5856"/>
    <w:rsid w:val="001E58AE"/>
    <w:rsid w:val="001E5939"/>
    <w:rsid w:val="001E5E9F"/>
    <w:rsid w:val="001E6574"/>
    <w:rsid w:val="001E6D1A"/>
    <w:rsid w:val="001E6F0C"/>
    <w:rsid w:val="001E72BF"/>
    <w:rsid w:val="001E771A"/>
    <w:rsid w:val="001E7798"/>
    <w:rsid w:val="001E7C86"/>
    <w:rsid w:val="001E7F7C"/>
    <w:rsid w:val="001F0579"/>
    <w:rsid w:val="001F069A"/>
    <w:rsid w:val="001F156D"/>
    <w:rsid w:val="001F1629"/>
    <w:rsid w:val="001F2949"/>
    <w:rsid w:val="001F2B11"/>
    <w:rsid w:val="001F2B24"/>
    <w:rsid w:val="001F2CDC"/>
    <w:rsid w:val="001F2D18"/>
    <w:rsid w:val="001F2D80"/>
    <w:rsid w:val="001F2FAC"/>
    <w:rsid w:val="001F356F"/>
    <w:rsid w:val="001F45AA"/>
    <w:rsid w:val="001F47FD"/>
    <w:rsid w:val="001F48A9"/>
    <w:rsid w:val="001F4CE9"/>
    <w:rsid w:val="001F4E91"/>
    <w:rsid w:val="001F5504"/>
    <w:rsid w:val="001F55C3"/>
    <w:rsid w:val="001F57CE"/>
    <w:rsid w:val="001F5886"/>
    <w:rsid w:val="001F5B60"/>
    <w:rsid w:val="001F6DAF"/>
    <w:rsid w:val="001F6E1A"/>
    <w:rsid w:val="001F6E6A"/>
    <w:rsid w:val="001F7011"/>
    <w:rsid w:val="001F780A"/>
    <w:rsid w:val="001F7917"/>
    <w:rsid w:val="001F7BDA"/>
    <w:rsid w:val="001F7D20"/>
    <w:rsid w:val="001F7E31"/>
    <w:rsid w:val="001F7F50"/>
    <w:rsid w:val="002000EC"/>
    <w:rsid w:val="00200613"/>
    <w:rsid w:val="0020083B"/>
    <w:rsid w:val="00200ADF"/>
    <w:rsid w:val="00200D36"/>
    <w:rsid w:val="00200DB9"/>
    <w:rsid w:val="00200EE6"/>
    <w:rsid w:val="00201108"/>
    <w:rsid w:val="00201151"/>
    <w:rsid w:val="002012AF"/>
    <w:rsid w:val="0020137B"/>
    <w:rsid w:val="00201AF2"/>
    <w:rsid w:val="00201CEB"/>
    <w:rsid w:val="00201F64"/>
    <w:rsid w:val="00201FBD"/>
    <w:rsid w:val="00202024"/>
    <w:rsid w:val="00202103"/>
    <w:rsid w:val="0020247D"/>
    <w:rsid w:val="00202525"/>
    <w:rsid w:val="00202C5C"/>
    <w:rsid w:val="0020303E"/>
    <w:rsid w:val="00203745"/>
    <w:rsid w:val="00203E35"/>
    <w:rsid w:val="00203EDF"/>
    <w:rsid w:val="002048AE"/>
    <w:rsid w:val="00204939"/>
    <w:rsid w:val="00204C25"/>
    <w:rsid w:val="002050F0"/>
    <w:rsid w:val="002051DD"/>
    <w:rsid w:val="002055D2"/>
    <w:rsid w:val="00205CCF"/>
    <w:rsid w:val="00205FC8"/>
    <w:rsid w:val="0020669D"/>
    <w:rsid w:val="002068A6"/>
    <w:rsid w:val="00206C79"/>
    <w:rsid w:val="00206FAE"/>
    <w:rsid w:val="0021042B"/>
    <w:rsid w:val="0021047A"/>
    <w:rsid w:val="00210886"/>
    <w:rsid w:val="002109FE"/>
    <w:rsid w:val="00210C99"/>
    <w:rsid w:val="00210EB9"/>
    <w:rsid w:val="00211156"/>
    <w:rsid w:val="0021178A"/>
    <w:rsid w:val="00211AE2"/>
    <w:rsid w:val="00211C95"/>
    <w:rsid w:val="0021201F"/>
    <w:rsid w:val="00212634"/>
    <w:rsid w:val="002133AE"/>
    <w:rsid w:val="00213892"/>
    <w:rsid w:val="002139E1"/>
    <w:rsid w:val="00213F97"/>
    <w:rsid w:val="00214883"/>
    <w:rsid w:val="00214FBB"/>
    <w:rsid w:val="002152DB"/>
    <w:rsid w:val="002154F2"/>
    <w:rsid w:val="00215AB2"/>
    <w:rsid w:val="00215E1E"/>
    <w:rsid w:val="00215F97"/>
    <w:rsid w:val="00215F99"/>
    <w:rsid w:val="0021635F"/>
    <w:rsid w:val="002166BE"/>
    <w:rsid w:val="00216AE2"/>
    <w:rsid w:val="00216D48"/>
    <w:rsid w:val="00216E84"/>
    <w:rsid w:val="00216FFC"/>
    <w:rsid w:val="002175B3"/>
    <w:rsid w:val="002179E7"/>
    <w:rsid w:val="00217AD6"/>
    <w:rsid w:val="00217E47"/>
    <w:rsid w:val="002200B3"/>
    <w:rsid w:val="00220510"/>
    <w:rsid w:val="00220550"/>
    <w:rsid w:val="0022119F"/>
    <w:rsid w:val="00221553"/>
    <w:rsid w:val="002215FC"/>
    <w:rsid w:val="002216D7"/>
    <w:rsid w:val="002216FF"/>
    <w:rsid w:val="00221C92"/>
    <w:rsid w:val="00222A69"/>
    <w:rsid w:val="00222F44"/>
    <w:rsid w:val="002233FD"/>
    <w:rsid w:val="0022395D"/>
    <w:rsid w:val="00223B59"/>
    <w:rsid w:val="00223E92"/>
    <w:rsid w:val="00224165"/>
    <w:rsid w:val="002241A0"/>
    <w:rsid w:val="00224231"/>
    <w:rsid w:val="002245E1"/>
    <w:rsid w:val="002248B4"/>
    <w:rsid w:val="00224905"/>
    <w:rsid w:val="00224E9D"/>
    <w:rsid w:val="002250C9"/>
    <w:rsid w:val="00225187"/>
    <w:rsid w:val="00225440"/>
    <w:rsid w:val="0022566C"/>
    <w:rsid w:val="002261FB"/>
    <w:rsid w:val="002262B4"/>
    <w:rsid w:val="00226715"/>
    <w:rsid w:val="0022675D"/>
    <w:rsid w:val="00226B09"/>
    <w:rsid w:val="00227247"/>
    <w:rsid w:val="002273C1"/>
    <w:rsid w:val="002278B9"/>
    <w:rsid w:val="00227973"/>
    <w:rsid w:val="002279E8"/>
    <w:rsid w:val="00227AC0"/>
    <w:rsid w:val="0023000B"/>
    <w:rsid w:val="002301A2"/>
    <w:rsid w:val="002303B0"/>
    <w:rsid w:val="002305F8"/>
    <w:rsid w:val="002306D9"/>
    <w:rsid w:val="00230B24"/>
    <w:rsid w:val="00230D29"/>
    <w:rsid w:val="00230E6D"/>
    <w:rsid w:val="002311D7"/>
    <w:rsid w:val="002319DF"/>
    <w:rsid w:val="00231E3C"/>
    <w:rsid w:val="00231E61"/>
    <w:rsid w:val="00231EE0"/>
    <w:rsid w:val="002322AF"/>
    <w:rsid w:val="002324D6"/>
    <w:rsid w:val="002325E0"/>
    <w:rsid w:val="0023337A"/>
    <w:rsid w:val="0023346B"/>
    <w:rsid w:val="00233B5E"/>
    <w:rsid w:val="00234488"/>
    <w:rsid w:val="00234550"/>
    <w:rsid w:val="002345C1"/>
    <w:rsid w:val="0023468D"/>
    <w:rsid w:val="00234816"/>
    <w:rsid w:val="00235146"/>
    <w:rsid w:val="002354FB"/>
    <w:rsid w:val="00235C3D"/>
    <w:rsid w:val="00235DEF"/>
    <w:rsid w:val="00236256"/>
    <w:rsid w:val="0023665E"/>
    <w:rsid w:val="002366EB"/>
    <w:rsid w:val="00236BF2"/>
    <w:rsid w:val="00236C2D"/>
    <w:rsid w:val="00236D6A"/>
    <w:rsid w:val="00236F88"/>
    <w:rsid w:val="002374B7"/>
    <w:rsid w:val="002374C0"/>
    <w:rsid w:val="00237ACA"/>
    <w:rsid w:val="00237C34"/>
    <w:rsid w:val="00237C69"/>
    <w:rsid w:val="00240126"/>
    <w:rsid w:val="00240EE1"/>
    <w:rsid w:val="0024105D"/>
    <w:rsid w:val="0024116B"/>
    <w:rsid w:val="00241199"/>
    <w:rsid w:val="00241D17"/>
    <w:rsid w:val="00241FCC"/>
    <w:rsid w:val="00241FEB"/>
    <w:rsid w:val="00242384"/>
    <w:rsid w:val="002426A1"/>
    <w:rsid w:val="00242A20"/>
    <w:rsid w:val="00242B37"/>
    <w:rsid w:val="0024304D"/>
    <w:rsid w:val="00243248"/>
    <w:rsid w:val="00243A23"/>
    <w:rsid w:val="00243C78"/>
    <w:rsid w:val="00243D7F"/>
    <w:rsid w:val="002442B4"/>
    <w:rsid w:val="002443CC"/>
    <w:rsid w:val="00244671"/>
    <w:rsid w:val="00244715"/>
    <w:rsid w:val="00244826"/>
    <w:rsid w:val="00245345"/>
    <w:rsid w:val="00245507"/>
    <w:rsid w:val="002457C1"/>
    <w:rsid w:val="00245C44"/>
    <w:rsid w:val="0024606D"/>
    <w:rsid w:val="0024622C"/>
    <w:rsid w:val="00246A0D"/>
    <w:rsid w:val="00246DCB"/>
    <w:rsid w:val="002473D8"/>
    <w:rsid w:val="00247683"/>
    <w:rsid w:val="002477CF"/>
    <w:rsid w:val="002477EB"/>
    <w:rsid w:val="00247A5D"/>
    <w:rsid w:val="00247ACA"/>
    <w:rsid w:val="00247BAE"/>
    <w:rsid w:val="002506FB"/>
    <w:rsid w:val="00250B11"/>
    <w:rsid w:val="00250FDD"/>
    <w:rsid w:val="00251126"/>
    <w:rsid w:val="002511BC"/>
    <w:rsid w:val="002517F4"/>
    <w:rsid w:val="0025186B"/>
    <w:rsid w:val="00251A6B"/>
    <w:rsid w:val="002520C2"/>
    <w:rsid w:val="00252E6A"/>
    <w:rsid w:val="00252EEC"/>
    <w:rsid w:val="002535EE"/>
    <w:rsid w:val="0025395F"/>
    <w:rsid w:val="00254877"/>
    <w:rsid w:val="00254E2D"/>
    <w:rsid w:val="002552D4"/>
    <w:rsid w:val="002554EE"/>
    <w:rsid w:val="00255771"/>
    <w:rsid w:val="002557E0"/>
    <w:rsid w:val="00255A20"/>
    <w:rsid w:val="00256B55"/>
    <w:rsid w:val="00256EC8"/>
    <w:rsid w:val="002575C5"/>
    <w:rsid w:val="002576D4"/>
    <w:rsid w:val="0025782A"/>
    <w:rsid w:val="0026002E"/>
    <w:rsid w:val="00260773"/>
    <w:rsid w:val="00260804"/>
    <w:rsid w:val="00260C79"/>
    <w:rsid w:val="00260FCF"/>
    <w:rsid w:val="002619FF"/>
    <w:rsid w:val="00261D0C"/>
    <w:rsid w:val="00261D19"/>
    <w:rsid w:val="00261D85"/>
    <w:rsid w:val="0026243F"/>
    <w:rsid w:val="0026257A"/>
    <w:rsid w:val="00262AA1"/>
    <w:rsid w:val="00263414"/>
    <w:rsid w:val="0026367E"/>
    <w:rsid w:val="00263CC2"/>
    <w:rsid w:val="00263CFC"/>
    <w:rsid w:val="002641B3"/>
    <w:rsid w:val="0026466E"/>
    <w:rsid w:val="00265483"/>
    <w:rsid w:val="002655B0"/>
    <w:rsid w:val="002656F3"/>
    <w:rsid w:val="00265D28"/>
    <w:rsid w:val="002661A6"/>
    <w:rsid w:val="002662FB"/>
    <w:rsid w:val="002663C7"/>
    <w:rsid w:val="002663D3"/>
    <w:rsid w:val="00266730"/>
    <w:rsid w:val="00266997"/>
    <w:rsid w:val="00266A56"/>
    <w:rsid w:val="00266C23"/>
    <w:rsid w:val="00266DCC"/>
    <w:rsid w:val="00266DF8"/>
    <w:rsid w:val="00266F54"/>
    <w:rsid w:val="00267090"/>
    <w:rsid w:val="00267123"/>
    <w:rsid w:val="00267370"/>
    <w:rsid w:val="00267792"/>
    <w:rsid w:val="00267CBC"/>
    <w:rsid w:val="00267CFA"/>
    <w:rsid w:val="00270168"/>
    <w:rsid w:val="00270259"/>
    <w:rsid w:val="002703A2"/>
    <w:rsid w:val="00270606"/>
    <w:rsid w:val="002708C6"/>
    <w:rsid w:val="00270A09"/>
    <w:rsid w:val="002712F3"/>
    <w:rsid w:val="002714E6"/>
    <w:rsid w:val="0027194D"/>
    <w:rsid w:val="00271991"/>
    <w:rsid w:val="00271C5E"/>
    <w:rsid w:val="002722FE"/>
    <w:rsid w:val="002725BB"/>
    <w:rsid w:val="00272934"/>
    <w:rsid w:val="002729BD"/>
    <w:rsid w:val="002734DE"/>
    <w:rsid w:val="002739EA"/>
    <w:rsid w:val="00273B2E"/>
    <w:rsid w:val="00273D10"/>
    <w:rsid w:val="00273E5A"/>
    <w:rsid w:val="00274017"/>
    <w:rsid w:val="002742EC"/>
    <w:rsid w:val="0027444A"/>
    <w:rsid w:val="00274695"/>
    <w:rsid w:val="00274EB6"/>
    <w:rsid w:val="00274F43"/>
    <w:rsid w:val="00275465"/>
    <w:rsid w:val="00275727"/>
    <w:rsid w:val="00275A7B"/>
    <w:rsid w:val="002762AD"/>
    <w:rsid w:val="002767E2"/>
    <w:rsid w:val="00276EF7"/>
    <w:rsid w:val="00276FAC"/>
    <w:rsid w:val="0027709F"/>
    <w:rsid w:val="00277653"/>
    <w:rsid w:val="00277D6C"/>
    <w:rsid w:val="0028021B"/>
    <w:rsid w:val="002804CB"/>
    <w:rsid w:val="0028051D"/>
    <w:rsid w:val="00280B2E"/>
    <w:rsid w:val="00280F39"/>
    <w:rsid w:val="00281555"/>
    <w:rsid w:val="00281D7E"/>
    <w:rsid w:val="002821E8"/>
    <w:rsid w:val="00282218"/>
    <w:rsid w:val="0028227A"/>
    <w:rsid w:val="002823F4"/>
    <w:rsid w:val="00282E54"/>
    <w:rsid w:val="00283192"/>
    <w:rsid w:val="00283320"/>
    <w:rsid w:val="002836BE"/>
    <w:rsid w:val="00283AD9"/>
    <w:rsid w:val="00283DF4"/>
    <w:rsid w:val="00283DF5"/>
    <w:rsid w:val="00283F1B"/>
    <w:rsid w:val="00284791"/>
    <w:rsid w:val="00284796"/>
    <w:rsid w:val="00285745"/>
    <w:rsid w:val="00285C24"/>
    <w:rsid w:val="00285E3A"/>
    <w:rsid w:val="002861EA"/>
    <w:rsid w:val="00286C93"/>
    <w:rsid w:val="00286CCF"/>
    <w:rsid w:val="00286E03"/>
    <w:rsid w:val="00286EAD"/>
    <w:rsid w:val="00287171"/>
    <w:rsid w:val="00287396"/>
    <w:rsid w:val="002875D9"/>
    <w:rsid w:val="002876F2"/>
    <w:rsid w:val="00287FB5"/>
    <w:rsid w:val="00290277"/>
    <w:rsid w:val="00290828"/>
    <w:rsid w:val="00290AA4"/>
    <w:rsid w:val="00291278"/>
    <w:rsid w:val="002913C4"/>
    <w:rsid w:val="00291402"/>
    <w:rsid w:val="00291845"/>
    <w:rsid w:val="00291A18"/>
    <w:rsid w:val="00291AE7"/>
    <w:rsid w:val="00291F9A"/>
    <w:rsid w:val="00292073"/>
    <w:rsid w:val="0029240E"/>
    <w:rsid w:val="00292782"/>
    <w:rsid w:val="002927BA"/>
    <w:rsid w:val="00292813"/>
    <w:rsid w:val="00292D79"/>
    <w:rsid w:val="002930E4"/>
    <w:rsid w:val="00293340"/>
    <w:rsid w:val="0029389B"/>
    <w:rsid w:val="002938AA"/>
    <w:rsid w:val="00293DB2"/>
    <w:rsid w:val="00294288"/>
    <w:rsid w:val="002944F2"/>
    <w:rsid w:val="00294A40"/>
    <w:rsid w:val="00294DFF"/>
    <w:rsid w:val="0029525B"/>
    <w:rsid w:val="0029527D"/>
    <w:rsid w:val="0029532F"/>
    <w:rsid w:val="00295BDA"/>
    <w:rsid w:val="00296124"/>
    <w:rsid w:val="00296163"/>
    <w:rsid w:val="002961C5"/>
    <w:rsid w:val="00296215"/>
    <w:rsid w:val="00296233"/>
    <w:rsid w:val="002964CD"/>
    <w:rsid w:val="00296B4F"/>
    <w:rsid w:val="00296F9E"/>
    <w:rsid w:val="00297523"/>
    <w:rsid w:val="002977BF"/>
    <w:rsid w:val="002A0324"/>
    <w:rsid w:val="002A0451"/>
    <w:rsid w:val="002A0EFD"/>
    <w:rsid w:val="002A13D7"/>
    <w:rsid w:val="002A15AA"/>
    <w:rsid w:val="002A1818"/>
    <w:rsid w:val="002A1854"/>
    <w:rsid w:val="002A1894"/>
    <w:rsid w:val="002A1991"/>
    <w:rsid w:val="002A2188"/>
    <w:rsid w:val="002A2940"/>
    <w:rsid w:val="002A2A5C"/>
    <w:rsid w:val="002A2A72"/>
    <w:rsid w:val="002A2B00"/>
    <w:rsid w:val="002A3272"/>
    <w:rsid w:val="002A36F2"/>
    <w:rsid w:val="002A4CD5"/>
    <w:rsid w:val="002A4D6A"/>
    <w:rsid w:val="002A5119"/>
    <w:rsid w:val="002A512E"/>
    <w:rsid w:val="002A517F"/>
    <w:rsid w:val="002A5A73"/>
    <w:rsid w:val="002A5CAC"/>
    <w:rsid w:val="002A641A"/>
    <w:rsid w:val="002A6648"/>
    <w:rsid w:val="002A6896"/>
    <w:rsid w:val="002A6F82"/>
    <w:rsid w:val="002A72D3"/>
    <w:rsid w:val="002A730F"/>
    <w:rsid w:val="002A7D14"/>
    <w:rsid w:val="002A7D73"/>
    <w:rsid w:val="002A7EB6"/>
    <w:rsid w:val="002B0144"/>
    <w:rsid w:val="002B0690"/>
    <w:rsid w:val="002B0913"/>
    <w:rsid w:val="002B0C25"/>
    <w:rsid w:val="002B0C42"/>
    <w:rsid w:val="002B10BE"/>
    <w:rsid w:val="002B1636"/>
    <w:rsid w:val="002B1902"/>
    <w:rsid w:val="002B1BD5"/>
    <w:rsid w:val="002B1EEB"/>
    <w:rsid w:val="002B1F7B"/>
    <w:rsid w:val="002B28E4"/>
    <w:rsid w:val="002B2957"/>
    <w:rsid w:val="002B2EDA"/>
    <w:rsid w:val="002B35FF"/>
    <w:rsid w:val="002B3603"/>
    <w:rsid w:val="002B3819"/>
    <w:rsid w:val="002B3B70"/>
    <w:rsid w:val="002B3C4E"/>
    <w:rsid w:val="002B3C7D"/>
    <w:rsid w:val="002B3CBA"/>
    <w:rsid w:val="002B4491"/>
    <w:rsid w:val="002B452A"/>
    <w:rsid w:val="002B4565"/>
    <w:rsid w:val="002B4C6E"/>
    <w:rsid w:val="002B5B43"/>
    <w:rsid w:val="002B60BD"/>
    <w:rsid w:val="002B6364"/>
    <w:rsid w:val="002B646E"/>
    <w:rsid w:val="002B6AE4"/>
    <w:rsid w:val="002B6C38"/>
    <w:rsid w:val="002B71ED"/>
    <w:rsid w:val="002B71F2"/>
    <w:rsid w:val="002B7504"/>
    <w:rsid w:val="002B760A"/>
    <w:rsid w:val="002B7911"/>
    <w:rsid w:val="002B7ADF"/>
    <w:rsid w:val="002B7F75"/>
    <w:rsid w:val="002C0001"/>
    <w:rsid w:val="002C0071"/>
    <w:rsid w:val="002C0781"/>
    <w:rsid w:val="002C0AF4"/>
    <w:rsid w:val="002C0D97"/>
    <w:rsid w:val="002C0EC4"/>
    <w:rsid w:val="002C0FB7"/>
    <w:rsid w:val="002C1080"/>
    <w:rsid w:val="002C10D6"/>
    <w:rsid w:val="002C14D7"/>
    <w:rsid w:val="002C18DF"/>
    <w:rsid w:val="002C1B44"/>
    <w:rsid w:val="002C1FEA"/>
    <w:rsid w:val="002C20D6"/>
    <w:rsid w:val="002C22B1"/>
    <w:rsid w:val="002C247A"/>
    <w:rsid w:val="002C25F8"/>
    <w:rsid w:val="002C29C0"/>
    <w:rsid w:val="002C2C64"/>
    <w:rsid w:val="002C2EB6"/>
    <w:rsid w:val="002C3B45"/>
    <w:rsid w:val="002C3DF7"/>
    <w:rsid w:val="002C3ECE"/>
    <w:rsid w:val="002C3F2D"/>
    <w:rsid w:val="002C4097"/>
    <w:rsid w:val="002C4F4A"/>
    <w:rsid w:val="002C5189"/>
    <w:rsid w:val="002C56CE"/>
    <w:rsid w:val="002C57CB"/>
    <w:rsid w:val="002C5936"/>
    <w:rsid w:val="002C5BEA"/>
    <w:rsid w:val="002C6176"/>
    <w:rsid w:val="002C6199"/>
    <w:rsid w:val="002C64E3"/>
    <w:rsid w:val="002C6564"/>
    <w:rsid w:val="002C66D1"/>
    <w:rsid w:val="002C6EDA"/>
    <w:rsid w:val="002C7065"/>
    <w:rsid w:val="002C7140"/>
    <w:rsid w:val="002C762B"/>
    <w:rsid w:val="002C791D"/>
    <w:rsid w:val="002C7B6C"/>
    <w:rsid w:val="002C7F4A"/>
    <w:rsid w:val="002D01E0"/>
    <w:rsid w:val="002D031D"/>
    <w:rsid w:val="002D06BF"/>
    <w:rsid w:val="002D06D5"/>
    <w:rsid w:val="002D06D9"/>
    <w:rsid w:val="002D09B4"/>
    <w:rsid w:val="002D09D7"/>
    <w:rsid w:val="002D0E24"/>
    <w:rsid w:val="002D0E78"/>
    <w:rsid w:val="002D0FB3"/>
    <w:rsid w:val="002D1061"/>
    <w:rsid w:val="002D1266"/>
    <w:rsid w:val="002D14A9"/>
    <w:rsid w:val="002D1AE4"/>
    <w:rsid w:val="002D1C51"/>
    <w:rsid w:val="002D1F8C"/>
    <w:rsid w:val="002D239D"/>
    <w:rsid w:val="002D23D2"/>
    <w:rsid w:val="002D2506"/>
    <w:rsid w:val="002D2804"/>
    <w:rsid w:val="002D2A29"/>
    <w:rsid w:val="002D2AEB"/>
    <w:rsid w:val="002D2B8B"/>
    <w:rsid w:val="002D307C"/>
    <w:rsid w:val="002D346D"/>
    <w:rsid w:val="002D3A1C"/>
    <w:rsid w:val="002D3B6F"/>
    <w:rsid w:val="002D3DA4"/>
    <w:rsid w:val="002D403F"/>
    <w:rsid w:val="002D414F"/>
    <w:rsid w:val="002D45DB"/>
    <w:rsid w:val="002D464B"/>
    <w:rsid w:val="002D4832"/>
    <w:rsid w:val="002D4B6C"/>
    <w:rsid w:val="002D4E9D"/>
    <w:rsid w:val="002D4FD5"/>
    <w:rsid w:val="002D517C"/>
    <w:rsid w:val="002D5274"/>
    <w:rsid w:val="002D547C"/>
    <w:rsid w:val="002D5694"/>
    <w:rsid w:val="002D56F6"/>
    <w:rsid w:val="002D690B"/>
    <w:rsid w:val="002D6BF7"/>
    <w:rsid w:val="002D711D"/>
    <w:rsid w:val="002D71CF"/>
    <w:rsid w:val="002D71FA"/>
    <w:rsid w:val="002D7241"/>
    <w:rsid w:val="002D72D3"/>
    <w:rsid w:val="002D7437"/>
    <w:rsid w:val="002D77BC"/>
    <w:rsid w:val="002D7E78"/>
    <w:rsid w:val="002E0041"/>
    <w:rsid w:val="002E0231"/>
    <w:rsid w:val="002E02B2"/>
    <w:rsid w:val="002E10FA"/>
    <w:rsid w:val="002E167F"/>
    <w:rsid w:val="002E1A51"/>
    <w:rsid w:val="002E1EB2"/>
    <w:rsid w:val="002E20DF"/>
    <w:rsid w:val="002E231F"/>
    <w:rsid w:val="002E252E"/>
    <w:rsid w:val="002E25B9"/>
    <w:rsid w:val="002E2B76"/>
    <w:rsid w:val="002E2EF6"/>
    <w:rsid w:val="002E371B"/>
    <w:rsid w:val="002E3A9B"/>
    <w:rsid w:val="002E3BA4"/>
    <w:rsid w:val="002E44AF"/>
    <w:rsid w:val="002E4778"/>
    <w:rsid w:val="002E4D43"/>
    <w:rsid w:val="002E5104"/>
    <w:rsid w:val="002E56BE"/>
    <w:rsid w:val="002E5857"/>
    <w:rsid w:val="002E5E82"/>
    <w:rsid w:val="002E6221"/>
    <w:rsid w:val="002E646E"/>
    <w:rsid w:val="002E67FE"/>
    <w:rsid w:val="002E75E0"/>
    <w:rsid w:val="002E789D"/>
    <w:rsid w:val="002E79AB"/>
    <w:rsid w:val="002E7B2C"/>
    <w:rsid w:val="002E7FFB"/>
    <w:rsid w:val="002F0135"/>
    <w:rsid w:val="002F086A"/>
    <w:rsid w:val="002F0C2C"/>
    <w:rsid w:val="002F11B7"/>
    <w:rsid w:val="002F17FA"/>
    <w:rsid w:val="002F1A37"/>
    <w:rsid w:val="002F1B38"/>
    <w:rsid w:val="002F1E59"/>
    <w:rsid w:val="002F256A"/>
    <w:rsid w:val="002F27C5"/>
    <w:rsid w:val="002F27F8"/>
    <w:rsid w:val="002F2848"/>
    <w:rsid w:val="002F2A27"/>
    <w:rsid w:val="002F2D6B"/>
    <w:rsid w:val="002F3631"/>
    <w:rsid w:val="002F3678"/>
    <w:rsid w:val="002F3A6C"/>
    <w:rsid w:val="002F3D98"/>
    <w:rsid w:val="002F438F"/>
    <w:rsid w:val="002F4590"/>
    <w:rsid w:val="002F47E5"/>
    <w:rsid w:val="002F4876"/>
    <w:rsid w:val="002F51E4"/>
    <w:rsid w:val="002F52C8"/>
    <w:rsid w:val="002F5513"/>
    <w:rsid w:val="002F596E"/>
    <w:rsid w:val="002F609B"/>
    <w:rsid w:val="002F61DB"/>
    <w:rsid w:val="002F6803"/>
    <w:rsid w:val="002F71F7"/>
    <w:rsid w:val="002F7546"/>
    <w:rsid w:val="002F769E"/>
    <w:rsid w:val="002F7928"/>
    <w:rsid w:val="00300484"/>
    <w:rsid w:val="00300655"/>
    <w:rsid w:val="003006A6"/>
    <w:rsid w:val="00300791"/>
    <w:rsid w:val="0030083E"/>
    <w:rsid w:val="003009AF"/>
    <w:rsid w:val="003009C5"/>
    <w:rsid w:val="00301026"/>
    <w:rsid w:val="003011C1"/>
    <w:rsid w:val="00301687"/>
    <w:rsid w:val="003019A6"/>
    <w:rsid w:val="00301A06"/>
    <w:rsid w:val="00301F3E"/>
    <w:rsid w:val="00302010"/>
    <w:rsid w:val="003022FB"/>
    <w:rsid w:val="00302FB7"/>
    <w:rsid w:val="003031AE"/>
    <w:rsid w:val="003031B5"/>
    <w:rsid w:val="00303328"/>
    <w:rsid w:val="003033F6"/>
    <w:rsid w:val="003037E1"/>
    <w:rsid w:val="00303D18"/>
    <w:rsid w:val="00303F69"/>
    <w:rsid w:val="00304CB0"/>
    <w:rsid w:val="003050F4"/>
    <w:rsid w:val="00305181"/>
    <w:rsid w:val="0030663E"/>
    <w:rsid w:val="003068DA"/>
    <w:rsid w:val="003070C5"/>
    <w:rsid w:val="0030741A"/>
    <w:rsid w:val="00307600"/>
    <w:rsid w:val="00307ADD"/>
    <w:rsid w:val="00307CD7"/>
    <w:rsid w:val="00307E48"/>
    <w:rsid w:val="00307E55"/>
    <w:rsid w:val="003100CC"/>
    <w:rsid w:val="003100EF"/>
    <w:rsid w:val="00310A6D"/>
    <w:rsid w:val="00310C03"/>
    <w:rsid w:val="00310E3A"/>
    <w:rsid w:val="00310E9A"/>
    <w:rsid w:val="0031141F"/>
    <w:rsid w:val="00311B1D"/>
    <w:rsid w:val="0031267E"/>
    <w:rsid w:val="003129D1"/>
    <w:rsid w:val="00312A66"/>
    <w:rsid w:val="00312D80"/>
    <w:rsid w:val="00312E26"/>
    <w:rsid w:val="00312E7A"/>
    <w:rsid w:val="003130AF"/>
    <w:rsid w:val="003130CA"/>
    <w:rsid w:val="00313198"/>
    <w:rsid w:val="00313377"/>
    <w:rsid w:val="00313480"/>
    <w:rsid w:val="00313673"/>
    <w:rsid w:val="00313759"/>
    <w:rsid w:val="0031397F"/>
    <w:rsid w:val="00313F26"/>
    <w:rsid w:val="00313FE4"/>
    <w:rsid w:val="00314726"/>
    <w:rsid w:val="00314AAF"/>
    <w:rsid w:val="003151C3"/>
    <w:rsid w:val="00315492"/>
    <w:rsid w:val="003158A8"/>
    <w:rsid w:val="00315900"/>
    <w:rsid w:val="00315C18"/>
    <w:rsid w:val="00315C47"/>
    <w:rsid w:val="00315D42"/>
    <w:rsid w:val="00315D78"/>
    <w:rsid w:val="003165EF"/>
    <w:rsid w:val="00316717"/>
    <w:rsid w:val="00316748"/>
    <w:rsid w:val="00316AAE"/>
    <w:rsid w:val="00316D65"/>
    <w:rsid w:val="00316E43"/>
    <w:rsid w:val="00317428"/>
    <w:rsid w:val="0031770D"/>
    <w:rsid w:val="00317F57"/>
    <w:rsid w:val="00317F6C"/>
    <w:rsid w:val="0032004F"/>
    <w:rsid w:val="003202ED"/>
    <w:rsid w:val="00320477"/>
    <w:rsid w:val="0032054E"/>
    <w:rsid w:val="00320A57"/>
    <w:rsid w:val="00320AE0"/>
    <w:rsid w:val="00320BEE"/>
    <w:rsid w:val="00320DBA"/>
    <w:rsid w:val="003212BB"/>
    <w:rsid w:val="003214D2"/>
    <w:rsid w:val="00321582"/>
    <w:rsid w:val="0032180D"/>
    <w:rsid w:val="00321A7F"/>
    <w:rsid w:val="00321B5C"/>
    <w:rsid w:val="00321E59"/>
    <w:rsid w:val="0032252F"/>
    <w:rsid w:val="00322A26"/>
    <w:rsid w:val="00322F60"/>
    <w:rsid w:val="00322F7D"/>
    <w:rsid w:val="00323065"/>
    <w:rsid w:val="0032312F"/>
    <w:rsid w:val="003232E0"/>
    <w:rsid w:val="003232E1"/>
    <w:rsid w:val="003233E8"/>
    <w:rsid w:val="00323680"/>
    <w:rsid w:val="0032392A"/>
    <w:rsid w:val="003240A3"/>
    <w:rsid w:val="003249CA"/>
    <w:rsid w:val="00325072"/>
    <w:rsid w:val="00325172"/>
    <w:rsid w:val="0032544F"/>
    <w:rsid w:val="003254E1"/>
    <w:rsid w:val="00325548"/>
    <w:rsid w:val="00325996"/>
    <w:rsid w:val="003259C0"/>
    <w:rsid w:val="00325D29"/>
    <w:rsid w:val="0032626E"/>
    <w:rsid w:val="00326B49"/>
    <w:rsid w:val="003275C2"/>
    <w:rsid w:val="0032773E"/>
    <w:rsid w:val="0032799D"/>
    <w:rsid w:val="00327B95"/>
    <w:rsid w:val="00330087"/>
    <w:rsid w:val="003302E8"/>
    <w:rsid w:val="003307B1"/>
    <w:rsid w:val="00330819"/>
    <w:rsid w:val="00330B50"/>
    <w:rsid w:val="00330EDA"/>
    <w:rsid w:val="00330F40"/>
    <w:rsid w:val="003312E6"/>
    <w:rsid w:val="003315B0"/>
    <w:rsid w:val="003320E9"/>
    <w:rsid w:val="003326DF"/>
    <w:rsid w:val="00332909"/>
    <w:rsid w:val="00332DCA"/>
    <w:rsid w:val="00332E2E"/>
    <w:rsid w:val="00333221"/>
    <w:rsid w:val="003332EB"/>
    <w:rsid w:val="003334F1"/>
    <w:rsid w:val="00333567"/>
    <w:rsid w:val="0033377B"/>
    <w:rsid w:val="00333A5B"/>
    <w:rsid w:val="00333CF2"/>
    <w:rsid w:val="00333E15"/>
    <w:rsid w:val="00334725"/>
    <w:rsid w:val="00334BD9"/>
    <w:rsid w:val="00334DB2"/>
    <w:rsid w:val="00335212"/>
    <w:rsid w:val="00335F0C"/>
    <w:rsid w:val="003361AB"/>
    <w:rsid w:val="00336466"/>
    <w:rsid w:val="003365FC"/>
    <w:rsid w:val="00336638"/>
    <w:rsid w:val="003368D4"/>
    <w:rsid w:val="00336A20"/>
    <w:rsid w:val="00336FA2"/>
    <w:rsid w:val="003378E5"/>
    <w:rsid w:val="003379B3"/>
    <w:rsid w:val="00337D6E"/>
    <w:rsid w:val="00340182"/>
    <w:rsid w:val="003401AA"/>
    <w:rsid w:val="003401FA"/>
    <w:rsid w:val="003402CA"/>
    <w:rsid w:val="00341357"/>
    <w:rsid w:val="00341438"/>
    <w:rsid w:val="0034155F"/>
    <w:rsid w:val="00341895"/>
    <w:rsid w:val="00341AF1"/>
    <w:rsid w:val="0034208C"/>
    <w:rsid w:val="003422D6"/>
    <w:rsid w:val="00342396"/>
    <w:rsid w:val="003425FD"/>
    <w:rsid w:val="003429CC"/>
    <w:rsid w:val="00342E84"/>
    <w:rsid w:val="00343244"/>
    <w:rsid w:val="0034361D"/>
    <w:rsid w:val="0034376E"/>
    <w:rsid w:val="00343774"/>
    <w:rsid w:val="0034386C"/>
    <w:rsid w:val="00343B92"/>
    <w:rsid w:val="00343DCB"/>
    <w:rsid w:val="003440D9"/>
    <w:rsid w:val="0034415D"/>
    <w:rsid w:val="00344352"/>
    <w:rsid w:val="00344353"/>
    <w:rsid w:val="00344769"/>
    <w:rsid w:val="00344DC1"/>
    <w:rsid w:val="00344E13"/>
    <w:rsid w:val="00344E8F"/>
    <w:rsid w:val="003451B6"/>
    <w:rsid w:val="0034531F"/>
    <w:rsid w:val="00345A1D"/>
    <w:rsid w:val="00345C0D"/>
    <w:rsid w:val="00345C90"/>
    <w:rsid w:val="00346024"/>
    <w:rsid w:val="00346FA8"/>
    <w:rsid w:val="00347466"/>
    <w:rsid w:val="00347923"/>
    <w:rsid w:val="00347AAC"/>
    <w:rsid w:val="00347AFC"/>
    <w:rsid w:val="00347D61"/>
    <w:rsid w:val="003502D3"/>
    <w:rsid w:val="00350409"/>
    <w:rsid w:val="003507D9"/>
    <w:rsid w:val="00350803"/>
    <w:rsid w:val="003508C2"/>
    <w:rsid w:val="003508F4"/>
    <w:rsid w:val="00350A51"/>
    <w:rsid w:val="00350BEF"/>
    <w:rsid w:val="0035122B"/>
    <w:rsid w:val="0035198F"/>
    <w:rsid w:val="00351E19"/>
    <w:rsid w:val="00352005"/>
    <w:rsid w:val="00352661"/>
    <w:rsid w:val="003528B9"/>
    <w:rsid w:val="003528F0"/>
    <w:rsid w:val="003529E0"/>
    <w:rsid w:val="00352F16"/>
    <w:rsid w:val="0035347D"/>
    <w:rsid w:val="003535CA"/>
    <w:rsid w:val="00354216"/>
    <w:rsid w:val="00354714"/>
    <w:rsid w:val="00354766"/>
    <w:rsid w:val="00354CEF"/>
    <w:rsid w:val="00355223"/>
    <w:rsid w:val="00355941"/>
    <w:rsid w:val="00355D40"/>
    <w:rsid w:val="003560DA"/>
    <w:rsid w:val="0035628C"/>
    <w:rsid w:val="003564D2"/>
    <w:rsid w:val="0035667B"/>
    <w:rsid w:val="0035675E"/>
    <w:rsid w:val="0035676C"/>
    <w:rsid w:val="003569AD"/>
    <w:rsid w:val="00356D84"/>
    <w:rsid w:val="00357192"/>
    <w:rsid w:val="003573EC"/>
    <w:rsid w:val="00357426"/>
    <w:rsid w:val="0035761C"/>
    <w:rsid w:val="00357A61"/>
    <w:rsid w:val="00357EBB"/>
    <w:rsid w:val="00360871"/>
    <w:rsid w:val="00360957"/>
    <w:rsid w:val="00360B07"/>
    <w:rsid w:val="00361058"/>
    <w:rsid w:val="00361435"/>
    <w:rsid w:val="00361760"/>
    <w:rsid w:val="00361A43"/>
    <w:rsid w:val="00361ADF"/>
    <w:rsid w:val="00362100"/>
    <w:rsid w:val="00362355"/>
    <w:rsid w:val="0036294D"/>
    <w:rsid w:val="00362C55"/>
    <w:rsid w:val="0036340A"/>
    <w:rsid w:val="0036342E"/>
    <w:rsid w:val="003640A8"/>
    <w:rsid w:val="003641EB"/>
    <w:rsid w:val="00364CAD"/>
    <w:rsid w:val="003653D8"/>
    <w:rsid w:val="0036544A"/>
    <w:rsid w:val="003654C5"/>
    <w:rsid w:val="00365801"/>
    <w:rsid w:val="00366415"/>
    <w:rsid w:val="0036644E"/>
    <w:rsid w:val="003664ED"/>
    <w:rsid w:val="0036658F"/>
    <w:rsid w:val="00366A70"/>
    <w:rsid w:val="00367231"/>
    <w:rsid w:val="00367DD5"/>
    <w:rsid w:val="003703F8"/>
    <w:rsid w:val="0037040B"/>
    <w:rsid w:val="003704C2"/>
    <w:rsid w:val="0037078E"/>
    <w:rsid w:val="00370876"/>
    <w:rsid w:val="00370B2A"/>
    <w:rsid w:val="00370B9C"/>
    <w:rsid w:val="00370E39"/>
    <w:rsid w:val="003710D2"/>
    <w:rsid w:val="00371169"/>
    <w:rsid w:val="00371180"/>
    <w:rsid w:val="003715B8"/>
    <w:rsid w:val="003715EA"/>
    <w:rsid w:val="003719F8"/>
    <w:rsid w:val="00371AAC"/>
    <w:rsid w:val="00371AEB"/>
    <w:rsid w:val="00371D37"/>
    <w:rsid w:val="00371F54"/>
    <w:rsid w:val="00372071"/>
    <w:rsid w:val="003721AD"/>
    <w:rsid w:val="003723CE"/>
    <w:rsid w:val="003725C9"/>
    <w:rsid w:val="00372CEE"/>
    <w:rsid w:val="00372F0E"/>
    <w:rsid w:val="00373243"/>
    <w:rsid w:val="00373564"/>
    <w:rsid w:val="00373768"/>
    <w:rsid w:val="0037380E"/>
    <w:rsid w:val="003739E1"/>
    <w:rsid w:val="0037413E"/>
    <w:rsid w:val="00374177"/>
    <w:rsid w:val="00374201"/>
    <w:rsid w:val="0037437C"/>
    <w:rsid w:val="00374BF0"/>
    <w:rsid w:val="00374C89"/>
    <w:rsid w:val="003750CB"/>
    <w:rsid w:val="0037527E"/>
    <w:rsid w:val="003755D7"/>
    <w:rsid w:val="003755EB"/>
    <w:rsid w:val="00375A08"/>
    <w:rsid w:val="00375BF0"/>
    <w:rsid w:val="00376191"/>
    <w:rsid w:val="003762E0"/>
    <w:rsid w:val="0037646E"/>
    <w:rsid w:val="00376573"/>
    <w:rsid w:val="00376784"/>
    <w:rsid w:val="003768D8"/>
    <w:rsid w:val="00376B6B"/>
    <w:rsid w:val="003773FE"/>
    <w:rsid w:val="0037770C"/>
    <w:rsid w:val="00377724"/>
    <w:rsid w:val="0037776C"/>
    <w:rsid w:val="003777D2"/>
    <w:rsid w:val="00377AD4"/>
    <w:rsid w:val="00377BB8"/>
    <w:rsid w:val="00377C8B"/>
    <w:rsid w:val="00377CAB"/>
    <w:rsid w:val="00377D40"/>
    <w:rsid w:val="00380019"/>
    <w:rsid w:val="003801A5"/>
    <w:rsid w:val="0038039D"/>
    <w:rsid w:val="0038089A"/>
    <w:rsid w:val="00380A1B"/>
    <w:rsid w:val="00380D99"/>
    <w:rsid w:val="00381D00"/>
    <w:rsid w:val="00381D4D"/>
    <w:rsid w:val="00381DBF"/>
    <w:rsid w:val="0038226A"/>
    <w:rsid w:val="00382333"/>
    <w:rsid w:val="003824CD"/>
    <w:rsid w:val="00382A00"/>
    <w:rsid w:val="0038313C"/>
    <w:rsid w:val="0038320A"/>
    <w:rsid w:val="00383687"/>
    <w:rsid w:val="00383A95"/>
    <w:rsid w:val="00383C66"/>
    <w:rsid w:val="00383CED"/>
    <w:rsid w:val="00384241"/>
    <w:rsid w:val="003842EF"/>
    <w:rsid w:val="003851ED"/>
    <w:rsid w:val="00385565"/>
    <w:rsid w:val="003859DE"/>
    <w:rsid w:val="00385CA0"/>
    <w:rsid w:val="00385F41"/>
    <w:rsid w:val="00386409"/>
    <w:rsid w:val="00386B45"/>
    <w:rsid w:val="00386B56"/>
    <w:rsid w:val="00386CFB"/>
    <w:rsid w:val="00386D48"/>
    <w:rsid w:val="00386EEA"/>
    <w:rsid w:val="003870D0"/>
    <w:rsid w:val="003874BD"/>
    <w:rsid w:val="00387599"/>
    <w:rsid w:val="00387823"/>
    <w:rsid w:val="0038793F"/>
    <w:rsid w:val="003879B5"/>
    <w:rsid w:val="003879C8"/>
    <w:rsid w:val="00387E2A"/>
    <w:rsid w:val="003908BF"/>
    <w:rsid w:val="0039099C"/>
    <w:rsid w:val="00390B1B"/>
    <w:rsid w:val="00390B81"/>
    <w:rsid w:val="00390F0E"/>
    <w:rsid w:val="003912DE"/>
    <w:rsid w:val="00391648"/>
    <w:rsid w:val="00391B01"/>
    <w:rsid w:val="00391B96"/>
    <w:rsid w:val="00391FC9"/>
    <w:rsid w:val="0039232F"/>
    <w:rsid w:val="00392373"/>
    <w:rsid w:val="003926A5"/>
    <w:rsid w:val="003930D0"/>
    <w:rsid w:val="003932D1"/>
    <w:rsid w:val="00393613"/>
    <w:rsid w:val="00393B90"/>
    <w:rsid w:val="003942D0"/>
    <w:rsid w:val="0039432F"/>
    <w:rsid w:val="0039434C"/>
    <w:rsid w:val="0039440B"/>
    <w:rsid w:val="003949D4"/>
    <w:rsid w:val="00394A81"/>
    <w:rsid w:val="00394B57"/>
    <w:rsid w:val="00395053"/>
    <w:rsid w:val="003952F6"/>
    <w:rsid w:val="0039558C"/>
    <w:rsid w:val="003957B1"/>
    <w:rsid w:val="0039611B"/>
    <w:rsid w:val="003963A0"/>
    <w:rsid w:val="003964A5"/>
    <w:rsid w:val="0039671E"/>
    <w:rsid w:val="00396A30"/>
    <w:rsid w:val="00396B7F"/>
    <w:rsid w:val="00396C08"/>
    <w:rsid w:val="00396C79"/>
    <w:rsid w:val="00396DFF"/>
    <w:rsid w:val="003974D1"/>
    <w:rsid w:val="00397799"/>
    <w:rsid w:val="00397D0D"/>
    <w:rsid w:val="003A073E"/>
    <w:rsid w:val="003A0800"/>
    <w:rsid w:val="003A09C3"/>
    <w:rsid w:val="003A150A"/>
    <w:rsid w:val="003A1709"/>
    <w:rsid w:val="003A18CC"/>
    <w:rsid w:val="003A1C93"/>
    <w:rsid w:val="003A216F"/>
    <w:rsid w:val="003A22E0"/>
    <w:rsid w:val="003A2338"/>
    <w:rsid w:val="003A240C"/>
    <w:rsid w:val="003A2733"/>
    <w:rsid w:val="003A2F70"/>
    <w:rsid w:val="003A3021"/>
    <w:rsid w:val="003A3E8F"/>
    <w:rsid w:val="003A42B2"/>
    <w:rsid w:val="003A4302"/>
    <w:rsid w:val="003A4693"/>
    <w:rsid w:val="003A473C"/>
    <w:rsid w:val="003A4E1C"/>
    <w:rsid w:val="003A500F"/>
    <w:rsid w:val="003A53B0"/>
    <w:rsid w:val="003A5C13"/>
    <w:rsid w:val="003A600A"/>
    <w:rsid w:val="003A6029"/>
    <w:rsid w:val="003A6033"/>
    <w:rsid w:val="003A627E"/>
    <w:rsid w:val="003A692E"/>
    <w:rsid w:val="003A6B4F"/>
    <w:rsid w:val="003A6D9E"/>
    <w:rsid w:val="003A749E"/>
    <w:rsid w:val="003A7755"/>
    <w:rsid w:val="003A78F9"/>
    <w:rsid w:val="003A79AC"/>
    <w:rsid w:val="003A79EE"/>
    <w:rsid w:val="003A7F52"/>
    <w:rsid w:val="003B0103"/>
    <w:rsid w:val="003B03E1"/>
    <w:rsid w:val="003B045F"/>
    <w:rsid w:val="003B05B5"/>
    <w:rsid w:val="003B0AAE"/>
    <w:rsid w:val="003B0F0F"/>
    <w:rsid w:val="003B17C2"/>
    <w:rsid w:val="003B1A80"/>
    <w:rsid w:val="003B1DA9"/>
    <w:rsid w:val="003B1E38"/>
    <w:rsid w:val="003B2876"/>
    <w:rsid w:val="003B29D4"/>
    <w:rsid w:val="003B2C06"/>
    <w:rsid w:val="003B2F0C"/>
    <w:rsid w:val="003B3191"/>
    <w:rsid w:val="003B31E2"/>
    <w:rsid w:val="003B3260"/>
    <w:rsid w:val="003B341A"/>
    <w:rsid w:val="003B367B"/>
    <w:rsid w:val="003B3840"/>
    <w:rsid w:val="003B3EBB"/>
    <w:rsid w:val="003B3FEA"/>
    <w:rsid w:val="003B41C6"/>
    <w:rsid w:val="003B4210"/>
    <w:rsid w:val="003B4220"/>
    <w:rsid w:val="003B445A"/>
    <w:rsid w:val="003B457C"/>
    <w:rsid w:val="003B47B6"/>
    <w:rsid w:val="003B4C0D"/>
    <w:rsid w:val="003B4CD6"/>
    <w:rsid w:val="003B51A4"/>
    <w:rsid w:val="003B522A"/>
    <w:rsid w:val="003B52E1"/>
    <w:rsid w:val="003B5916"/>
    <w:rsid w:val="003B608F"/>
    <w:rsid w:val="003B62BC"/>
    <w:rsid w:val="003B62BE"/>
    <w:rsid w:val="003B6321"/>
    <w:rsid w:val="003B679E"/>
    <w:rsid w:val="003B6AF5"/>
    <w:rsid w:val="003B6DA4"/>
    <w:rsid w:val="003B6E16"/>
    <w:rsid w:val="003B6FFD"/>
    <w:rsid w:val="003B7FE8"/>
    <w:rsid w:val="003C0075"/>
    <w:rsid w:val="003C0490"/>
    <w:rsid w:val="003C04EC"/>
    <w:rsid w:val="003C06F6"/>
    <w:rsid w:val="003C1234"/>
    <w:rsid w:val="003C1483"/>
    <w:rsid w:val="003C180A"/>
    <w:rsid w:val="003C1A89"/>
    <w:rsid w:val="003C1E25"/>
    <w:rsid w:val="003C1E87"/>
    <w:rsid w:val="003C1EC6"/>
    <w:rsid w:val="003C1FC3"/>
    <w:rsid w:val="003C29A4"/>
    <w:rsid w:val="003C32A1"/>
    <w:rsid w:val="003C3A36"/>
    <w:rsid w:val="003C3B1F"/>
    <w:rsid w:val="003C4A65"/>
    <w:rsid w:val="003C4E8E"/>
    <w:rsid w:val="003C505F"/>
    <w:rsid w:val="003C52F5"/>
    <w:rsid w:val="003C551D"/>
    <w:rsid w:val="003C5A7B"/>
    <w:rsid w:val="003C5CF9"/>
    <w:rsid w:val="003C6449"/>
    <w:rsid w:val="003C658D"/>
    <w:rsid w:val="003C6831"/>
    <w:rsid w:val="003C6834"/>
    <w:rsid w:val="003C6AE1"/>
    <w:rsid w:val="003C6FBC"/>
    <w:rsid w:val="003C726D"/>
    <w:rsid w:val="003C7404"/>
    <w:rsid w:val="003C75DA"/>
    <w:rsid w:val="003C76BD"/>
    <w:rsid w:val="003C78D0"/>
    <w:rsid w:val="003D00DB"/>
    <w:rsid w:val="003D0160"/>
    <w:rsid w:val="003D043E"/>
    <w:rsid w:val="003D06E5"/>
    <w:rsid w:val="003D081F"/>
    <w:rsid w:val="003D0CCF"/>
    <w:rsid w:val="003D0E50"/>
    <w:rsid w:val="003D0FC8"/>
    <w:rsid w:val="003D155B"/>
    <w:rsid w:val="003D1962"/>
    <w:rsid w:val="003D27CB"/>
    <w:rsid w:val="003D2832"/>
    <w:rsid w:val="003D294F"/>
    <w:rsid w:val="003D2CB4"/>
    <w:rsid w:val="003D2CC8"/>
    <w:rsid w:val="003D329D"/>
    <w:rsid w:val="003D3350"/>
    <w:rsid w:val="003D3AD5"/>
    <w:rsid w:val="003D40B7"/>
    <w:rsid w:val="003D454D"/>
    <w:rsid w:val="003D46EF"/>
    <w:rsid w:val="003D4E1D"/>
    <w:rsid w:val="003D50B5"/>
    <w:rsid w:val="003D5224"/>
    <w:rsid w:val="003D56DE"/>
    <w:rsid w:val="003D5D03"/>
    <w:rsid w:val="003D5E14"/>
    <w:rsid w:val="003D65CC"/>
    <w:rsid w:val="003D6A37"/>
    <w:rsid w:val="003D746D"/>
    <w:rsid w:val="003D7477"/>
    <w:rsid w:val="003D754D"/>
    <w:rsid w:val="003E01A8"/>
    <w:rsid w:val="003E0613"/>
    <w:rsid w:val="003E066B"/>
    <w:rsid w:val="003E06D5"/>
    <w:rsid w:val="003E0CE2"/>
    <w:rsid w:val="003E119D"/>
    <w:rsid w:val="003E11DE"/>
    <w:rsid w:val="003E1588"/>
    <w:rsid w:val="003E1C1F"/>
    <w:rsid w:val="003E1D49"/>
    <w:rsid w:val="003E206D"/>
    <w:rsid w:val="003E2506"/>
    <w:rsid w:val="003E2622"/>
    <w:rsid w:val="003E26D5"/>
    <w:rsid w:val="003E2874"/>
    <w:rsid w:val="003E2EE3"/>
    <w:rsid w:val="003E3DAF"/>
    <w:rsid w:val="003E3E34"/>
    <w:rsid w:val="003E4249"/>
    <w:rsid w:val="003E493D"/>
    <w:rsid w:val="003E4A9E"/>
    <w:rsid w:val="003E4FDC"/>
    <w:rsid w:val="003E567C"/>
    <w:rsid w:val="003E57C2"/>
    <w:rsid w:val="003E62B2"/>
    <w:rsid w:val="003E6368"/>
    <w:rsid w:val="003E647F"/>
    <w:rsid w:val="003E6487"/>
    <w:rsid w:val="003E65F0"/>
    <w:rsid w:val="003E69B9"/>
    <w:rsid w:val="003E6BF6"/>
    <w:rsid w:val="003E6F6F"/>
    <w:rsid w:val="003E71DB"/>
    <w:rsid w:val="003E7432"/>
    <w:rsid w:val="003E78B8"/>
    <w:rsid w:val="003E794F"/>
    <w:rsid w:val="003E79F6"/>
    <w:rsid w:val="003F01CF"/>
    <w:rsid w:val="003F0708"/>
    <w:rsid w:val="003F0C27"/>
    <w:rsid w:val="003F0F0D"/>
    <w:rsid w:val="003F105F"/>
    <w:rsid w:val="003F142D"/>
    <w:rsid w:val="003F2024"/>
    <w:rsid w:val="003F231B"/>
    <w:rsid w:val="003F27BE"/>
    <w:rsid w:val="003F28AB"/>
    <w:rsid w:val="003F2C15"/>
    <w:rsid w:val="003F2CBB"/>
    <w:rsid w:val="003F33AA"/>
    <w:rsid w:val="003F34ED"/>
    <w:rsid w:val="003F3808"/>
    <w:rsid w:val="003F3A0D"/>
    <w:rsid w:val="003F3A20"/>
    <w:rsid w:val="003F3C17"/>
    <w:rsid w:val="003F3D1D"/>
    <w:rsid w:val="003F3DE0"/>
    <w:rsid w:val="003F3FDD"/>
    <w:rsid w:val="003F4009"/>
    <w:rsid w:val="003F403D"/>
    <w:rsid w:val="003F4250"/>
    <w:rsid w:val="003F4478"/>
    <w:rsid w:val="003F4A24"/>
    <w:rsid w:val="003F4ADD"/>
    <w:rsid w:val="003F5188"/>
    <w:rsid w:val="003F583E"/>
    <w:rsid w:val="003F58F8"/>
    <w:rsid w:val="003F5932"/>
    <w:rsid w:val="003F5959"/>
    <w:rsid w:val="003F5A73"/>
    <w:rsid w:val="003F5AC4"/>
    <w:rsid w:val="003F5BAF"/>
    <w:rsid w:val="003F6021"/>
    <w:rsid w:val="003F6238"/>
    <w:rsid w:val="003F666F"/>
    <w:rsid w:val="003F6B13"/>
    <w:rsid w:val="003F6E47"/>
    <w:rsid w:val="003F7172"/>
    <w:rsid w:val="003F7274"/>
    <w:rsid w:val="003F7610"/>
    <w:rsid w:val="003F7639"/>
    <w:rsid w:val="003F79B3"/>
    <w:rsid w:val="003F7AD3"/>
    <w:rsid w:val="00400028"/>
    <w:rsid w:val="00400055"/>
    <w:rsid w:val="004002DA"/>
    <w:rsid w:val="0040093D"/>
    <w:rsid w:val="00400970"/>
    <w:rsid w:val="00400B74"/>
    <w:rsid w:val="00400BA2"/>
    <w:rsid w:val="004011AE"/>
    <w:rsid w:val="0040173E"/>
    <w:rsid w:val="0040274B"/>
    <w:rsid w:val="0040289A"/>
    <w:rsid w:val="00402C71"/>
    <w:rsid w:val="004032EC"/>
    <w:rsid w:val="00403687"/>
    <w:rsid w:val="004036E3"/>
    <w:rsid w:val="00403A89"/>
    <w:rsid w:val="00403BF1"/>
    <w:rsid w:val="00403D34"/>
    <w:rsid w:val="0040440B"/>
    <w:rsid w:val="00404416"/>
    <w:rsid w:val="00404E85"/>
    <w:rsid w:val="0040501D"/>
    <w:rsid w:val="0040546D"/>
    <w:rsid w:val="004054D6"/>
    <w:rsid w:val="00405555"/>
    <w:rsid w:val="004056E7"/>
    <w:rsid w:val="00405910"/>
    <w:rsid w:val="004059D1"/>
    <w:rsid w:val="00405E96"/>
    <w:rsid w:val="004062DC"/>
    <w:rsid w:val="00406655"/>
    <w:rsid w:val="00406725"/>
    <w:rsid w:val="00406BCC"/>
    <w:rsid w:val="00406D98"/>
    <w:rsid w:val="004075C6"/>
    <w:rsid w:val="00407C26"/>
    <w:rsid w:val="00410262"/>
    <w:rsid w:val="00410835"/>
    <w:rsid w:val="00410B2D"/>
    <w:rsid w:val="00410C4D"/>
    <w:rsid w:val="00411419"/>
    <w:rsid w:val="00411861"/>
    <w:rsid w:val="004122B6"/>
    <w:rsid w:val="00412311"/>
    <w:rsid w:val="0041335B"/>
    <w:rsid w:val="00413788"/>
    <w:rsid w:val="00413BD5"/>
    <w:rsid w:val="00413F51"/>
    <w:rsid w:val="004141B2"/>
    <w:rsid w:val="004148F1"/>
    <w:rsid w:val="00414A8D"/>
    <w:rsid w:val="00414BD5"/>
    <w:rsid w:val="00414CC0"/>
    <w:rsid w:val="0041505F"/>
    <w:rsid w:val="004154D8"/>
    <w:rsid w:val="0041582A"/>
    <w:rsid w:val="00415E07"/>
    <w:rsid w:val="0041659B"/>
    <w:rsid w:val="004166AD"/>
    <w:rsid w:val="00416D64"/>
    <w:rsid w:val="00416D84"/>
    <w:rsid w:val="00416F15"/>
    <w:rsid w:val="00417385"/>
    <w:rsid w:val="0041756A"/>
    <w:rsid w:val="00417840"/>
    <w:rsid w:val="00420BCD"/>
    <w:rsid w:val="00422068"/>
    <w:rsid w:val="004220B3"/>
    <w:rsid w:val="0042210C"/>
    <w:rsid w:val="004224D0"/>
    <w:rsid w:val="004225AF"/>
    <w:rsid w:val="0042260F"/>
    <w:rsid w:val="0042318F"/>
    <w:rsid w:val="004234D5"/>
    <w:rsid w:val="004234FC"/>
    <w:rsid w:val="00423C92"/>
    <w:rsid w:val="004249B3"/>
    <w:rsid w:val="00424A45"/>
    <w:rsid w:val="00424FEC"/>
    <w:rsid w:val="0042537B"/>
    <w:rsid w:val="0042549E"/>
    <w:rsid w:val="0042564C"/>
    <w:rsid w:val="00425895"/>
    <w:rsid w:val="00425C7D"/>
    <w:rsid w:val="00425DF1"/>
    <w:rsid w:val="0042643F"/>
    <w:rsid w:val="004265F4"/>
    <w:rsid w:val="00426CC0"/>
    <w:rsid w:val="00427015"/>
    <w:rsid w:val="0042733A"/>
    <w:rsid w:val="004275A1"/>
    <w:rsid w:val="004279D7"/>
    <w:rsid w:val="00427FA3"/>
    <w:rsid w:val="0043064A"/>
    <w:rsid w:val="00430EAB"/>
    <w:rsid w:val="00431148"/>
    <w:rsid w:val="00431B20"/>
    <w:rsid w:val="00431B42"/>
    <w:rsid w:val="00431DB4"/>
    <w:rsid w:val="00431E4F"/>
    <w:rsid w:val="00432B41"/>
    <w:rsid w:val="00432D34"/>
    <w:rsid w:val="00432E8A"/>
    <w:rsid w:val="00433003"/>
    <w:rsid w:val="004331C3"/>
    <w:rsid w:val="00433440"/>
    <w:rsid w:val="00433442"/>
    <w:rsid w:val="00433898"/>
    <w:rsid w:val="0043423E"/>
    <w:rsid w:val="0043469C"/>
    <w:rsid w:val="004348A0"/>
    <w:rsid w:val="0043490D"/>
    <w:rsid w:val="00435288"/>
    <w:rsid w:val="00435339"/>
    <w:rsid w:val="0043560B"/>
    <w:rsid w:val="0043574D"/>
    <w:rsid w:val="00435969"/>
    <w:rsid w:val="00435F54"/>
    <w:rsid w:val="0043685A"/>
    <w:rsid w:val="00436CE8"/>
    <w:rsid w:val="004378C8"/>
    <w:rsid w:val="00437A93"/>
    <w:rsid w:val="00437BBF"/>
    <w:rsid w:val="004402F9"/>
    <w:rsid w:val="004403EB"/>
    <w:rsid w:val="004404E3"/>
    <w:rsid w:val="0044061D"/>
    <w:rsid w:val="004409FC"/>
    <w:rsid w:val="00440B08"/>
    <w:rsid w:val="004410C5"/>
    <w:rsid w:val="004410DC"/>
    <w:rsid w:val="0044138A"/>
    <w:rsid w:val="0044198D"/>
    <w:rsid w:val="00441B6E"/>
    <w:rsid w:val="00441C99"/>
    <w:rsid w:val="00441DAF"/>
    <w:rsid w:val="00441FFD"/>
    <w:rsid w:val="00442017"/>
    <w:rsid w:val="004422D7"/>
    <w:rsid w:val="00442326"/>
    <w:rsid w:val="004423CF"/>
    <w:rsid w:val="004425D6"/>
    <w:rsid w:val="00442844"/>
    <w:rsid w:val="0044285A"/>
    <w:rsid w:val="00442B35"/>
    <w:rsid w:val="00442B51"/>
    <w:rsid w:val="00442DF8"/>
    <w:rsid w:val="00442ECA"/>
    <w:rsid w:val="00443004"/>
    <w:rsid w:val="00443142"/>
    <w:rsid w:val="0044333A"/>
    <w:rsid w:val="004436D6"/>
    <w:rsid w:val="00443721"/>
    <w:rsid w:val="004437D8"/>
    <w:rsid w:val="00443A3A"/>
    <w:rsid w:val="00443AA8"/>
    <w:rsid w:val="00443D2F"/>
    <w:rsid w:val="00443D94"/>
    <w:rsid w:val="00444196"/>
    <w:rsid w:val="004441AD"/>
    <w:rsid w:val="0044447D"/>
    <w:rsid w:val="00444541"/>
    <w:rsid w:val="004448AB"/>
    <w:rsid w:val="00444F0A"/>
    <w:rsid w:val="0044506E"/>
    <w:rsid w:val="0044536D"/>
    <w:rsid w:val="00445AD2"/>
    <w:rsid w:val="00445F2F"/>
    <w:rsid w:val="00445F9E"/>
    <w:rsid w:val="004460DC"/>
    <w:rsid w:val="0044615D"/>
    <w:rsid w:val="00447226"/>
    <w:rsid w:val="004479C7"/>
    <w:rsid w:val="00447F94"/>
    <w:rsid w:val="00450202"/>
    <w:rsid w:val="004503D6"/>
    <w:rsid w:val="004506DE"/>
    <w:rsid w:val="00450780"/>
    <w:rsid w:val="00450C67"/>
    <w:rsid w:val="00450FC3"/>
    <w:rsid w:val="00451084"/>
    <w:rsid w:val="004512DF"/>
    <w:rsid w:val="004515E2"/>
    <w:rsid w:val="0045192E"/>
    <w:rsid w:val="00451A43"/>
    <w:rsid w:val="00451C66"/>
    <w:rsid w:val="004523DE"/>
    <w:rsid w:val="0045248E"/>
    <w:rsid w:val="00452940"/>
    <w:rsid w:val="00452C14"/>
    <w:rsid w:val="004531B2"/>
    <w:rsid w:val="0045368A"/>
    <w:rsid w:val="004536EF"/>
    <w:rsid w:val="00453810"/>
    <w:rsid w:val="00453E49"/>
    <w:rsid w:val="0045413E"/>
    <w:rsid w:val="00454A89"/>
    <w:rsid w:val="00454D86"/>
    <w:rsid w:val="00454D8D"/>
    <w:rsid w:val="00454FBF"/>
    <w:rsid w:val="00455051"/>
    <w:rsid w:val="0045513C"/>
    <w:rsid w:val="00455191"/>
    <w:rsid w:val="004553A1"/>
    <w:rsid w:val="004557A9"/>
    <w:rsid w:val="004558C5"/>
    <w:rsid w:val="00455DED"/>
    <w:rsid w:val="0045613D"/>
    <w:rsid w:val="00456212"/>
    <w:rsid w:val="00456F83"/>
    <w:rsid w:val="00457337"/>
    <w:rsid w:val="00457497"/>
    <w:rsid w:val="00457805"/>
    <w:rsid w:val="00457A06"/>
    <w:rsid w:val="00460962"/>
    <w:rsid w:val="00460C78"/>
    <w:rsid w:val="00460CF7"/>
    <w:rsid w:val="00460E6B"/>
    <w:rsid w:val="00460E80"/>
    <w:rsid w:val="00461108"/>
    <w:rsid w:val="0046115D"/>
    <w:rsid w:val="004612A7"/>
    <w:rsid w:val="0046161B"/>
    <w:rsid w:val="004616A5"/>
    <w:rsid w:val="00461878"/>
    <w:rsid w:val="004618EC"/>
    <w:rsid w:val="00461CD2"/>
    <w:rsid w:val="00461F57"/>
    <w:rsid w:val="0046243D"/>
    <w:rsid w:val="004628FE"/>
    <w:rsid w:val="00463102"/>
    <w:rsid w:val="0046399D"/>
    <w:rsid w:val="00463AA3"/>
    <w:rsid w:val="00463C74"/>
    <w:rsid w:val="00463FA8"/>
    <w:rsid w:val="00463FCB"/>
    <w:rsid w:val="004642E4"/>
    <w:rsid w:val="00464479"/>
    <w:rsid w:val="004644AB"/>
    <w:rsid w:val="004644C0"/>
    <w:rsid w:val="0046473C"/>
    <w:rsid w:val="00464788"/>
    <w:rsid w:val="00464805"/>
    <w:rsid w:val="00464ADA"/>
    <w:rsid w:val="004651E7"/>
    <w:rsid w:val="00465342"/>
    <w:rsid w:val="00465A53"/>
    <w:rsid w:val="00465EEF"/>
    <w:rsid w:val="00466648"/>
    <w:rsid w:val="004667B1"/>
    <w:rsid w:val="00466841"/>
    <w:rsid w:val="00466ED5"/>
    <w:rsid w:val="004675D2"/>
    <w:rsid w:val="0046779C"/>
    <w:rsid w:val="004678D4"/>
    <w:rsid w:val="00467A30"/>
    <w:rsid w:val="00467E80"/>
    <w:rsid w:val="0047009C"/>
    <w:rsid w:val="004702E3"/>
    <w:rsid w:val="00470410"/>
    <w:rsid w:val="0047068B"/>
    <w:rsid w:val="004706E1"/>
    <w:rsid w:val="004709F1"/>
    <w:rsid w:val="00470BE6"/>
    <w:rsid w:val="00470E21"/>
    <w:rsid w:val="004718BB"/>
    <w:rsid w:val="00471D8A"/>
    <w:rsid w:val="00471DB1"/>
    <w:rsid w:val="004722A2"/>
    <w:rsid w:val="004724E6"/>
    <w:rsid w:val="004727B3"/>
    <w:rsid w:val="00472C5C"/>
    <w:rsid w:val="00472CBC"/>
    <w:rsid w:val="004734CB"/>
    <w:rsid w:val="00473AC8"/>
    <w:rsid w:val="00473B42"/>
    <w:rsid w:val="004740C4"/>
    <w:rsid w:val="004740CC"/>
    <w:rsid w:val="00474161"/>
    <w:rsid w:val="004744C8"/>
    <w:rsid w:val="004749DB"/>
    <w:rsid w:val="00474C8F"/>
    <w:rsid w:val="00474D27"/>
    <w:rsid w:val="00474FD9"/>
    <w:rsid w:val="004750DC"/>
    <w:rsid w:val="004756B6"/>
    <w:rsid w:val="00475B3D"/>
    <w:rsid w:val="00475C30"/>
    <w:rsid w:val="00475D6A"/>
    <w:rsid w:val="00476409"/>
    <w:rsid w:val="004765B3"/>
    <w:rsid w:val="00476DD3"/>
    <w:rsid w:val="00476E64"/>
    <w:rsid w:val="0047733A"/>
    <w:rsid w:val="004776A3"/>
    <w:rsid w:val="00477E7E"/>
    <w:rsid w:val="00480205"/>
    <w:rsid w:val="00480DB5"/>
    <w:rsid w:val="00480FA9"/>
    <w:rsid w:val="0048186C"/>
    <w:rsid w:val="00481CCF"/>
    <w:rsid w:val="00481E9C"/>
    <w:rsid w:val="00482173"/>
    <w:rsid w:val="00482AFC"/>
    <w:rsid w:val="00482F7C"/>
    <w:rsid w:val="00483323"/>
    <w:rsid w:val="004833ED"/>
    <w:rsid w:val="0048346D"/>
    <w:rsid w:val="00483C12"/>
    <w:rsid w:val="00484061"/>
    <w:rsid w:val="004845A0"/>
    <w:rsid w:val="00484BF5"/>
    <w:rsid w:val="00484CA3"/>
    <w:rsid w:val="0048519E"/>
    <w:rsid w:val="004852FF"/>
    <w:rsid w:val="00485417"/>
    <w:rsid w:val="004855F2"/>
    <w:rsid w:val="0048570D"/>
    <w:rsid w:val="0048577D"/>
    <w:rsid w:val="00485B84"/>
    <w:rsid w:val="00485CD9"/>
    <w:rsid w:val="00485E1F"/>
    <w:rsid w:val="00485F63"/>
    <w:rsid w:val="004861D7"/>
    <w:rsid w:val="004864A5"/>
    <w:rsid w:val="004864AE"/>
    <w:rsid w:val="00486560"/>
    <w:rsid w:val="004867E6"/>
    <w:rsid w:val="004867F2"/>
    <w:rsid w:val="00486898"/>
    <w:rsid w:val="004875F4"/>
    <w:rsid w:val="00487608"/>
    <w:rsid w:val="00487642"/>
    <w:rsid w:val="004877F4"/>
    <w:rsid w:val="004877FB"/>
    <w:rsid w:val="00487932"/>
    <w:rsid w:val="00487967"/>
    <w:rsid w:val="004900DE"/>
    <w:rsid w:val="0049045C"/>
    <w:rsid w:val="00490702"/>
    <w:rsid w:val="00490770"/>
    <w:rsid w:val="004907E6"/>
    <w:rsid w:val="004909A7"/>
    <w:rsid w:val="00491015"/>
    <w:rsid w:val="00491C59"/>
    <w:rsid w:val="0049261A"/>
    <w:rsid w:val="0049271D"/>
    <w:rsid w:val="004929BD"/>
    <w:rsid w:val="00492ADF"/>
    <w:rsid w:val="004931E0"/>
    <w:rsid w:val="004934A4"/>
    <w:rsid w:val="00493537"/>
    <w:rsid w:val="004936B3"/>
    <w:rsid w:val="00493950"/>
    <w:rsid w:val="00493B11"/>
    <w:rsid w:val="00493B34"/>
    <w:rsid w:val="00493C2C"/>
    <w:rsid w:val="00493DAA"/>
    <w:rsid w:val="00493E68"/>
    <w:rsid w:val="0049431B"/>
    <w:rsid w:val="00494335"/>
    <w:rsid w:val="00494746"/>
    <w:rsid w:val="004948F4"/>
    <w:rsid w:val="00494A09"/>
    <w:rsid w:val="00494A84"/>
    <w:rsid w:val="00494C26"/>
    <w:rsid w:val="00494CA5"/>
    <w:rsid w:val="00494CCE"/>
    <w:rsid w:val="00494FB6"/>
    <w:rsid w:val="0049518D"/>
    <w:rsid w:val="00495618"/>
    <w:rsid w:val="004959DB"/>
    <w:rsid w:val="00495A4C"/>
    <w:rsid w:val="00495B8C"/>
    <w:rsid w:val="00495D0B"/>
    <w:rsid w:val="00495E08"/>
    <w:rsid w:val="004966F0"/>
    <w:rsid w:val="004967A1"/>
    <w:rsid w:val="004968E0"/>
    <w:rsid w:val="004971CF"/>
    <w:rsid w:val="00497AE7"/>
    <w:rsid w:val="00497D3C"/>
    <w:rsid w:val="00497F3E"/>
    <w:rsid w:val="004A0854"/>
    <w:rsid w:val="004A0930"/>
    <w:rsid w:val="004A0AE4"/>
    <w:rsid w:val="004A0D56"/>
    <w:rsid w:val="004A0E7C"/>
    <w:rsid w:val="004A1458"/>
    <w:rsid w:val="004A186E"/>
    <w:rsid w:val="004A18B9"/>
    <w:rsid w:val="004A18C7"/>
    <w:rsid w:val="004A1F98"/>
    <w:rsid w:val="004A1FAD"/>
    <w:rsid w:val="004A2588"/>
    <w:rsid w:val="004A2CEB"/>
    <w:rsid w:val="004A3731"/>
    <w:rsid w:val="004A3B93"/>
    <w:rsid w:val="004A3D47"/>
    <w:rsid w:val="004A3FE7"/>
    <w:rsid w:val="004A4280"/>
    <w:rsid w:val="004A446C"/>
    <w:rsid w:val="004A4A49"/>
    <w:rsid w:val="004A5203"/>
    <w:rsid w:val="004A57DA"/>
    <w:rsid w:val="004A5BBC"/>
    <w:rsid w:val="004A5C73"/>
    <w:rsid w:val="004A66E4"/>
    <w:rsid w:val="004A6BBC"/>
    <w:rsid w:val="004A6CA9"/>
    <w:rsid w:val="004A7441"/>
    <w:rsid w:val="004A7B60"/>
    <w:rsid w:val="004A7DCF"/>
    <w:rsid w:val="004A7FDE"/>
    <w:rsid w:val="004B0216"/>
    <w:rsid w:val="004B0321"/>
    <w:rsid w:val="004B03CC"/>
    <w:rsid w:val="004B0F3E"/>
    <w:rsid w:val="004B12C0"/>
    <w:rsid w:val="004B1395"/>
    <w:rsid w:val="004B167D"/>
    <w:rsid w:val="004B182B"/>
    <w:rsid w:val="004B1A81"/>
    <w:rsid w:val="004B1C9E"/>
    <w:rsid w:val="004B23BD"/>
    <w:rsid w:val="004B2523"/>
    <w:rsid w:val="004B2C73"/>
    <w:rsid w:val="004B31A0"/>
    <w:rsid w:val="004B34A8"/>
    <w:rsid w:val="004B3759"/>
    <w:rsid w:val="004B3BAD"/>
    <w:rsid w:val="004B3C2A"/>
    <w:rsid w:val="004B3D86"/>
    <w:rsid w:val="004B4303"/>
    <w:rsid w:val="004B4400"/>
    <w:rsid w:val="004B44A4"/>
    <w:rsid w:val="004B4AED"/>
    <w:rsid w:val="004B4B71"/>
    <w:rsid w:val="004B4CE5"/>
    <w:rsid w:val="004B4E91"/>
    <w:rsid w:val="004B52EA"/>
    <w:rsid w:val="004B569A"/>
    <w:rsid w:val="004B56B0"/>
    <w:rsid w:val="004B584E"/>
    <w:rsid w:val="004B5927"/>
    <w:rsid w:val="004B59C8"/>
    <w:rsid w:val="004B5CF5"/>
    <w:rsid w:val="004B5E8A"/>
    <w:rsid w:val="004B6976"/>
    <w:rsid w:val="004B6A4A"/>
    <w:rsid w:val="004B6B10"/>
    <w:rsid w:val="004B6C10"/>
    <w:rsid w:val="004B6C24"/>
    <w:rsid w:val="004B6D77"/>
    <w:rsid w:val="004B6E95"/>
    <w:rsid w:val="004B70AA"/>
    <w:rsid w:val="004B729E"/>
    <w:rsid w:val="004B7369"/>
    <w:rsid w:val="004B759C"/>
    <w:rsid w:val="004B78D8"/>
    <w:rsid w:val="004B7CD2"/>
    <w:rsid w:val="004B7ECD"/>
    <w:rsid w:val="004B7F62"/>
    <w:rsid w:val="004C0121"/>
    <w:rsid w:val="004C0216"/>
    <w:rsid w:val="004C05CD"/>
    <w:rsid w:val="004C0A33"/>
    <w:rsid w:val="004C0ABD"/>
    <w:rsid w:val="004C0D8B"/>
    <w:rsid w:val="004C0F50"/>
    <w:rsid w:val="004C1106"/>
    <w:rsid w:val="004C1AAB"/>
    <w:rsid w:val="004C1F7D"/>
    <w:rsid w:val="004C22F0"/>
    <w:rsid w:val="004C2F0A"/>
    <w:rsid w:val="004C32B9"/>
    <w:rsid w:val="004C34AA"/>
    <w:rsid w:val="004C3769"/>
    <w:rsid w:val="004C3966"/>
    <w:rsid w:val="004C3A49"/>
    <w:rsid w:val="004C409C"/>
    <w:rsid w:val="004C4378"/>
    <w:rsid w:val="004C4575"/>
    <w:rsid w:val="004C4844"/>
    <w:rsid w:val="004C4994"/>
    <w:rsid w:val="004C4A1C"/>
    <w:rsid w:val="004C4A95"/>
    <w:rsid w:val="004C4C35"/>
    <w:rsid w:val="004C4D06"/>
    <w:rsid w:val="004C4F28"/>
    <w:rsid w:val="004C5151"/>
    <w:rsid w:val="004C5414"/>
    <w:rsid w:val="004C5855"/>
    <w:rsid w:val="004C5E60"/>
    <w:rsid w:val="004C6468"/>
    <w:rsid w:val="004C67AC"/>
    <w:rsid w:val="004C6D4B"/>
    <w:rsid w:val="004C6EF0"/>
    <w:rsid w:val="004C7338"/>
    <w:rsid w:val="004C766B"/>
    <w:rsid w:val="004C7817"/>
    <w:rsid w:val="004C7911"/>
    <w:rsid w:val="004C7B3A"/>
    <w:rsid w:val="004D0183"/>
    <w:rsid w:val="004D0412"/>
    <w:rsid w:val="004D0B35"/>
    <w:rsid w:val="004D0EFF"/>
    <w:rsid w:val="004D1532"/>
    <w:rsid w:val="004D15DB"/>
    <w:rsid w:val="004D15EE"/>
    <w:rsid w:val="004D1796"/>
    <w:rsid w:val="004D2070"/>
    <w:rsid w:val="004D20D2"/>
    <w:rsid w:val="004D2CA8"/>
    <w:rsid w:val="004D2E63"/>
    <w:rsid w:val="004D2ECE"/>
    <w:rsid w:val="004D2FBE"/>
    <w:rsid w:val="004D3127"/>
    <w:rsid w:val="004D31A2"/>
    <w:rsid w:val="004D3352"/>
    <w:rsid w:val="004D33E3"/>
    <w:rsid w:val="004D36A9"/>
    <w:rsid w:val="004D3C9F"/>
    <w:rsid w:val="004D40AC"/>
    <w:rsid w:val="004D4656"/>
    <w:rsid w:val="004D4826"/>
    <w:rsid w:val="004D4B3D"/>
    <w:rsid w:val="004D5109"/>
    <w:rsid w:val="004D5397"/>
    <w:rsid w:val="004D539C"/>
    <w:rsid w:val="004D566E"/>
    <w:rsid w:val="004D5FFB"/>
    <w:rsid w:val="004D66E4"/>
    <w:rsid w:val="004D6713"/>
    <w:rsid w:val="004D6EA2"/>
    <w:rsid w:val="004D74FB"/>
    <w:rsid w:val="004E004D"/>
    <w:rsid w:val="004E06E5"/>
    <w:rsid w:val="004E07FA"/>
    <w:rsid w:val="004E091C"/>
    <w:rsid w:val="004E13E2"/>
    <w:rsid w:val="004E16DA"/>
    <w:rsid w:val="004E1B03"/>
    <w:rsid w:val="004E1BA8"/>
    <w:rsid w:val="004E1F94"/>
    <w:rsid w:val="004E2092"/>
    <w:rsid w:val="004E2222"/>
    <w:rsid w:val="004E2269"/>
    <w:rsid w:val="004E22B0"/>
    <w:rsid w:val="004E22BF"/>
    <w:rsid w:val="004E26AF"/>
    <w:rsid w:val="004E2A17"/>
    <w:rsid w:val="004E2C4D"/>
    <w:rsid w:val="004E2EF2"/>
    <w:rsid w:val="004E31E7"/>
    <w:rsid w:val="004E33EB"/>
    <w:rsid w:val="004E342F"/>
    <w:rsid w:val="004E355A"/>
    <w:rsid w:val="004E37BB"/>
    <w:rsid w:val="004E391B"/>
    <w:rsid w:val="004E3BD4"/>
    <w:rsid w:val="004E3FAF"/>
    <w:rsid w:val="004E4C07"/>
    <w:rsid w:val="004E4F01"/>
    <w:rsid w:val="004E4F64"/>
    <w:rsid w:val="004E51A4"/>
    <w:rsid w:val="004E5599"/>
    <w:rsid w:val="004E5890"/>
    <w:rsid w:val="004E5C23"/>
    <w:rsid w:val="004E5E7F"/>
    <w:rsid w:val="004E5F07"/>
    <w:rsid w:val="004E61FA"/>
    <w:rsid w:val="004E6782"/>
    <w:rsid w:val="004E67F3"/>
    <w:rsid w:val="004E6BAF"/>
    <w:rsid w:val="004E71F6"/>
    <w:rsid w:val="004E75D2"/>
    <w:rsid w:val="004E7B0D"/>
    <w:rsid w:val="004E7C6B"/>
    <w:rsid w:val="004E7DAB"/>
    <w:rsid w:val="004F0297"/>
    <w:rsid w:val="004F0E05"/>
    <w:rsid w:val="004F11E1"/>
    <w:rsid w:val="004F25B1"/>
    <w:rsid w:val="004F25BE"/>
    <w:rsid w:val="004F2738"/>
    <w:rsid w:val="004F27C4"/>
    <w:rsid w:val="004F29A7"/>
    <w:rsid w:val="004F2A3C"/>
    <w:rsid w:val="004F2A44"/>
    <w:rsid w:val="004F2CA6"/>
    <w:rsid w:val="004F2D19"/>
    <w:rsid w:val="004F2F18"/>
    <w:rsid w:val="004F3339"/>
    <w:rsid w:val="004F3675"/>
    <w:rsid w:val="004F3CD6"/>
    <w:rsid w:val="004F3ED0"/>
    <w:rsid w:val="004F3F0C"/>
    <w:rsid w:val="004F41E1"/>
    <w:rsid w:val="004F4357"/>
    <w:rsid w:val="004F479F"/>
    <w:rsid w:val="004F4DF6"/>
    <w:rsid w:val="004F59E7"/>
    <w:rsid w:val="004F5BDA"/>
    <w:rsid w:val="004F6054"/>
    <w:rsid w:val="004F6478"/>
    <w:rsid w:val="004F64E2"/>
    <w:rsid w:val="004F717A"/>
    <w:rsid w:val="004F72A2"/>
    <w:rsid w:val="004F79B0"/>
    <w:rsid w:val="004F7A51"/>
    <w:rsid w:val="004F7A8A"/>
    <w:rsid w:val="004F7B74"/>
    <w:rsid w:val="005001E9"/>
    <w:rsid w:val="005003B1"/>
    <w:rsid w:val="005006C5"/>
    <w:rsid w:val="00500B1D"/>
    <w:rsid w:val="00500F78"/>
    <w:rsid w:val="00501126"/>
    <w:rsid w:val="00501679"/>
    <w:rsid w:val="0050168B"/>
    <w:rsid w:val="005016DB"/>
    <w:rsid w:val="00501768"/>
    <w:rsid w:val="00501A8B"/>
    <w:rsid w:val="00501DC0"/>
    <w:rsid w:val="0050203A"/>
    <w:rsid w:val="005021B7"/>
    <w:rsid w:val="00502546"/>
    <w:rsid w:val="005025A5"/>
    <w:rsid w:val="005026D4"/>
    <w:rsid w:val="0050278C"/>
    <w:rsid w:val="00502899"/>
    <w:rsid w:val="0050297A"/>
    <w:rsid w:val="00502A8B"/>
    <w:rsid w:val="00502BBA"/>
    <w:rsid w:val="00502CB3"/>
    <w:rsid w:val="00502E7D"/>
    <w:rsid w:val="005036BE"/>
    <w:rsid w:val="0050370B"/>
    <w:rsid w:val="00503882"/>
    <w:rsid w:val="005039C7"/>
    <w:rsid w:val="00503A51"/>
    <w:rsid w:val="00503E8C"/>
    <w:rsid w:val="00503EAC"/>
    <w:rsid w:val="00503EEC"/>
    <w:rsid w:val="005043AC"/>
    <w:rsid w:val="0050476D"/>
    <w:rsid w:val="005047C3"/>
    <w:rsid w:val="00505234"/>
    <w:rsid w:val="0050528C"/>
    <w:rsid w:val="00505484"/>
    <w:rsid w:val="0050576D"/>
    <w:rsid w:val="005060B4"/>
    <w:rsid w:val="005062EE"/>
    <w:rsid w:val="00506662"/>
    <w:rsid w:val="00506774"/>
    <w:rsid w:val="005073E6"/>
    <w:rsid w:val="005074D9"/>
    <w:rsid w:val="0050795E"/>
    <w:rsid w:val="00507EBA"/>
    <w:rsid w:val="005101E3"/>
    <w:rsid w:val="005105DD"/>
    <w:rsid w:val="00510C0F"/>
    <w:rsid w:val="00511371"/>
    <w:rsid w:val="005113A6"/>
    <w:rsid w:val="0051191E"/>
    <w:rsid w:val="00511CE5"/>
    <w:rsid w:val="00512152"/>
    <w:rsid w:val="00512243"/>
    <w:rsid w:val="005122B8"/>
    <w:rsid w:val="00512309"/>
    <w:rsid w:val="005127AB"/>
    <w:rsid w:val="005127B7"/>
    <w:rsid w:val="00513097"/>
    <w:rsid w:val="0051328F"/>
    <w:rsid w:val="00513670"/>
    <w:rsid w:val="00513CCF"/>
    <w:rsid w:val="00513D86"/>
    <w:rsid w:val="00514052"/>
    <w:rsid w:val="0051415E"/>
    <w:rsid w:val="00514208"/>
    <w:rsid w:val="005143A8"/>
    <w:rsid w:val="00514DBF"/>
    <w:rsid w:val="0051532B"/>
    <w:rsid w:val="00515354"/>
    <w:rsid w:val="00515DFF"/>
    <w:rsid w:val="005161A1"/>
    <w:rsid w:val="00516A6A"/>
    <w:rsid w:val="00516F3C"/>
    <w:rsid w:val="0051728F"/>
    <w:rsid w:val="00517339"/>
    <w:rsid w:val="0051777D"/>
    <w:rsid w:val="00517E55"/>
    <w:rsid w:val="005200C9"/>
    <w:rsid w:val="005204FA"/>
    <w:rsid w:val="0052099C"/>
    <w:rsid w:val="00521FDB"/>
    <w:rsid w:val="00522016"/>
    <w:rsid w:val="0052269A"/>
    <w:rsid w:val="00522816"/>
    <w:rsid w:val="00522961"/>
    <w:rsid w:val="00522AD8"/>
    <w:rsid w:val="00523B33"/>
    <w:rsid w:val="00523C82"/>
    <w:rsid w:val="005245A6"/>
    <w:rsid w:val="00524CA5"/>
    <w:rsid w:val="0052519F"/>
    <w:rsid w:val="00525295"/>
    <w:rsid w:val="00525891"/>
    <w:rsid w:val="00525F8C"/>
    <w:rsid w:val="00526322"/>
    <w:rsid w:val="00527263"/>
    <w:rsid w:val="00527292"/>
    <w:rsid w:val="005276DC"/>
    <w:rsid w:val="005277AC"/>
    <w:rsid w:val="0052799C"/>
    <w:rsid w:val="00530102"/>
    <w:rsid w:val="00530297"/>
    <w:rsid w:val="005303B5"/>
    <w:rsid w:val="005304EF"/>
    <w:rsid w:val="00530D17"/>
    <w:rsid w:val="00530DF1"/>
    <w:rsid w:val="00530E78"/>
    <w:rsid w:val="00530F0F"/>
    <w:rsid w:val="00531021"/>
    <w:rsid w:val="00531269"/>
    <w:rsid w:val="00531312"/>
    <w:rsid w:val="005318CF"/>
    <w:rsid w:val="00531F24"/>
    <w:rsid w:val="005320E8"/>
    <w:rsid w:val="005326D1"/>
    <w:rsid w:val="00532C35"/>
    <w:rsid w:val="00532C98"/>
    <w:rsid w:val="00532FA1"/>
    <w:rsid w:val="00532FB3"/>
    <w:rsid w:val="00533305"/>
    <w:rsid w:val="005333B4"/>
    <w:rsid w:val="005334C6"/>
    <w:rsid w:val="00533A2D"/>
    <w:rsid w:val="00533AB2"/>
    <w:rsid w:val="00534355"/>
    <w:rsid w:val="00534479"/>
    <w:rsid w:val="00534E50"/>
    <w:rsid w:val="0053523F"/>
    <w:rsid w:val="005352D9"/>
    <w:rsid w:val="00535A66"/>
    <w:rsid w:val="00535C50"/>
    <w:rsid w:val="00535F6D"/>
    <w:rsid w:val="0053608B"/>
    <w:rsid w:val="00536109"/>
    <w:rsid w:val="005363F7"/>
    <w:rsid w:val="005366FB"/>
    <w:rsid w:val="00536792"/>
    <w:rsid w:val="00536897"/>
    <w:rsid w:val="00536A61"/>
    <w:rsid w:val="00536C5A"/>
    <w:rsid w:val="00536CDE"/>
    <w:rsid w:val="00536EAA"/>
    <w:rsid w:val="00537347"/>
    <w:rsid w:val="00537521"/>
    <w:rsid w:val="00537758"/>
    <w:rsid w:val="00537D8B"/>
    <w:rsid w:val="00537E83"/>
    <w:rsid w:val="00537F7C"/>
    <w:rsid w:val="005402DC"/>
    <w:rsid w:val="0054034B"/>
    <w:rsid w:val="005405E1"/>
    <w:rsid w:val="0054070F"/>
    <w:rsid w:val="00540861"/>
    <w:rsid w:val="00540982"/>
    <w:rsid w:val="005409DB"/>
    <w:rsid w:val="00540B76"/>
    <w:rsid w:val="00540C08"/>
    <w:rsid w:val="00540E98"/>
    <w:rsid w:val="00541D54"/>
    <w:rsid w:val="00542498"/>
    <w:rsid w:val="00542522"/>
    <w:rsid w:val="005432B6"/>
    <w:rsid w:val="00543424"/>
    <w:rsid w:val="00543493"/>
    <w:rsid w:val="00543558"/>
    <w:rsid w:val="005439D7"/>
    <w:rsid w:val="00543A7F"/>
    <w:rsid w:val="00543FE4"/>
    <w:rsid w:val="0054419A"/>
    <w:rsid w:val="005441F2"/>
    <w:rsid w:val="0054431E"/>
    <w:rsid w:val="00544615"/>
    <w:rsid w:val="0054461F"/>
    <w:rsid w:val="00544790"/>
    <w:rsid w:val="00544BDC"/>
    <w:rsid w:val="00544DB1"/>
    <w:rsid w:val="0054518D"/>
    <w:rsid w:val="0054526E"/>
    <w:rsid w:val="0054531A"/>
    <w:rsid w:val="00545BF8"/>
    <w:rsid w:val="00545C5E"/>
    <w:rsid w:val="00545CE1"/>
    <w:rsid w:val="00545D2A"/>
    <w:rsid w:val="00545D55"/>
    <w:rsid w:val="00545F04"/>
    <w:rsid w:val="005460BA"/>
    <w:rsid w:val="00546336"/>
    <w:rsid w:val="00546E31"/>
    <w:rsid w:val="0054713A"/>
    <w:rsid w:val="00547385"/>
    <w:rsid w:val="005476B5"/>
    <w:rsid w:val="00547CD0"/>
    <w:rsid w:val="00547E2A"/>
    <w:rsid w:val="00547EA1"/>
    <w:rsid w:val="00547EE4"/>
    <w:rsid w:val="0055017F"/>
    <w:rsid w:val="00550632"/>
    <w:rsid w:val="00550EEF"/>
    <w:rsid w:val="00550F0E"/>
    <w:rsid w:val="00551249"/>
    <w:rsid w:val="0055167E"/>
    <w:rsid w:val="0055170A"/>
    <w:rsid w:val="00551AAB"/>
    <w:rsid w:val="00551BD0"/>
    <w:rsid w:val="005520ED"/>
    <w:rsid w:val="00552DD7"/>
    <w:rsid w:val="00552E16"/>
    <w:rsid w:val="00553034"/>
    <w:rsid w:val="005531C8"/>
    <w:rsid w:val="00553BF1"/>
    <w:rsid w:val="00553DCD"/>
    <w:rsid w:val="0055423A"/>
    <w:rsid w:val="00554286"/>
    <w:rsid w:val="005542AE"/>
    <w:rsid w:val="00554636"/>
    <w:rsid w:val="00554832"/>
    <w:rsid w:val="00554860"/>
    <w:rsid w:val="005549D7"/>
    <w:rsid w:val="00554FB1"/>
    <w:rsid w:val="0055596A"/>
    <w:rsid w:val="00555ABB"/>
    <w:rsid w:val="00555C2F"/>
    <w:rsid w:val="00555F57"/>
    <w:rsid w:val="00555FCF"/>
    <w:rsid w:val="00556630"/>
    <w:rsid w:val="0055687C"/>
    <w:rsid w:val="00556DFE"/>
    <w:rsid w:val="00556FE1"/>
    <w:rsid w:val="00557407"/>
    <w:rsid w:val="00557782"/>
    <w:rsid w:val="005602DA"/>
    <w:rsid w:val="0056044A"/>
    <w:rsid w:val="005605BF"/>
    <w:rsid w:val="00560690"/>
    <w:rsid w:val="005607F9"/>
    <w:rsid w:val="00560BDB"/>
    <w:rsid w:val="005615B9"/>
    <w:rsid w:val="00561647"/>
    <w:rsid w:val="005616C6"/>
    <w:rsid w:val="00561722"/>
    <w:rsid w:val="00562087"/>
    <w:rsid w:val="005620DF"/>
    <w:rsid w:val="00562371"/>
    <w:rsid w:val="00562A87"/>
    <w:rsid w:val="00562B97"/>
    <w:rsid w:val="00562C64"/>
    <w:rsid w:val="00562CCE"/>
    <w:rsid w:val="00563237"/>
    <w:rsid w:val="005636CA"/>
    <w:rsid w:val="005637FE"/>
    <w:rsid w:val="00563988"/>
    <w:rsid w:val="00563F64"/>
    <w:rsid w:val="00564170"/>
    <w:rsid w:val="00564745"/>
    <w:rsid w:val="0056488B"/>
    <w:rsid w:val="005648AB"/>
    <w:rsid w:val="00564E16"/>
    <w:rsid w:val="00564F22"/>
    <w:rsid w:val="00564FED"/>
    <w:rsid w:val="00565127"/>
    <w:rsid w:val="00565208"/>
    <w:rsid w:val="005654A6"/>
    <w:rsid w:val="00565537"/>
    <w:rsid w:val="00565BB0"/>
    <w:rsid w:val="00565E31"/>
    <w:rsid w:val="0056668A"/>
    <w:rsid w:val="00566C9B"/>
    <w:rsid w:val="00566D85"/>
    <w:rsid w:val="005670A2"/>
    <w:rsid w:val="00567379"/>
    <w:rsid w:val="005678FC"/>
    <w:rsid w:val="00567998"/>
    <w:rsid w:val="00567C14"/>
    <w:rsid w:val="0057069E"/>
    <w:rsid w:val="005709E7"/>
    <w:rsid w:val="00570A53"/>
    <w:rsid w:val="00570BE3"/>
    <w:rsid w:val="005713B4"/>
    <w:rsid w:val="005719F4"/>
    <w:rsid w:val="00571B60"/>
    <w:rsid w:val="00571B7F"/>
    <w:rsid w:val="00571F92"/>
    <w:rsid w:val="005720E8"/>
    <w:rsid w:val="00572267"/>
    <w:rsid w:val="0057267A"/>
    <w:rsid w:val="00572B73"/>
    <w:rsid w:val="00572DFC"/>
    <w:rsid w:val="00573327"/>
    <w:rsid w:val="0057343A"/>
    <w:rsid w:val="005738A9"/>
    <w:rsid w:val="00573931"/>
    <w:rsid w:val="005741BC"/>
    <w:rsid w:val="005743E0"/>
    <w:rsid w:val="005744F5"/>
    <w:rsid w:val="0057499F"/>
    <w:rsid w:val="00574A29"/>
    <w:rsid w:val="00574B22"/>
    <w:rsid w:val="00574CC3"/>
    <w:rsid w:val="0057542E"/>
    <w:rsid w:val="00575E38"/>
    <w:rsid w:val="005769BA"/>
    <w:rsid w:val="005769C4"/>
    <w:rsid w:val="00576C20"/>
    <w:rsid w:val="00576CEB"/>
    <w:rsid w:val="0057709A"/>
    <w:rsid w:val="005776D5"/>
    <w:rsid w:val="005777F0"/>
    <w:rsid w:val="005779C0"/>
    <w:rsid w:val="00577D75"/>
    <w:rsid w:val="005801C9"/>
    <w:rsid w:val="0058026A"/>
    <w:rsid w:val="005804EB"/>
    <w:rsid w:val="0058087F"/>
    <w:rsid w:val="00580A75"/>
    <w:rsid w:val="00580AB0"/>
    <w:rsid w:val="00580ABD"/>
    <w:rsid w:val="00580F8E"/>
    <w:rsid w:val="005814E7"/>
    <w:rsid w:val="005816EF"/>
    <w:rsid w:val="005816F9"/>
    <w:rsid w:val="005817A7"/>
    <w:rsid w:val="0058249E"/>
    <w:rsid w:val="00582573"/>
    <w:rsid w:val="0058280E"/>
    <w:rsid w:val="00582A1E"/>
    <w:rsid w:val="00583C94"/>
    <w:rsid w:val="00583D0B"/>
    <w:rsid w:val="00583ED9"/>
    <w:rsid w:val="00584035"/>
    <w:rsid w:val="005841AE"/>
    <w:rsid w:val="005841DB"/>
    <w:rsid w:val="00584630"/>
    <w:rsid w:val="00584702"/>
    <w:rsid w:val="00584825"/>
    <w:rsid w:val="0058491A"/>
    <w:rsid w:val="00584D1F"/>
    <w:rsid w:val="00585002"/>
    <w:rsid w:val="00585267"/>
    <w:rsid w:val="0058567D"/>
    <w:rsid w:val="0058571F"/>
    <w:rsid w:val="00585975"/>
    <w:rsid w:val="005859B4"/>
    <w:rsid w:val="005860D0"/>
    <w:rsid w:val="005861D4"/>
    <w:rsid w:val="0058660E"/>
    <w:rsid w:val="005872C2"/>
    <w:rsid w:val="005879B6"/>
    <w:rsid w:val="00587CDA"/>
    <w:rsid w:val="00587E1E"/>
    <w:rsid w:val="00590069"/>
    <w:rsid w:val="00590ABC"/>
    <w:rsid w:val="00590AC6"/>
    <w:rsid w:val="00590B46"/>
    <w:rsid w:val="00590F71"/>
    <w:rsid w:val="0059141F"/>
    <w:rsid w:val="00591883"/>
    <w:rsid w:val="00592BDD"/>
    <w:rsid w:val="00592F64"/>
    <w:rsid w:val="00593853"/>
    <w:rsid w:val="00593A6C"/>
    <w:rsid w:val="00593C66"/>
    <w:rsid w:val="00593D4A"/>
    <w:rsid w:val="00593FE9"/>
    <w:rsid w:val="005942C9"/>
    <w:rsid w:val="00594543"/>
    <w:rsid w:val="0059478A"/>
    <w:rsid w:val="0059489F"/>
    <w:rsid w:val="005948EF"/>
    <w:rsid w:val="005949C8"/>
    <w:rsid w:val="00594CC5"/>
    <w:rsid w:val="00595061"/>
    <w:rsid w:val="005950A9"/>
    <w:rsid w:val="005952DC"/>
    <w:rsid w:val="00595C9F"/>
    <w:rsid w:val="00595D47"/>
    <w:rsid w:val="00595F14"/>
    <w:rsid w:val="00595F27"/>
    <w:rsid w:val="00595FD7"/>
    <w:rsid w:val="005965E8"/>
    <w:rsid w:val="00596735"/>
    <w:rsid w:val="0059685B"/>
    <w:rsid w:val="00596A23"/>
    <w:rsid w:val="00596A72"/>
    <w:rsid w:val="00596DC5"/>
    <w:rsid w:val="005971F3"/>
    <w:rsid w:val="005972A1"/>
    <w:rsid w:val="00597574"/>
    <w:rsid w:val="005975E8"/>
    <w:rsid w:val="00597638"/>
    <w:rsid w:val="00597CE9"/>
    <w:rsid w:val="005A0774"/>
    <w:rsid w:val="005A0D1C"/>
    <w:rsid w:val="005A0DB9"/>
    <w:rsid w:val="005A0E6E"/>
    <w:rsid w:val="005A12BC"/>
    <w:rsid w:val="005A14B5"/>
    <w:rsid w:val="005A1949"/>
    <w:rsid w:val="005A24F8"/>
    <w:rsid w:val="005A25E3"/>
    <w:rsid w:val="005A2708"/>
    <w:rsid w:val="005A2866"/>
    <w:rsid w:val="005A2969"/>
    <w:rsid w:val="005A2B67"/>
    <w:rsid w:val="005A2C55"/>
    <w:rsid w:val="005A334D"/>
    <w:rsid w:val="005A37FF"/>
    <w:rsid w:val="005A38DA"/>
    <w:rsid w:val="005A3F63"/>
    <w:rsid w:val="005A3F9A"/>
    <w:rsid w:val="005A404B"/>
    <w:rsid w:val="005A4322"/>
    <w:rsid w:val="005A4489"/>
    <w:rsid w:val="005A4BD5"/>
    <w:rsid w:val="005A4CD2"/>
    <w:rsid w:val="005A4F3C"/>
    <w:rsid w:val="005A4F5D"/>
    <w:rsid w:val="005A5259"/>
    <w:rsid w:val="005A52DF"/>
    <w:rsid w:val="005A5453"/>
    <w:rsid w:val="005A59CB"/>
    <w:rsid w:val="005A59D0"/>
    <w:rsid w:val="005A59D9"/>
    <w:rsid w:val="005A5DD5"/>
    <w:rsid w:val="005A5F08"/>
    <w:rsid w:val="005A5FC7"/>
    <w:rsid w:val="005A6130"/>
    <w:rsid w:val="005A62B9"/>
    <w:rsid w:val="005A70D0"/>
    <w:rsid w:val="005A72AD"/>
    <w:rsid w:val="005A75E3"/>
    <w:rsid w:val="005A778B"/>
    <w:rsid w:val="005A7CD1"/>
    <w:rsid w:val="005B04D9"/>
    <w:rsid w:val="005B073E"/>
    <w:rsid w:val="005B0E1F"/>
    <w:rsid w:val="005B1947"/>
    <w:rsid w:val="005B1C40"/>
    <w:rsid w:val="005B227F"/>
    <w:rsid w:val="005B2338"/>
    <w:rsid w:val="005B2577"/>
    <w:rsid w:val="005B2B1D"/>
    <w:rsid w:val="005B2BBF"/>
    <w:rsid w:val="005B312A"/>
    <w:rsid w:val="005B368F"/>
    <w:rsid w:val="005B39D7"/>
    <w:rsid w:val="005B3C31"/>
    <w:rsid w:val="005B3F5F"/>
    <w:rsid w:val="005B3FB8"/>
    <w:rsid w:val="005B4264"/>
    <w:rsid w:val="005B4317"/>
    <w:rsid w:val="005B4500"/>
    <w:rsid w:val="005B4A0D"/>
    <w:rsid w:val="005B4DA5"/>
    <w:rsid w:val="005B4E96"/>
    <w:rsid w:val="005B5941"/>
    <w:rsid w:val="005B5C4F"/>
    <w:rsid w:val="005B5DE3"/>
    <w:rsid w:val="005B638E"/>
    <w:rsid w:val="005B63C6"/>
    <w:rsid w:val="005B65D0"/>
    <w:rsid w:val="005B67B2"/>
    <w:rsid w:val="005B6AFC"/>
    <w:rsid w:val="005B74EC"/>
    <w:rsid w:val="005B776A"/>
    <w:rsid w:val="005B7801"/>
    <w:rsid w:val="005B7CC3"/>
    <w:rsid w:val="005B7E66"/>
    <w:rsid w:val="005B7EE5"/>
    <w:rsid w:val="005B7F16"/>
    <w:rsid w:val="005C01C1"/>
    <w:rsid w:val="005C0B4D"/>
    <w:rsid w:val="005C0D24"/>
    <w:rsid w:val="005C0D89"/>
    <w:rsid w:val="005C101F"/>
    <w:rsid w:val="005C1386"/>
    <w:rsid w:val="005C17AB"/>
    <w:rsid w:val="005C1F76"/>
    <w:rsid w:val="005C1FDE"/>
    <w:rsid w:val="005C27D8"/>
    <w:rsid w:val="005C29F5"/>
    <w:rsid w:val="005C2A08"/>
    <w:rsid w:val="005C2ABD"/>
    <w:rsid w:val="005C2BB8"/>
    <w:rsid w:val="005C2DEA"/>
    <w:rsid w:val="005C3C49"/>
    <w:rsid w:val="005C4091"/>
    <w:rsid w:val="005C4158"/>
    <w:rsid w:val="005C4359"/>
    <w:rsid w:val="005C4728"/>
    <w:rsid w:val="005C485E"/>
    <w:rsid w:val="005C4A16"/>
    <w:rsid w:val="005C4BAC"/>
    <w:rsid w:val="005C4D03"/>
    <w:rsid w:val="005C5131"/>
    <w:rsid w:val="005C529F"/>
    <w:rsid w:val="005C5763"/>
    <w:rsid w:val="005C57EB"/>
    <w:rsid w:val="005C5891"/>
    <w:rsid w:val="005C5E38"/>
    <w:rsid w:val="005C5F5F"/>
    <w:rsid w:val="005C5F6E"/>
    <w:rsid w:val="005C6173"/>
    <w:rsid w:val="005C61D0"/>
    <w:rsid w:val="005C61DC"/>
    <w:rsid w:val="005C62FB"/>
    <w:rsid w:val="005C634D"/>
    <w:rsid w:val="005C643A"/>
    <w:rsid w:val="005C6469"/>
    <w:rsid w:val="005C6586"/>
    <w:rsid w:val="005C65CE"/>
    <w:rsid w:val="005C660E"/>
    <w:rsid w:val="005C68E3"/>
    <w:rsid w:val="005C6B25"/>
    <w:rsid w:val="005C6B91"/>
    <w:rsid w:val="005C6CB3"/>
    <w:rsid w:val="005C7059"/>
    <w:rsid w:val="005C7078"/>
    <w:rsid w:val="005C70A0"/>
    <w:rsid w:val="005C795A"/>
    <w:rsid w:val="005C7DAB"/>
    <w:rsid w:val="005D06F0"/>
    <w:rsid w:val="005D0A54"/>
    <w:rsid w:val="005D0A83"/>
    <w:rsid w:val="005D0B97"/>
    <w:rsid w:val="005D0E74"/>
    <w:rsid w:val="005D0EEA"/>
    <w:rsid w:val="005D0F33"/>
    <w:rsid w:val="005D10D3"/>
    <w:rsid w:val="005D1168"/>
    <w:rsid w:val="005D138D"/>
    <w:rsid w:val="005D1724"/>
    <w:rsid w:val="005D1C1F"/>
    <w:rsid w:val="005D2105"/>
    <w:rsid w:val="005D2743"/>
    <w:rsid w:val="005D3037"/>
    <w:rsid w:val="005D3539"/>
    <w:rsid w:val="005D44B9"/>
    <w:rsid w:val="005D4754"/>
    <w:rsid w:val="005D48E2"/>
    <w:rsid w:val="005D49DA"/>
    <w:rsid w:val="005D4A2F"/>
    <w:rsid w:val="005D4D72"/>
    <w:rsid w:val="005D4D89"/>
    <w:rsid w:val="005D527E"/>
    <w:rsid w:val="005D52CA"/>
    <w:rsid w:val="005D56C9"/>
    <w:rsid w:val="005D58CF"/>
    <w:rsid w:val="005D5B24"/>
    <w:rsid w:val="005D5B2D"/>
    <w:rsid w:val="005D5E08"/>
    <w:rsid w:val="005D5E8E"/>
    <w:rsid w:val="005D5F70"/>
    <w:rsid w:val="005D5FAE"/>
    <w:rsid w:val="005D5FC2"/>
    <w:rsid w:val="005D6461"/>
    <w:rsid w:val="005D6543"/>
    <w:rsid w:val="005D657D"/>
    <w:rsid w:val="005D6642"/>
    <w:rsid w:val="005D6F7B"/>
    <w:rsid w:val="005D6FAF"/>
    <w:rsid w:val="005E00E6"/>
    <w:rsid w:val="005E0919"/>
    <w:rsid w:val="005E09A4"/>
    <w:rsid w:val="005E0C27"/>
    <w:rsid w:val="005E0D43"/>
    <w:rsid w:val="005E1388"/>
    <w:rsid w:val="005E1438"/>
    <w:rsid w:val="005E17FB"/>
    <w:rsid w:val="005E1E0E"/>
    <w:rsid w:val="005E23BC"/>
    <w:rsid w:val="005E26F6"/>
    <w:rsid w:val="005E27FA"/>
    <w:rsid w:val="005E2858"/>
    <w:rsid w:val="005E2EE2"/>
    <w:rsid w:val="005E30E5"/>
    <w:rsid w:val="005E3749"/>
    <w:rsid w:val="005E3AF3"/>
    <w:rsid w:val="005E3C94"/>
    <w:rsid w:val="005E41D8"/>
    <w:rsid w:val="005E4276"/>
    <w:rsid w:val="005E43E9"/>
    <w:rsid w:val="005E4635"/>
    <w:rsid w:val="005E4A6A"/>
    <w:rsid w:val="005E4AFC"/>
    <w:rsid w:val="005E4BC9"/>
    <w:rsid w:val="005E564A"/>
    <w:rsid w:val="005E58C6"/>
    <w:rsid w:val="005E5942"/>
    <w:rsid w:val="005E5950"/>
    <w:rsid w:val="005E5FD2"/>
    <w:rsid w:val="005E6213"/>
    <w:rsid w:val="005E6278"/>
    <w:rsid w:val="005E62F7"/>
    <w:rsid w:val="005E6608"/>
    <w:rsid w:val="005E7318"/>
    <w:rsid w:val="005E74EB"/>
    <w:rsid w:val="005E7608"/>
    <w:rsid w:val="005E777D"/>
    <w:rsid w:val="005F0084"/>
    <w:rsid w:val="005F041B"/>
    <w:rsid w:val="005F06A6"/>
    <w:rsid w:val="005F06B1"/>
    <w:rsid w:val="005F07FE"/>
    <w:rsid w:val="005F08D0"/>
    <w:rsid w:val="005F1E7E"/>
    <w:rsid w:val="005F1F5F"/>
    <w:rsid w:val="005F20F6"/>
    <w:rsid w:val="005F245F"/>
    <w:rsid w:val="005F274D"/>
    <w:rsid w:val="005F29B7"/>
    <w:rsid w:val="005F29FF"/>
    <w:rsid w:val="005F2A1E"/>
    <w:rsid w:val="005F2C3D"/>
    <w:rsid w:val="005F2EB1"/>
    <w:rsid w:val="005F3024"/>
    <w:rsid w:val="005F3596"/>
    <w:rsid w:val="005F383C"/>
    <w:rsid w:val="005F38A1"/>
    <w:rsid w:val="005F3A6A"/>
    <w:rsid w:val="005F3A6E"/>
    <w:rsid w:val="005F3B37"/>
    <w:rsid w:val="005F3D91"/>
    <w:rsid w:val="005F4154"/>
    <w:rsid w:val="005F4CD9"/>
    <w:rsid w:val="005F5AA2"/>
    <w:rsid w:val="005F63A8"/>
    <w:rsid w:val="005F6A67"/>
    <w:rsid w:val="005F70B4"/>
    <w:rsid w:val="005F7179"/>
    <w:rsid w:val="005F781B"/>
    <w:rsid w:val="005F7A7B"/>
    <w:rsid w:val="005F7A7C"/>
    <w:rsid w:val="005F7BD1"/>
    <w:rsid w:val="005F7C87"/>
    <w:rsid w:val="005F7E34"/>
    <w:rsid w:val="005F7F20"/>
    <w:rsid w:val="006002CE"/>
    <w:rsid w:val="0060038B"/>
    <w:rsid w:val="006007B3"/>
    <w:rsid w:val="006007E0"/>
    <w:rsid w:val="00600AD8"/>
    <w:rsid w:val="00601A5A"/>
    <w:rsid w:val="00601C67"/>
    <w:rsid w:val="00601EB8"/>
    <w:rsid w:val="00601F68"/>
    <w:rsid w:val="00602039"/>
    <w:rsid w:val="00602285"/>
    <w:rsid w:val="00602C2B"/>
    <w:rsid w:val="00602D39"/>
    <w:rsid w:val="00602D59"/>
    <w:rsid w:val="00603193"/>
    <w:rsid w:val="0060367E"/>
    <w:rsid w:val="006039D2"/>
    <w:rsid w:val="00603F6B"/>
    <w:rsid w:val="00604F7F"/>
    <w:rsid w:val="00605132"/>
    <w:rsid w:val="006051EA"/>
    <w:rsid w:val="00605411"/>
    <w:rsid w:val="00605A4A"/>
    <w:rsid w:val="00605BD0"/>
    <w:rsid w:val="00605D0A"/>
    <w:rsid w:val="00605F94"/>
    <w:rsid w:val="006062BB"/>
    <w:rsid w:val="006063F5"/>
    <w:rsid w:val="006064CE"/>
    <w:rsid w:val="006066EF"/>
    <w:rsid w:val="00606728"/>
    <w:rsid w:val="006067C5"/>
    <w:rsid w:val="00606A1E"/>
    <w:rsid w:val="00606EB5"/>
    <w:rsid w:val="00606FC8"/>
    <w:rsid w:val="0060707F"/>
    <w:rsid w:val="00607E4B"/>
    <w:rsid w:val="00607ECD"/>
    <w:rsid w:val="006104AF"/>
    <w:rsid w:val="006106F1"/>
    <w:rsid w:val="00610A36"/>
    <w:rsid w:val="00611B26"/>
    <w:rsid w:val="00611C7B"/>
    <w:rsid w:val="00611FCC"/>
    <w:rsid w:val="006123C4"/>
    <w:rsid w:val="00612439"/>
    <w:rsid w:val="00612A33"/>
    <w:rsid w:val="00612B32"/>
    <w:rsid w:val="00612BB5"/>
    <w:rsid w:val="00612EAD"/>
    <w:rsid w:val="00613175"/>
    <w:rsid w:val="0061334B"/>
    <w:rsid w:val="00613813"/>
    <w:rsid w:val="006142D7"/>
    <w:rsid w:val="00614410"/>
    <w:rsid w:val="006145D3"/>
    <w:rsid w:val="00614B0D"/>
    <w:rsid w:val="00614E40"/>
    <w:rsid w:val="0061507A"/>
    <w:rsid w:val="0061576C"/>
    <w:rsid w:val="006157C8"/>
    <w:rsid w:val="00615CAC"/>
    <w:rsid w:val="00616239"/>
    <w:rsid w:val="00616434"/>
    <w:rsid w:val="006167C8"/>
    <w:rsid w:val="006168F9"/>
    <w:rsid w:val="00616959"/>
    <w:rsid w:val="00616C90"/>
    <w:rsid w:val="00616D1D"/>
    <w:rsid w:val="00616E98"/>
    <w:rsid w:val="00617492"/>
    <w:rsid w:val="00617508"/>
    <w:rsid w:val="00617E10"/>
    <w:rsid w:val="00617FBC"/>
    <w:rsid w:val="00617FDA"/>
    <w:rsid w:val="006205ED"/>
    <w:rsid w:val="00620E0A"/>
    <w:rsid w:val="00620FB0"/>
    <w:rsid w:val="00621112"/>
    <w:rsid w:val="0062116F"/>
    <w:rsid w:val="00621216"/>
    <w:rsid w:val="006213D2"/>
    <w:rsid w:val="006218AD"/>
    <w:rsid w:val="00622306"/>
    <w:rsid w:val="00622594"/>
    <w:rsid w:val="00622764"/>
    <w:rsid w:val="006231DE"/>
    <w:rsid w:val="00623671"/>
    <w:rsid w:val="00623D6D"/>
    <w:rsid w:val="00623FD7"/>
    <w:rsid w:val="00624474"/>
    <w:rsid w:val="006244D0"/>
    <w:rsid w:val="0062463F"/>
    <w:rsid w:val="006247B2"/>
    <w:rsid w:val="00624AA0"/>
    <w:rsid w:val="00624CE7"/>
    <w:rsid w:val="00624E47"/>
    <w:rsid w:val="00624EF5"/>
    <w:rsid w:val="00624F7C"/>
    <w:rsid w:val="00625517"/>
    <w:rsid w:val="00625B70"/>
    <w:rsid w:val="00625CFA"/>
    <w:rsid w:val="00626087"/>
    <w:rsid w:val="006260D4"/>
    <w:rsid w:val="006268AE"/>
    <w:rsid w:val="00626D1E"/>
    <w:rsid w:val="00627556"/>
    <w:rsid w:val="006276E8"/>
    <w:rsid w:val="0062777F"/>
    <w:rsid w:val="006278CA"/>
    <w:rsid w:val="00627AE6"/>
    <w:rsid w:val="0063099A"/>
    <w:rsid w:val="00630B63"/>
    <w:rsid w:val="00630CAE"/>
    <w:rsid w:val="00630CB5"/>
    <w:rsid w:val="006318F5"/>
    <w:rsid w:val="00631ACD"/>
    <w:rsid w:val="00631B4A"/>
    <w:rsid w:val="0063207C"/>
    <w:rsid w:val="006321E5"/>
    <w:rsid w:val="0063222E"/>
    <w:rsid w:val="0063248B"/>
    <w:rsid w:val="006324DE"/>
    <w:rsid w:val="0063283A"/>
    <w:rsid w:val="00632D06"/>
    <w:rsid w:val="00632DA0"/>
    <w:rsid w:val="00632E43"/>
    <w:rsid w:val="00633150"/>
    <w:rsid w:val="00633277"/>
    <w:rsid w:val="00633505"/>
    <w:rsid w:val="00633865"/>
    <w:rsid w:val="00633CE6"/>
    <w:rsid w:val="006346B1"/>
    <w:rsid w:val="006346F7"/>
    <w:rsid w:val="0063494D"/>
    <w:rsid w:val="00634A3F"/>
    <w:rsid w:val="00634B45"/>
    <w:rsid w:val="00634BAA"/>
    <w:rsid w:val="00634C55"/>
    <w:rsid w:val="00634E4C"/>
    <w:rsid w:val="0063576F"/>
    <w:rsid w:val="00635B27"/>
    <w:rsid w:val="00636B8B"/>
    <w:rsid w:val="00636B8E"/>
    <w:rsid w:val="00636D90"/>
    <w:rsid w:val="006373B5"/>
    <w:rsid w:val="006379B5"/>
    <w:rsid w:val="006379B7"/>
    <w:rsid w:val="00637BF5"/>
    <w:rsid w:val="00637CD2"/>
    <w:rsid w:val="0064041A"/>
    <w:rsid w:val="006405A1"/>
    <w:rsid w:val="00640921"/>
    <w:rsid w:val="006409A0"/>
    <w:rsid w:val="00640EB4"/>
    <w:rsid w:val="00641562"/>
    <w:rsid w:val="006417F7"/>
    <w:rsid w:val="006419B4"/>
    <w:rsid w:val="006419BC"/>
    <w:rsid w:val="00641EAA"/>
    <w:rsid w:val="00641F25"/>
    <w:rsid w:val="00642108"/>
    <w:rsid w:val="006427FE"/>
    <w:rsid w:val="0064285A"/>
    <w:rsid w:val="00642B09"/>
    <w:rsid w:val="00642D43"/>
    <w:rsid w:val="00642E11"/>
    <w:rsid w:val="00642F40"/>
    <w:rsid w:val="00642F68"/>
    <w:rsid w:val="0064306A"/>
    <w:rsid w:val="006431BD"/>
    <w:rsid w:val="006435A9"/>
    <w:rsid w:val="006438C5"/>
    <w:rsid w:val="006438DF"/>
    <w:rsid w:val="00643943"/>
    <w:rsid w:val="00643F84"/>
    <w:rsid w:val="006440AF"/>
    <w:rsid w:val="00644703"/>
    <w:rsid w:val="00644C09"/>
    <w:rsid w:val="00644C75"/>
    <w:rsid w:val="00644C78"/>
    <w:rsid w:val="00644CEF"/>
    <w:rsid w:val="00645C26"/>
    <w:rsid w:val="00646279"/>
    <w:rsid w:val="006462C2"/>
    <w:rsid w:val="00646693"/>
    <w:rsid w:val="00646695"/>
    <w:rsid w:val="006467EC"/>
    <w:rsid w:val="00646C47"/>
    <w:rsid w:val="00647202"/>
    <w:rsid w:val="00647554"/>
    <w:rsid w:val="00647714"/>
    <w:rsid w:val="0064794A"/>
    <w:rsid w:val="00647C33"/>
    <w:rsid w:val="00647EB4"/>
    <w:rsid w:val="00650042"/>
    <w:rsid w:val="00650321"/>
    <w:rsid w:val="0065043A"/>
    <w:rsid w:val="0065043E"/>
    <w:rsid w:val="006506C1"/>
    <w:rsid w:val="00650712"/>
    <w:rsid w:val="0065071D"/>
    <w:rsid w:val="006508C0"/>
    <w:rsid w:val="00650B84"/>
    <w:rsid w:val="00650D66"/>
    <w:rsid w:val="00650E37"/>
    <w:rsid w:val="0065122F"/>
    <w:rsid w:val="00651585"/>
    <w:rsid w:val="006515DC"/>
    <w:rsid w:val="006515E9"/>
    <w:rsid w:val="00651840"/>
    <w:rsid w:val="00651B92"/>
    <w:rsid w:val="006520D0"/>
    <w:rsid w:val="00652103"/>
    <w:rsid w:val="00652380"/>
    <w:rsid w:val="006523DF"/>
    <w:rsid w:val="00652576"/>
    <w:rsid w:val="006526B9"/>
    <w:rsid w:val="00652828"/>
    <w:rsid w:val="00652B32"/>
    <w:rsid w:val="00652CCB"/>
    <w:rsid w:val="00652D14"/>
    <w:rsid w:val="00652E2D"/>
    <w:rsid w:val="00653000"/>
    <w:rsid w:val="00653069"/>
    <w:rsid w:val="00653B56"/>
    <w:rsid w:val="00653F3F"/>
    <w:rsid w:val="0065401D"/>
    <w:rsid w:val="00654685"/>
    <w:rsid w:val="006549D7"/>
    <w:rsid w:val="00654A31"/>
    <w:rsid w:val="00654D67"/>
    <w:rsid w:val="00655A2F"/>
    <w:rsid w:val="00655D59"/>
    <w:rsid w:val="0065629C"/>
    <w:rsid w:val="00656488"/>
    <w:rsid w:val="006570D5"/>
    <w:rsid w:val="0065747A"/>
    <w:rsid w:val="0065777D"/>
    <w:rsid w:val="006578E3"/>
    <w:rsid w:val="006605E3"/>
    <w:rsid w:val="006606DB"/>
    <w:rsid w:val="00660A70"/>
    <w:rsid w:val="0066176F"/>
    <w:rsid w:val="00661BD5"/>
    <w:rsid w:val="00661C45"/>
    <w:rsid w:val="00662030"/>
    <w:rsid w:val="00662352"/>
    <w:rsid w:val="00662BB7"/>
    <w:rsid w:val="00662E28"/>
    <w:rsid w:val="0066335B"/>
    <w:rsid w:val="006635C2"/>
    <w:rsid w:val="00663A46"/>
    <w:rsid w:val="006640C7"/>
    <w:rsid w:val="00664317"/>
    <w:rsid w:val="00665296"/>
    <w:rsid w:val="0066535B"/>
    <w:rsid w:val="006653F3"/>
    <w:rsid w:val="00665649"/>
    <w:rsid w:val="006661A5"/>
    <w:rsid w:val="00666555"/>
    <w:rsid w:val="00666639"/>
    <w:rsid w:val="0066674D"/>
    <w:rsid w:val="00666A78"/>
    <w:rsid w:val="00666EA7"/>
    <w:rsid w:val="0066735F"/>
    <w:rsid w:val="0066738F"/>
    <w:rsid w:val="00670388"/>
    <w:rsid w:val="00670407"/>
    <w:rsid w:val="00670730"/>
    <w:rsid w:val="00670EA8"/>
    <w:rsid w:val="00670EEA"/>
    <w:rsid w:val="00671282"/>
    <w:rsid w:val="006722FB"/>
    <w:rsid w:val="0067269E"/>
    <w:rsid w:val="0067270A"/>
    <w:rsid w:val="0067291C"/>
    <w:rsid w:val="00672D5D"/>
    <w:rsid w:val="00673058"/>
    <w:rsid w:val="00673361"/>
    <w:rsid w:val="006734C4"/>
    <w:rsid w:val="00673A63"/>
    <w:rsid w:val="00673B02"/>
    <w:rsid w:val="00673BB8"/>
    <w:rsid w:val="00673D1E"/>
    <w:rsid w:val="00673D77"/>
    <w:rsid w:val="00673D81"/>
    <w:rsid w:val="006741C7"/>
    <w:rsid w:val="006751A5"/>
    <w:rsid w:val="0067560E"/>
    <w:rsid w:val="0067585A"/>
    <w:rsid w:val="00675AAB"/>
    <w:rsid w:val="00675AC0"/>
    <w:rsid w:val="0067613A"/>
    <w:rsid w:val="00676AF2"/>
    <w:rsid w:val="00676C12"/>
    <w:rsid w:val="006771C2"/>
    <w:rsid w:val="0067796D"/>
    <w:rsid w:val="0068017F"/>
    <w:rsid w:val="0068026D"/>
    <w:rsid w:val="00680A2A"/>
    <w:rsid w:val="00680E89"/>
    <w:rsid w:val="006816AA"/>
    <w:rsid w:val="0068182D"/>
    <w:rsid w:val="006818D8"/>
    <w:rsid w:val="00681921"/>
    <w:rsid w:val="006821AE"/>
    <w:rsid w:val="006828DA"/>
    <w:rsid w:val="0068325B"/>
    <w:rsid w:val="0068328D"/>
    <w:rsid w:val="00683AFF"/>
    <w:rsid w:val="00683C8D"/>
    <w:rsid w:val="00683F4D"/>
    <w:rsid w:val="006840CB"/>
    <w:rsid w:val="0068444E"/>
    <w:rsid w:val="006849D3"/>
    <w:rsid w:val="00684B46"/>
    <w:rsid w:val="00684BA5"/>
    <w:rsid w:val="006854C1"/>
    <w:rsid w:val="006856D6"/>
    <w:rsid w:val="00685890"/>
    <w:rsid w:val="006858A3"/>
    <w:rsid w:val="00685FDA"/>
    <w:rsid w:val="006863E1"/>
    <w:rsid w:val="00686803"/>
    <w:rsid w:val="00686F6B"/>
    <w:rsid w:val="00687621"/>
    <w:rsid w:val="00687DC7"/>
    <w:rsid w:val="00687FD8"/>
    <w:rsid w:val="00690460"/>
    <w:rsid w:val="006904A5"/>
    <w:rsid w:val="006907FD"/>
    <w:rsid w:val="00690CA5"/>
    <w:rsid w:val="00690EF4"/>
    <w:rsid w:val="006911A2"/>
    <w:rsid w:val="00691276"/>
    <w:rsid w:val="006915DC"/>
    <w:rsid w:val="0069168A"/>
    <w:rsid w:val="00691943"/>
    <w:rsid w:val="00691F74"/>
    <w:rsid w:val="006920B5"/>
    <w:rsid w:val="006926B4"/>
    <w:rsid w:val="006928BD"/>
    <w:rsid w:val="006933A2"/>
    <w:rsid w:val="0069353E"/>
    <w:rsid w:val="006936EE"/>
    <w:rsid w:val="0069375D"/>
    <w:rsid w:val="00693C0D"/>
    <w:rsid w:val="00693E85"/>
    <w:rsid w:val="00693F0F"/>
    <w:rsid w:val="00693F5D"/>
    <w:rsid w:val="0069407C"/>
    <w:rsid w:val="0069437E"/>
    <w:rsid w:val="0069487E"/>
    <w:rsid w:val="00694C76"/>
    <w:rsid w:val="00694E0C"/>
    <w:rsid w:val="006951CD"/>
    <w:rsid w:val="006954A8"/>
    <w:rsid w:val="006956D1"/>
    <w:rsid w:val="0069574E"/>
    <w:rsid w:val="00695F2D"/>
    <w:rsid w:val="00696991"/>
    <w:rsid w:val="006969C0"/>
    <w:rsid w:val="00696CEC"/>
    <w:rsid w:val="00696FEE"/>
    <w:rsid w:val="00697136"/>
    <w:rsid w:val="0069781E"/>
    <w:rsid w:val="00697AEB"/>
    <w:rsid w:val="00697B47"/>
    <w:rsid w:val="006A01D4"/>
    <w:rsid w:val="006A038F"/>
    <w:rsid w:val="006A0462"/>
    <w:rsid w:val="006A0792"/>
    <w:rsid w:val="006A0891"/>
    <w:rsid w:val="006A09BA"/>
    <w:rsid w:val="006A0C25"/>
    <w:rsid w:val="006A0DE3"/>
    <w:rsid w:val="006A0E1A"/>
    <w:rsid w:val="006A103C"/>
    <w:rsid w:val="006A11D6"/>
    <w:rsid w:val="006A132B"/>
    <w:rsid w:val="006A13DB"/>
    <w:rsid w:val="006A1886"/>
    <w:rsid w:val="006A1921"/>
    <w:rsid w:val="006A2303"/>
    <w:rsid w:val="006A2460"/>
    <w:rsid w:val="006A250C"/>
    <w:rsid w:val="006A3504"/>
    <w:rsid w:val="006A35D3"/>
    <w:rsid w:val="006A3DB4"/>
    <w:rsid w:val="006A42CC"/>
    <w:rsid w:val="006A4629"/>
    <w:rsid w:val="006A4D5D"/>
    <w:rsid w:val="006A4FC0"/>
    <w:rsid w:val="006A5A7F"/>
    <w:rsid w:val="006A5D32"/>
    <w:rsid w:val="006A63B6"/>
    <w:rsid w:val="006A6758"/>
    <w:rsid w:val="006A6875"/>
    <w:rsid w:val="006A689F"/>
    <w:rsid w:val="006A6CE6"/>
    <w:rsid w:val="006A6D32"/>
    <w:rsid w:val="006A6D42"/>
    <w:rsid w:val="006A6DE8"/>
    <w:rsid w:val="006A6E4C"/>
    <w:rsid w:val="006A7006"/>
    <w:rsid w:val="006A71F3"/>
    <w:rsid w:val="006A72E4"/>
    <w:rsid w:val="006A75B3"/>
    <w:rsid w:val="006A75FA"/>
    <w:rsid w:val="006A78CD"/>
    <w:rsid w:val="006A7A04"/>
    <w:rsid w:val="006A7C83"/>
    <w:rsid w:val="006B0716"/>
    <w:rsid w:val="006B08A8"/>
    <w:rsid w:val="006B09BF"/>
    <w:rsid w:val="006B0E65"/>
    <w:rsid w:val="006B1B15"/>
    <w:rsid w:val="006B2655"/>
    <w:rsid w:val="006B28CD"/>
    <w:rsid w:val="006B2B43"/>
    <w:rsid w:val="006B2E5D"/>
    <w:rsid w:val="006B306C"/>
    <w:rsid w:val="006B333B"/>
    <w:rsid w:val="006B3390"/>
    <w:rsid w:val="006B3F38"/>
    <w:rsid w:val="006B3FB5"/>
    <w:rsid w:val="006B4345"/>
    <w:rsid w:val="006B503D"/>
    <w:rsid w:val="006B52BF"/>
    <w:rsid w:val="006B5BCB"/>
    <w:rsid w:val="006B5E0C"/>
    <w:rsid w:val="006B5E3F"/>
    <w:rsid w:val="006B642C"/>
    <w:rsid w:val="006B6657"/>
    <w:rsid w:val="006B667C"/>
    <w:rsid w:val="006B7072"/>
    <w:rsid w:val="006B7365"/>
    <w:rsid w:val="006B74AC"/>
    <w:rsid w:val="006B797F"/>
    <w:rsid w:val="006B7F7E"/>
    <w:rsid w:val="006B7FBE"/>
    <w:rsid w:val="006C029E"/>
    <w:rsid w:val="006C048C"/>
    <w:rsid w:val="006C05EF"/>
    <w:rsid w:val="006C07D1"/>
    <w:rsid w:val="006C0DBF"/>
    <w:rsid w:val="006C1057"/>
    <w:rsid w:val="006C10D9"/>
    <w:rsid w:val="006C1100"/>
    <w:rsid w:val="006C1512"/>
    <w:rsid w:val="006C1A4F"/>
    <w:rsid w:val="006C1B75"/>
    <w:rsid w:val="006C1BE3"/>
    <w:rsid w:val="006C1CCF"/>
    <w:rsid w:val="006C20E7"/>
    <w:rsid w:val="006C2B4D"/>
    <w:rsid w:val="006C2E62"/>
    <w:rsid w:val="006C32A0"/>
    <w:rsid w:val="006C3554"/>
    <w:rsid w:val="006C3564"/>
    <w:rsid w:val="006C35B5"/>
    <w:rsid w:val="006C3755"/>
    <w:rsid w:val="006C3773"/>
    <w:rsid w:val="006C3B5E"/>
    <w:rsid w:val="006C3BD8"/>
    <w:rsid w:val="006C3FCD"/>
    <w:rsid w:val="006C421B"/>
    <w:rsid w:val="006C4519"/>
    <w:rsid w:val="006C4906"/>
    <w:rsid w:val="006C4D75"/>
    <w:rsid w:val="006C5263"/>
    <w:rsid w:val="006C5494"/>
    <w:rsid w:val="006C5855"/>
    <w:rsid w:val="006C5903"/>
    <w:rsid w:val="006C5C55"/>
    <w:rsid w:val="006C6097"/>
    <w:rsid w:val="006C632B"/>
    <w:rsid w:val="006C66F9"/>
    <w:rsid w:val="006C6710"/>
    <w:rsid w:val="006C6C47"/>
    <w:rsid w:val="006C7758"/>
    <w:rsid w:val="006C7A0C"/>
    <w:rsid w:val="006D07CF"/>
    <w:rsid w:val="006D085D"/>
    <w:rsid w:val="006D0F9D"/>
    <w:rsid w:val="006D11A9"/>
    <w:rsid w:val="006D12A3"/>
    <w:rsid w:val="006D1623"/>
    <w:rsid w:val="006D1A5B"/>
    <w:rsid w:val="006D1C04"/>
    <w:rsid w:val="006D21D4"/>
    <w:rsid w:val="006D2279"/>
    <w:rsid w:val="006D2418"/>
    <w:rsid w:val="006D2486"/>
    <w:rsid w:val="006D2963"/>
    <w:rsid w:val="006D2A45"/>
    <w:rsid w:val="006D2C5E"/>
    <w:rsid w:val="006D2F0F"/>
    <w:rsid w:val="006D328E"/>
    <w:rsid w:val="006D33E0"/>
    <w:rsid w:val="006D344F"/>
    <w:rsid w:val="006D350F"/>
    <w:rsid w:val="006D3BA6"/>
    <w:rsid w:val="006D3D2E"/>
    <w:rsid w:val="006D3EAC"/>
    <w:rsid w:val="006D4211"/>
    <w:rsid w:val="006D457F"/>
    <w:rsid w:val="006D4847"/>
    <w:rsid w:val="006D485B"/>
    <w:rsid w:val="006D4965"/>
    <w:rsid w:val="006D4C2A"/>
    <w:rsid w:val="006D4D01"/>
    <w:rsid w:val="006D54B2"/>
    <w:rsid w:val="006D5B6A"/>
    <w:rsid w:val="006D5B97"/>
    <w:rsid w:val="006D5CDB"/>
    <w:rsid w:val="006D5EF0"/>
    <w:rsid w:val="006D6037"/>
    <w:rsid w:val="006D604C"/>
    <w:rsid w:val="006D658F"/>
    <w:rsid w:val="006D6A44"/>
    <w:rsid w:val="006D6B14"/>
    <w:rsid w:val="006D6C79"/>
    <w:rsid w:val="006D6E2B"/>
    <w:rsid w:val="006D71B8"/>
    <w:rsid w:val="006D7CE5"/>
    <w:rsid w:val="006D7F9E"/>
    <w:rsid w:val="006D7FC2"/>
    <w:rsid w:val="006E044A"/>
    <w:rsid w:val="006E0544"/>
    <w:rsid w:val="006E0B16"/>
    <w:rsid w:val="006E0FE1"/>
    <w:rsid w:val="006E113C"/>
    <w:rsid w:val="006E15F5"/>
    <w:rsid w:val="006E176C"/>
    <w:rsid w:val="006E1DF5"/>
    <w:rsid w:val="006E1E85"/>
    <w:rsid w:val="006E1EE7"/>
    <w:rsid w:val="006E228A"/>
    <w:rsid w:val="006E258F"/>
    <w:rsid w:val="006E27F8"/>
    <w:rsid w:val="006E2A70"/>
    <w:rsid w:val="006E2F3E"/>
    <w:rsid w:val="006E33DE"/>
    <w:rsid w:val="006E33E4"/>
    <w:rsid w:val="006E3544"/>
    <w:rsid w:val="006E3920"/>
    <w:rsid w:val="006E3EE9"/>
    <w:rsid w:val="006E4049"/>
    <w:rsid w:val="006E4081"/>
    <w:rsid w:val="006E4272"/>
    <w:rsid w:val="006E4436"/>
    <w:rsid w:val="006E4461"/>
    <w:rsid w:val="006E44CD"/>
    <w:rsid w:val="006E45C8"/>
    <w:rsid w:val="006E4A27"/>
    <w:rsid w:val="006E4B56"/>
    <w:rsid w:val="006E4E28"/>
    <w:rsid w:val="006E509E"/>
    <w:rsid w:val="006E542E"/>
    <w:rsid w:val="006E549D"/>
    <w:rsid w:val="006E5895"/>
    <w:rsid w:val="006E5BCA"/>
    <w:rsid w:val="006E6C82"/>
    <w:rsid w:val="006E6EEB"/>
    <w:rsid w:val="006E6F79"/>
    <w:rsid w:val="006E6FC8"/>
    <w:rsid w:val="006E7BD9"/>
    <w:rsid w:val="006F0769"/>
    <w:rsid w:val="006F08AB"/>
    <w:rsid w:val="006F08DD"/>
    <w:rsid w:val="006F0A6F"/>
    <w:rsid w:val="006F0C3A"/>
    <w:rsid w:val="006F0C3B"/>
    <w:rsid w:val="006F0C98"/>
    <w:rsid w:val="006F0D45"/>
    <w:rsid w:val="006F0FCE"/>
    <w:rsid w:val="006F145A"/>
    <w:rsid w:val="006F1823"/>
    <w:rsid w:val="006F19ED"/>
    <w:rsid w:val="006F1A63"/>
    <w:rsid w:val="006F20C8"/>
    <w:rsid w:val="006F24A4"/>
    <w:rsid w:val="006F27CB"/>
    <w:rsid w:val="006F281C"/>
    <w:rsid w:val="006F320D"/>
    <w:rsid w:val="006F3225"/>
    <w:rsid w:val="006F33F4"/>
    <w:rsid w:val="006F3474"/>
    <w:rsid w:val="006F359B"/>
    <w:rsid w:val="006F39EB"/>
    <w:rsid w:val="006F39F6"/>
    <w:rsid w:val="006F3FC4"/>
    <w:rsid w:val="006F43A3"/>
    <w:rsid w:val="006F47A4"/>
    <w:rsid w:val="006F4D5D"/>
    <w:rsid w:val="006F4F82"/>
    <w:rsid w:val="006F515B"/>
    <w:rsid w:val="006F51C3"/>
    <w:rsid w:val="006F5243"/>
    <w:rsid w:val="006F5865"/>
    <w:rsid w:val="006F59A4"/>
    <w:rsid w:val="006F5CF8"/>
    <w:rsid w:val="006F5DE3"/>
    <w:rsid w:val="006F5F21"/>
    <w:rsid w:val="006F6018"/>
    <w:rsid w:val="006F6155"/>
    <w:rsid w:val="006F63F9"/>
    <w:rsid w:val="006F68FD"/>
    <w:rsid w:val="006F6D49"/>
    <w:rsid w:val="006F72F5"/>
    <w:rsid w:val="006F7E43"/>
    <w:rsid w:val="007005E1"/>
    <w:rsid w:val="007009DF"/>
    <w:rsid w:val="00700C47"/>
    <w:rsid w:val="00700C96"/>
    <w:rsid w:val="0070109B"/>
    <w:rsid w:val="0070119F"/>
    <w:rsid w:val="007016AD"/>
    <w:rsid w:val="00701C54"/>
    <w:rsid w:val="00701EC6"/>
    <w:rsid w:val="00702455"/>
    <w:rsid w:val="0070267B"/>
    <w:rsid w:val="00702CBB"/>
    <w:rsid w:val="00702DDC"/>
    <w:rsid w:val="00702EBA"/>
    <w:rsid w:val="00702EC2"/>
    <w:rsid w:val="007032FB"/>
    <w:rsid w:val="007035F6"/>
    <w:rsid w:val="00703A8E"/>
    <w:rsid w:val="00703DC0"/>
    <w:rsid w:val="007041B0"/>
    <w:rsid w:val="0070457E"/>
    <w:rsid w:val="007045D2"/>
    <w:rsid w:val="00704AA3"/>
    <w:rsid w:val="00704BDC"/>
    <w:rsid w:val="00704C92"/>
    <w:rsid w:val="0070532D"/>
    <w:rsid w:val="00705755"/>
    <w:rsid w:val="00705773"/>
    <w:rsid w:val="0070590A"/>
    <w:rsid w:val="00705BAB"/>
    <w:rsid w:val="00705C17"/>
    <w:rsid w:val="00706179"/>
    <w:rsid w:val="00706964"/>
    <w:rsid w:val="00706A14"/>
    <w:rsid w:val="007071B8"/>
    <w:rsid w:val="00707280"/>
    <w:rsid w:val="0070732B"/>
    <w:rsid w:val="00710294"/>
    <w:rsid w:val="00710C8E"/>
    <w:rsid w:val="0071119C"/>
    <w:rsid w:val="0071137E"/>
    <w:rsid w:val="007115CE"/>
    <w:rsid w:val="00711FF5"/>
    <w:rsid w:val="007120AA"/>
    <w:rsid w:val="00712138"/>
    <w:rsid w:val="007124BA"/>
    <w:rsid w:val="00712536"/>
    <w:rsid w:val="00712BDF"/>
    <w:rsid w:val="00712CA2"/>
    <w:rsid w:val="00712CCD"/>
    <w:rsid w:val="00712F0D"/>
    <w:rsid w:val="00712F84"/>
    <w:rsid w:val="0071320C"/>
    <w:rsid w:val="007132F1"/>
    <w:rsid w:val="007136C6"/>
    <w:rsid w:val="00713CB4"/>
    <w:rsid w:val="00713DB7"/>
    <w:rsid w:val="00713F60"/>
    <w:rsid w:val="0071415E"/>
    <w:rsid w:val="0071454A"/>
    <w:rsid w:val="007149A2"/>
    <w:rsid w:val="00714C53"/>
    <w:rsid w:val="00714DDA"/>
    <w:rsid w:val="00714EAF"/>
    <w:rsid w:val="00714EB6"/>
    <w:rsid w:val="00714F78"/>
    <w:rsid w:val="00715155"/>
    <w:rsid w:val="007152B0"/>
    <w:rsid w:val="007152D9"/>
    <w:rsid w:val="007158CC"/>
    <w:rsid w:val="00715962"/>
    <w:rsid w:val="00715A08"/>
    <w:rsid w:val="00715AD4"/>
    <w:rsid w:val="00715E12"/>
    <w:rsid w:val="0071629D"/>
    <w:rsid w:val="007164E7"/>
    <w:rsid w:val="007169D2"/>
    <w:rsid w:val="007170F7"/>
    <w:rsid w:val="0071732B"/>
    <w:rsid w:val="00717668"/>
    <w:rsid w:val="0071783D"/>
    <w:rsid w:val="00717B07"/>
    <w:rsid w:val="00717CF9"/>
    <w:rsid w:val="00717FF8"/>
    <w:rsid w:val="00720014"/>
    <w:rsid w:val="00720400"/>
    <w:rsid w:val="00720579"/>
    <w:rsid w:val="00720727"/>
    <w:rsid w:val="00720826"/>
    <w:rsid w:val="00720A8E"/>
    <w:rsid w:val="00720B74"/>
    <w:rsid w:val="00720C4A"/>
    <w:rsid w:val="00721640"/>
    <w:rsid w:val="00721BB7"/>
    <w:rsid w:val="00722280"/>
    <w:rsid w:val="0072232D"/>
    <w:rsid w:val="007223E9"/>
    <w:rsid w:val="00722F9F"/>
    <w:rsid w:val="007234D0"/>
    <w:rsid w:val="0072350E"/>
    <w:rsid w:val="0072402E"/>
    <w:rsid w:val="00724164"/>
    <w:rsid w:val="007242EA"/>
    <w:rsid w:val="00724667"/>
    <w:rsid w:val="0072494B"/>
    <w:rsid w:val="00724ABE"/>
    <w:rsid w:val="007251EB"/>
    <w:rsid w:val="0072532A"/>
    <w:rsid w:val="00725346"/>
    <w:rsid w:val="007253B8"/>
    <w:rsid w:val="00725611"/>
    <w:rsid w:val="00725C4A"/>
    <w:rsid w:val="00725EE5"/>
    <w:rsid w:val="00725EF9"/>
    <w:rsid w:val="00726304"/>
    <w:rsid w:val="00726326"/>
    <w:rsid w:val="007264F1"/>
    <w:rsid w:val="00726514"/>
    <w:rsid w:val="0072655A"/>
    <w:rsid w:val="007268DA"/>
    <w:rsid w:val="00726B70"/>
    <w:rsid w:val="007271DE"/>
    <w:rsid w:val="00727AE6"/>
    <w:rsid w:val="00727C67"/>
    <w:rsid w:val="00727CCE"/>
    <w:rsid w:val="00730095"/>
    <w:rsid w:val="00730468"/>
    <w:rsid w:val="007307B5"/>
    <w:rsid w:val="007307C9"/>
    <w:rsid w:val="00730B0C"/>
    <w:rsid w:val="00730DBE"/>
    <w:rsid w:val="00731276"/>
    <w:rsid w:val="00731964"/>
    <w:rsid w:val="00731E2A"/>
    <w:rsid w:val="00732268"/>
    <w:rsid w:val="00732702"/>
    <w:rsid w:val="00732966"/>
    <w:rsid w:val="00732CDC"/>
    <w:rsid w:val="007330F5"/>
    <w:rsid w:val="00733307"/>
    <w:rsid w:val="0073335C"/>
    <w:rsid w:val="007335C8"/>
    <w:rsid w:val="00733A17"/>
    <w:rsid w:val="00733A5E"/>
    <w:rsid w:val="007340E1"/>
    <w:rsid w:val="0073413C"/>
    <w:rsid w:val="007346C6"/>
    <w:rsid w:val="00734BE6"/>
    <w:rsid w:val="007350FB"/>
    <w:rsid w:val="007351D8"/>
    <w:rsid w:val="00735799"/>
    <w:rsid w:val="00735CB8"/>
    <w:rsid w:val="00735CF7"/>
    <w:rsid w:val="00735ED3"/>
    <w:rsid w:val="007360DC"/>
    <w:rsid w:val="007368B7"/>
    <w:rsid w:val="007368C5"/>
    <w:rsid w:val="00736B15"/>
    <w:rsid w:val="00736D36"/>
    <w:rsid w:val="00736E7D"/>
    <w:rsid w:val="00737802"/>
    <w:rsid w:val="00737F96"/>
    <w:rsid w:val="007400F9"/>
    <w:rsid w:val="0074033B"/>
    <w:rsid w:val="0074037E"/>
    <w:rsid w:val="00740546"/>
    <w:rsid w:val="00740DD9"/>
    <w:rsid w:val="00740E3C"/>
    <w:rsid w:val="00741499"/>
    <w:rsid w:val="00741D72"/>
    <w:rsid w:val="00741FEF"/>
    <w:rsid w:val="007423F7"/>
    <w:rsid w:val="0074253D"/>
    <w:rsid w:val="0074274D"/>
    <w:rsid w:val="007427B3"/>
    <w:rsid w:val="00742AE5"/>
    <w:rsid w:val="00742E4F"/>
    <w:rsid w:val="00742EB8"/>
    <w:rsid w:val="007430F8"/>
    <w:rsid w:val="007439F3"/>
    <w:rsid w:val="00743A6D"/>
    <w:rsid w:val="00743A9D"/>
    <w:rsid w:val="00744440"/>
    <w:rsid w:val="007444E3"/>
    <w:rsid w:val="0074461B"/>
    <w:rsid w:val="007449E2"/>
    <w:rsid w:val="00744BAE"/>
    <w:rsid w:val="00744C37"/>
    <w:rsid w:val="0074530D"/>
    <w:rsid w:val="007453F6"/>
    <w:rsid w:val="00745922"/>
    <w:rsid w:val="00745B65"/>
    <w:rsid w:val="00745DAF"/>
    <w:rsid w:val="00745F7F"/>
    <w:rsid w:val="007460D1"/>
    <w:rsid w:val="00746553"/>
    <w:rsid w:val="00746CB8"/>
    <w:rsid w:val="00746F87"/>
    <w:rsid w:val="007477CE"/>
    <w:rsid w:val="00747B20"/>
    <w:rsid w:val="00747FB3"/>
    <w:rsid w:val="00747FB7"/>
    <w:rsid w:val="007501B0"/>
    <w:rsid w:val="007509A6"/>
    <w:rsid w:val="00750D1D"/>
    <w:rsid w:val="007511E2"/>
    <w:rsid w:val="007514C1"/>
    <w:rsid w:val="00751755"/>
    <w:rsid w:val="00751B13"/>
    <w:rsid w:val="00751DCE"/>
    <w:rsid w:val="00752520"/>
    <w:rsid w:val="00752CE6"/>
    <w:rsid w:val="00752FED"/>
    <w:rsid w:val="0075312F"/>
    <w:rsid w:val="007539F0"/>
    <w:rsid w:val="00753AC3"/>
    <w:rsid w:val="00753BDD"/>
    <w:rsid w:val="00753C02"/>
    <w:rsid w:val="00753F83"/>
    <w:rsid w:val="007540E9"/>
    <w:rsid w:val="007541B0"/>
    <w:rsid w:val="007541FB"/>
    <w:rsid w:val="00754257"/>
    <w:rsid w:val="0075437D"/>
    <w:rsid w:val="00754410"/>
    <w:rsid w:val="0075469B"/>
    <w:rsid w:val="0075472B"/>
    <w:rsid w:val="007547E1"/>
    <w:rsid w:val="00754DCF"/>
    <w:rsid w:val="00755163"/>
    <w:rsid w:val="007552C7"/>
    <w:rsid w:val="0075584C"/>
    <w:rsid w:val="007559FE"/>
    <w:rsid w:val="00755D5C"/>
    <w:rsid w:val="00755D9F"/>
    <w:rsid w:val="00755DF6"/>
    <w:rsid w:val="00755F95"/>
    <w:rsid w:val="0075600B"/>
    <w:rsid w:val="00756099"/>
    <w:rsid w:val="00756120"/>
    <w:rsid w:val="007565D1"/>
    <w:rsid w:val="007568F8"/>
    <w:rsid w:val="00756AAB"/>
    <w:rsid w:val="00757132"/>
    <w:rsid w:val="007573F6"/>
    <w:rsid w:val="007576A5"/>
    <w:rsid w:val="007576BB"/>
    <w:rsid w:val="00757F63"/>
    <w:rsid w:val="00760477"/>
    <w:rsid w:val="00760B65"/>
    <w:rsid w:val="00760C9D"/>
    <w:rsid w:val="00761016"/>
    <w:rsid w:val="007615DE"/>
    <w:rsid w:val="007615E0"/>
    <w:rsid w:val="0076160A"/>
    <w:rsid w:val="00761715"/>
    <w:rsid w:val="00761FCB"/>
    <w:rsid w:val="007627D8"/>
    <w:rsid w:val="00762A7C"/>
    <w:rsid w:val="00762BA0"/>
    <w:rsid w:val="00762D22"/>
    <w:rsid w:val="00762DC6"/>
    <w:rsid w:val="00762DED"/>
    <w:rsid w:val="007631AD"/>
    <w:rsid w:val="00763330"/>
    <w:rsid w:val="007635FA"/>
    <w:rsid w:val="00763B64"/>
    <w:rsid w:val="00763D33"/>
    <w:rsid w:val="00763D48"/>
    <w:rsid w:val="00764388"/>
    <w:rsid w:val="007645AE"/>
    <w:rsid w:val="007648EA"/>
    <w:rsid w:val="00764992"/>
    <w:rsid w:val="00764A20"/>
    <w:rsid w:val="00764AF8"/>
    <w:rsid w:val="00764B19"/>
    <w:rsid w:val="00764C03"/>
    <w:rsid w:val="00764E8B"/>
    <w:rsid w:val="00765177"/>
    <w:rsid w:val="00765180"/>
    <w:rsid w:val="007663B8"/>
    <w:rsid w:val="00766498"/>
    <w:rsid w:val="007668D4"/>
    <w:rsid w:val="00766A4D"/>
    <w:rsid w:val="00766A76"/>
    <w:rsid w:val="00766AE6"/>
    <w:rsid w:val="00766D3E"/>
    <w:rsid w:val="00767323"/>
    <w:rsid w:val="0076753C"/>
    <w:rsid w:val="00767FF4"/>
    <w:rsid w:val="0077025C"/>
    <w:rsid w:val="00770343"/>
    <w:rsid w:val="007703F8"/>
    <w:rsid w:val="0077091A"/>
    <w:rsid w:val="00770DF1"/>
    <w:rsid w:val="00770FFA"/>
    <w:rsid w:val="007712CE"/>
    <w:rsid w:val="007717D8"/>
    <w:rsid w:val="00771D6B"/>
    <w:rsid w:val="00771F49"/>
    <w:rsid w:val="00772420"/>
    <w:rsid w:val="007729E9"/>
    <w:rsid w:val="00772EAB"/>
    <w:rsid w:val="00772F02"/>
    <w:rsid w:val="007733BB"/>
    <w:rsid w:val="00775608"/>
    <w:rsid w:val="00775AA0"/>
    <w:rsid w:val="00775E28"/>
    <w:rsid w:val="007761F5"/>
    <w:rsid w:val="00776231"/>
    <w:rsid w:val="0077644F"/>
    <w:rsid w:val="007765E3"/>
    <w:rsid w:val="00776993"/>
    <w:rsid w:val="00776E39"/>
    <w:rsid w:val="007770FA"/>
    <w:rsid w:val="00777E8F"/>
    <w:rsid w:val="007806D4"/>
    <w:rsid w:val="0078078D"/>
    <w:rsid w:val="00780EB6"/>
    <w:rsid w:val="007811E7"/>
    <w:rsid w:val="00781250"/>
    <w:rsid w:val="0078139D"/>
    <w:rsid w:val="0078152C"/>
    <w:rsid w:val="00781541"/>
    <w:rsid w:val="00781967"/>
    <w:rsid w:val="00781B21"/>
    <w:rsid w:val="00781D4D"/>
    <w:rsid w:val="00782250"/>
    <w:rsid w:val="00782BE1"/>
    <w:rsid w:val="00782C87"/>
    <w:rsid w:val="0078341C"/>
    <w:rsid w:val="00783692"/>
    <w:rsid w:val="007838CF"/>
    <w:rsid w:val="00783B99"/>
    <w:rsid w:val="00783C9A"/>
    <w:rsid w:val="00784136"/>
    <w:rsid w:val="0078452E"/>
    <w:rsid w:val="007845EE"/>
    <w:rsid w:val="0078481A"/>
    <w:rsid w:val="00784888"/>
    <w:rsid w:val="00784B19"/>
    <w:rsid w:val="00784E31"/>
    <w:rsid w:val="007851A8"/>
    <w:rsid w:val="00785703"/>
    <w:rsid w:val="00785993"/>
    <w:rsid w:val="00786097"/>
    <w:rsid w:val="00786494"/>
    <w:rsid w:val="00786498"/>
    <w:rsid w:val="007864B3"/>
    <w:rsid w:val="00786911"/>
    <w:rsid w:val="00786B50"/>
    <w:rsid w:val="00787516"/>
    <w:rsid w:val="007875F3"/>
    <w:rsid w:val="00787B39"/>
    <w:rsid w:val="0079006E"/>
    <w:rsid w:val="00790370"/>
    <w:rsid w:val="007903BC"/>
    <w:rsid w:val="00790765"/>
    <w:rsid w:val="00790843"/>
    <w:rsid w:val="00790E2E"/>
    <w:rsid w:val="00790F67"/>
    <w:rsid w:val="007914BF"/>
    <w:rsid w:val="00791738"/>
    <w:rsid w:val="00791780"/>
    <w:rsid w:val="007917C3"/>
    <w:rsid w:val="007921E3"/>
    <w:rsid w:val="00792AC0"/>
    <w:rsid w:val="00792AFA"/>
    <w:rsid w:val="00792D37"/>
    <w:rsid w:val="0079308E"/>
    <w:rsid w:val="007936CB"/>
    <w:rsid w:val="00793A19"/>
    <w:rsid w:val="00793BD9"/>
    <w:rsid w:val="007946F4"/>
    <w:rsid w:val="00794F3E"/>
    <w:rsid w:val="0079522D"/>
    <w:rsid w:val="00795584"/>
    <w:rsid w:val="00795AA7"/>
    <w:rsid w:val="00795E03"/>
    <w:rsid w:val="00795E50"/>
    <w:rsid w:val="00795FEF"/>
    <w:rsid w:val="00796277"/>
    <w:rsid w:val="007967E3"/>
    <w:rsid w:val="00796AA8"/>
    <w:rsid w:val="00796AEF"/>
    <w:rsid w:val="00796EB6"/>
    <w:rsid w:val="00797268"/>
    <w:rsid w:val="007973E7"/>
    <w:rsid w:val="00797455"/>
    <w:rsid w:val="007974FC"/>
    <w:rsid w:val="00797BF1"/>
    <w:rsid w:val="00797FE7"/>
    <w:rsid w:val="007A050A"/>
    <w:rsid w:val="007A0B6F"/>
    <w:rsid w:val="007A0EB7"/>
    <w:rsid w:val="007A1152"/>
    <w:rsid w:val="007A1B75"/>
    <w:rsid w:val="007A1E87"/>
    <w:rsid w:val="007A22F1"/>
    <w:rsid w:val="007A2671"/>
    <w:rsid w:val="007A271E"/>
    <w:rsid w:val="007A2B01"/>
    <w:rsid w:val="007A3089"/>
    <w:rsid w:val="007A3A68"/>
    <w:rsid w:val="007A3F84"/>
    <w:rsid w:val="007A4638"/>
    <w:rsid w:val="007A4668"/>
    <w:rsid w:val="007A4A7D"/>
    <w:rsid w:val="007A4B25"/>
    <w:rsid w:val="007A4FAE"/>
    <w:rsid w:val="007A500E"/>
    <w:rsid w:val="007A55BB"/>
    <w:rsid w:val="007A5B65"/>
    <w:rsid w:val="007A6292"/>
    <w:rsid w:val="007A66BE"/>
    <w:rsid w:val="007A688F"/>
    <w:rsid w:val="007A6B68"/>
    <w:rsid w:val="007A7160"/>
    <w:rsid w:val="007A72AE"/>
    <w:rsid w:val="007A7744"/>
    <w:rsid w:val="007A7B19"/>
    <w:rsid w:val="007A7F60"/>
    <w:rsid w:val="007B06B5"/>
    <w:rsid w:val="007B0E63"/>
    <w:rsid w:val="007B117E"/>
    <w:rsid w:val="007B1279"/>
    <w:rsid w:val="007B1352"/>
    <w:rsid w:val="007B19E7"/>
    <w:rsid w:val="007B1A10"/>
    <w:rsid w:val="007B22CC"/>
    <w:rsid w:val="007B2B0B"/>
    <w:rsid w:val="007B2BDF"/>
    <w:rsid w:val="007B2DC1"/>
    <w:rsid w:val="007B2E51"/>
    <w:rsid w:val="007B34F3"/>
    <w:rsid w:val="007B39C5"/>
    <w:rsid w:val="007B406F"/>
    <w:rsid w:val="007B490C"/>
    <w:rsid w:val="007B4A7A"/>
    <w:rsid w:val="007B4C36"/>
    <w:rsid w:val="007B4CE2"/>
    <w:rsid w:val="007B54BB"/>
    <w:rsid w:val="007B56BB"/>
    <w:rsid w:val="007B5940"/>
    <w:rsid w:val="007B6290"/>
    <w:rsid w:val="007B6329"/>
    <w:rsid w:val="007B6871"/>
    <w:rsid w:val="007B68EC"/>
    <w:rsid w:val="007B6AED"/>
    <w:rsid w:val="007B6BAC"/>
    <w:rsid w:val="007B6DB5"/>
    <w:rsid w:val="007B77E8"/>
    <w:rsid w:val="007B77F4"/>
    <w:rsid w:val="007B7B0D"/>
    <w:rsid w:val="007B7C6C"/>
    <w:rsid w:val="007B7DF5"/>
    <w:rsid w:val="007C08B1"/>
    <w:rsid w:val="007C099D"/>
    <w:rsid w:val="007C0BF5"/>
    <w:rsid w:val="007C0CC4"/>
    <w:rsid w:val="007C136F"/>
    <w:rsid w:val="007C16F9"/>
    <w:rsid w:val="007C1850"/>
    <w:rsid w:val="007C1E43"/>
    <w:rsid w:val="007C2230"/>
    <w:rsid w:val="007C2336"/>
    <w:rsid w:val="007C245C"/>
    <w:rsid w:val="007C2624"/>
    <w:rsid w:val="007C2CC2"/>
    <w:rsid w:val="007C3022"/>
    <w:rsid w:val="007C3137"/>
    <w:rsid w:val="007C320C"/>
    <w:rsid w:val="007C3284"/>
    <w:rsid w:val="007C335C"/>
    <w:rsid w:val="007C38BD"/>
    <w:rsid w:val="007C3A9A"/>
    <w:rsid w:val="007C3AEE"/>
    <w:rsid w:val="007C4056"/>
    <w:rsid w:val="007C479D"/>
    <w:rsid w:val="007C4AD0"/>
    <w:rsid w:val="007C524B"/>
    <w:rsid w:val="007C5524"/>
    <w:rsid w:val="007C59B5"/>
    <w:rsid w:val="007C5AAF"/>
    <w:rsid w:val="007C5CEB"/>
    <w:rsid w:val="007C6676"/>
    <w:rsid w:val="007C69D0"/>
    <w:rsid w:val="007C69E4"/>
    <w:rsid w:val="007C6B0B"/>
    <w:rsid w:val="007C6BA2"/>
    <w:rsid w:val="007C6C62"/>
    <w:rsid w:val="007C6F73"/>
    <w:rsid w:val="007C6FC1"/>
    <w:rsid w:val="007C7073"/>
    <w:rsid w:val="007C72CA"/>
    <w:rsid w:val="007C75E5"/>
    <w:rsid w:val="007C78BC"/>
    <w:rsid w:val="007C79AA"/>
    <w:rsid w:val="007C79CF"/>
    <w:rsid w:val="007C7A47"/>
    <w:rsid w:val="007C7B0E"/>
    <w:rsid w:val="007C7B2F"/>
    <w:rsid w:val="007D016A"/>
    <w:rsid w:val="007D02A2"/>
    <w:rsid w:val="007D03D9"/>
    <w:rsid w:val="007D0408"/>
    <w:rsid w:val="007D0B20"/>
    <w:rsid w:val="007D0DA3"/>
    <w:rsid w:val="007D10AC"/>
    <w:rsid w:val="007D1255"/>
    <w:rsid w:val="007D142D"/>
    <w:rsid w:val="007D1776"/>
    <w:rsid w:val="007D1971"/>
    <w:rsid w:val="007D19D1"/>
    <w:rsid w:val="007D213F"/>
    <w:rsid w:val="007D2165"/>
    <w:rsid w:val="007D2181"/>
    <w:rsid w:val="007D21B8"/>
    <w:rsid w:val="007D22F0"/>
    <w:rsid w:val="007D28E4"/>
    <w:rsid w:val="007D2E0C"/>
    <w:rsid w:val="007D2EB0"/>
    <w:rsid w:val="007D31DA"/>
    <w:rsid w:val="007D33A0"/>
    <w:rsid w:val="007D3411"/>
    <w:rsid w:val="007D3735"/>
    <w:rsid w:val="007D3822"/>
    <w:rsid w:val="007D3FE6"/>
    <w:rsid w:val="007D42CA"/>
    <w:rsid w:val="007D4B40"/>
    <w:rsid w:val="007D506F"/>
    <w:rsid w:val="007D5090"/>
    <w:rsid w:val="007D5333"/>
    <w:rsid w:val="007D6081"/>
    <w:rsid w:val="007D6146"/>
    <w:rsid w:val="007D6279"/>
    <w:rsid w:val="007D6397"/>
    <w:rsid w:val="007D646C"/>
    <w:rsid w:val="007D664E"/>
    <w:rsid w:val="007D66F4"/>
    <w:rsid w:val="007D6719"/>
    <w:rsid w:val="007D6C71"/>
    <w:rsid w:val="007D7136"/>
    <w:rsid w:val="007D72C5"/>
    <w:rsid w:val="007D731F"/>
    <w:rsid w:val="007D766B"/>
    <w:rsid w:val="007E020A"/>
    <w:rsid w:val="007E0A58"/>
    <w:rsid w:val="007E1023"/>
    <w:rsid w:val="007E16E2"/>
    <w:rsid w:val="007E1E0D"/>
    <w:rsid w:val="007E1EF8"/>
    <w:rsid w:val="007E2012"/>
    <w:rsid w:val="007E253D"/>
    <w:rsid w:val="007E25D2"/>
    <w:rsid w:val="007E278C"/>
    <w:rsid w:val="007E2845"/>
    <w:rsid w:val="007E29C3"/>
    <w:rsid w:val="007E2E5A"/>
    <w:rsid w:val="007E3A54"/>
    <w:rsid w:val="007E3A8A"/>
    <w:rsid w:val="007E3FA9"/>
    <w:rsid w:val="007E4007"/>
    <w:rsid w:val="007E46DD"/>
    <w:rsid w:val="007E4B09"/>
    <w:rsid w:val="007E4E29"/>
    <w:rsid w:val="007E520F"/>
    <w:rsid w:val="007E525D"/>
    <w:rsid w:val="007E5297"/>
    <w:rsid w:val="007E56B5"/>
    <w:rsid w:val="007E56E5"/>
    <w:rsid w:val="007E5A64"/>
    <w:rsid w:val="007E5D0C"/>
    <w:rsid w:val="007E5D83"/>
    <w:rsid w:val="007E610C"/>
    <w:rsid w:val="007E61B0"/>
    <w:rsid w:val="007E61C0"/>
    <w:rsid w:val="007E630D"/>
    <w:rsid w:val="007E683E"/>
    <w:rsid w:val="007E693F"/>
    <w:rsid w:val="007E695D"/>
    <w:rsid w:val="007E6D1D"/>
    <w:rsid w:val="007E6E9A"/>
    <w:rsid w:val="007E74ED"/>
    <w:rsid w:val="007E7900"/>
    <w:rsid w:val="007E79A9"/>
    <w:rsid w:val="007E7AC0"/>
    <w:rsid w:val="007E7E42"/>
    <w:rsid w:val="007E7F27"/>
    <w:rsid w:val="007E7F4A"/>
    <w:rsid w:val="007F0323"/>
    <w:rsid w:val="007F03CA"/>
    <w:rsid w:val="007F07F8"/>
    <w:rsid w:val="007F0930"/>
    <w:rsid w:val="007F144E"/>
    <w:rsid w:val="007F1618"/>
    <w:rsid w:val="007F1A60"/>
    <w:rsid w:val="007F2555"/>
    <w:rsid w:val="007F28EE"/>
    <w:rsid w:val="007F2AC3"/>
    <w:rsid w:val="007F2FAB"/>
    <w:rsid w:val="007F3174"/>
    <w:rsid w:val="007F31C5"/>
    <w:rsid w:val="007F329E"/>
    <w:rsid w:val="007F32CA"/>
    <w:rsid w:val="007F379E"/>
    <w:rsid w:val="007F39F6"/>
    <w:rsid w:val="007F3BA0"/>
    <w:rsid w:val="007F40BA"/>
    <w:rsid w:val="007F461C"/>
    <w:rsid w:val="007F471C"/>
    <w:rsid w:val="007F49B3"/>
    <w:rsid w:val="007F5499"/>
    <w:rsid w:val="007F5552"/>
    <w:rsid w:val="007F575A"/>
    <w:rsid w:val="007F5867"/>
    <w:rsid w:val="007F58DA"/>
    <w:rsid w:val="007F5E9C"/>
    <w:rsid w:val="007F6136"/>
    <w:rsid w:val="007F6571"/>
    <w:rsid w:val="007F6E0F"/>
    <w:rsid w:val="007F71B3"/>
    <w:rsid w:val="007F7657"/>
    <w:rsid w:val="007F779A"/>
    <w:rsid w:val="007F783F"/>
    <w:rsid w:val="008001AF"/>
    <w:rsid w:val="008005C8"/>
    <w:rsid w:val="00800BB1"/>
    <w:rsid w:val="00800C90"/>
    <w:rsid w:val="00800EA2"/>
    <w:rsid w:val="00801107"/>
    <w:rsid w:val="0080122E"/>
    <w:rsid w:val="00801279"/>
    <w:rsid w:val="008012DF"/>
    <w:rsid w:val="008017F2"/>
    <w:rsid w:val="00801E5E"/>
    <w:rsid w:val="00802030"/>
    <w:rsid w:val="00802120"/>
    <w:rsid w:val="0080280A"/>
    <w:rsid w:val="008028D3"/>
    <w:rsid w:val="00802B2B"/>
    <w:rsid w:val="00802BDE"/>
    <w:rsid w:val="00803A38"/>
    <w:rsid w:val="00803C4D"/>
    <w:rsid w:val="008040E6"/>
    <w:rsid w:val="008045F7"/>
    <w:rsid w:val="00804A96"/>
    <w:rsid w:val="00804AB2"/>
    <w:rsid w:val="00804DFC"/>
    <w:rsid w:val="00804F27"/>
    <w:rsid w:val="008057FC"/>
    <w:rsid w:val="008059C4"/>
    <w:rsid w:val="00805A01"/>
    <w:rsid w:val="00805A41"/>
    <w:rsid w:val="00806012"/>
    <w:rsid w:val="00806105"/>
    <w:rsid w:val="00807161"/>
    <w:rsid w:val="008071C6"/>
    <w:rsid w:val="00807497"/>
    <w:rsid w:val="00807C28"/>
    <w:rsid w:val="00807F62"/>
    <w:rsid w:val="008102C5"/>
    <w:rsid w:val="00811067"/>
    <w:rsid w:val="00811944"/>
    <w:rsid w:val="00811A20"/>
    <w:rsid w:val="00811EF0"/>
    <w:rsid w:val="008121D4"/>
    <w:rsid w:val="008121D9"/>
    <w:rsid w:val="00812374"/>
    <w:rsid w:val="008125F8"/>
    <w:rsid w:val="0081297A"/>
    <w:rsid w:val="008129E4"/>
    <w:rsid w:val="00812B83"/>
    <w:rsid w:val="00812CCF"/>
    <w:rsid w:val="00812FC7"/>
    <w:rsid w:val="0081310A"/>
    <w:rsid w:val="00813152"/>
    <w:rsid w:val="008131CA"/>
    <w:rsid w:val="00813489"/>
    <w:rsid w:val="00813658"/>
    <w:rsid w:val="00813DE7"/>
    <w:rsid w:val="008140BE"/>
    <w:rsid w:val="008144FC"/>
    <w:rsid w:val="00814955"/>
    <w:rsid w:val="00815015"/>
    <w:rsid w:val="008150FF"/>
    <w:rsid w:val="008154A9"/>
    <w:rsid w:val="00815D39"/>
    <w:rsid w:val="00815F0D"/>
    <w:rsid w:val="00816AC5"/>
    <w:rsid w:val="00816BB7"/>
    <w:rsid w:val="00816CFA"/>
    <w:rsid w:val="00816D37"/>
    <w:rsid w:val="00817062"/>
    <w:rsid w:val="00817F69"/>
    <w:rsid w:val="008202A8"/>
    <w:rsid w:val="00820759"/>
    <w:rsid w:val="00820A2F"/>
    <w:rsid w:val="00820AED"/>
    <w:rsid w:val="00820E27"/>
    <w:rsid w:val="00821170"/>
    <w:rsid w:val="00821E88"/>
    <w:rsid w:val="00821E9C"/>
    <w:rsid w:val="00822264"/>
    <w:rsid w:val="00822305"/>
    <w:rsid w:val="008228ED"/>
    <w:rsid w:val="00822BD0"/>
    <w:rsid w:val="00823407"/>
    <w:rsid w:val="0082375B"/>
    <w:rsid w:val="00823AC0"/>
    <w:rsid w:val="00824483"/>
    <w:rsid w:val="008245CC"/>
    <w:rsid w:val="00824D9C"/>
    <w:rsid w:val="00825544"/>
    <w:rsid w:val="00825884"/>
    <w:rsid w:val="00825D96"/>
    <w:rsid w:val="0082619F"/>
    <w:rsid w:val="008265AA"/>
    <w:rsid w:val="00826B8C"/>
    <w:rsid w:val="00826EF8"/>
    <w:rsid w:val="0082703F"/>
    <w:rsid w:val="00827661"/>
    <w:rsid w:val="00827798"/>
    <w:rsid w:val="008277D1"/>
    <w:rsid w:val="00827D0D"/>
    <w:rsid w:val="00830326"/>
    <w:rsid w:val="008303E0"/>
    <w:rsid w:val="00830534"/>
    <w:rsid w:val="00830707"/>
    <w:rsid w:val="008309A0"/>
    <w:rsid w:val="00830A38"/>
    <w:rsid w:val="00831172"/>
    <w:rsid w:val="00832196"/>
    <w:rsid w:val="008326A8"/>
    <w:rsid w:val="008326E3"/>
    <w:rsid w:val="008327DC"/>
    <w:rsid w:val="0083281B"/>
    <w:rsid w:val="00832C2A"/>
    <w:rsid w:val="00833149"/>
    <w:rsid w:val="00833287"/>
    <w:rsid w:val="00833625"/>
    <w:rsid w:val="0083384C"/>
    <w:rsid w:val="00833891"/>
    <w:rsid w:val="00833B15"/>
    <w:rsid w:val="00833B1C"/>
    <w:rsid w:val="00833E8F"/>
    <w:rsid w:val="0083450E"/>
    <w:rsid w:val="00834AFF"/>
    <w:rsid w:val="00834C47"/>
    <w:rsid w:val="00834CE0"/>
    <w:rsid w:val="00834EE3"/>
    <w:rsid w:val="00835458"/>
    <w:rsid w:val="0083580E"/>
    <w:rsid w:val="00835997"/>
    <w:rsid w:val="00835B15"/>
    <w:rsid w:val="00835EF8"/>
    <w:rsid w:val="00835FE3"/>
    <w:rsid w:val="00836003"/>
    <w:rsid w:val="00836047"/>
    <w:rsid w:val="00836414"/>
    <w:rsid w:val="00836747"/>
    <w:rsid w:val="00836FA8"/>
    <w:rsid w:val="00837D3C"/>
    <w:rsid w:val="00837E71"/>
    <w:rsid w:val="00840111"/>
    <w:rsid w:val="0084029F"/>
    <w:rsid w:val="0084066F"/>
    <w:rsid w:val="0084068D"/>
    <w:rsid w:val="00840914"/>
    <w:rsid w:val="00840DA1"/>
    <w:rsid w:val="00840F20"/>
    <w:rsid w:val="008410E9"/>
    <w:rsid w:val="0084110F"/>
    <w:rsid w:val="00841393"/>
    <w:rsid w:val="00841B4E"/>
    <w:rsid w:val="00841CFE"/>
    <w:rsid w:val="00841E78"/>
    <w:rsid w:val="0084228E"/>
    <w:rsid w:val="008425B4"/>
    <w:rsid w:val="00842641"/>
    <w:rsid w:val="008427A0"/>
    <w:rsid w:val="00842C1C"/>
    <w:rsid w:val="00842FBC"/>
    <w:rsid w:val="00842FBD"/>
    <w:rsid w:val="00843523"/>
    <w:rsid w:val="0084378E"/>
    <w:rsid w:val="00843C12"/>
    <w:rsid w:val="00843CFE"/>
    <w:rsid w:val="0084402A"/>
    <w:rsid w:val="0084404A"/>
    <w:rsid w:val="0084436D"/>
    <w:rsid w:val="00844554"/>
    <w:rsid w:val="008447CB"/>
    <w:rsid w:val="00844944"/>
    <w:rsid w:val="00844ACE"/>
    <w:rsid w:val="00844ADF"/>
    <w:rsid w:val="00844B1D"/>
    <w:rsid w:val="00844BDB"/>
    <w:rsid w:val="00844C10"/>
    <w:rsid w:val="00844DBB"/>
    <w:rsid w:val="00844F5C"/>
    <w:rsid w:val="0084523D"/>
    <w:rsid w:val="008457A3"/>
    <w:rsid w:val="00845843"/>
    <w:rsid w:val="00845859"/>
    <w:rsid w:val="00845960"/>
    <w:rsid w:val="00845A0F"/>
    <w:rsid w:val="00845B55"/>
    <w:rsid w:val="0084601E"/>
    <w:rsid w:val="008462DC"/>
    <w:rsid w:val="00846D34"/>
    <w:rsid w:val="00846EF5"/>
    <w:rsid w:val="00847F31"/>
    <w:rsid w:val="008502E6"/>
    <w:rsid w:val="008507A1"/>
    <w:rsid w:val="00850A66"/>
    <w:rsid w:val="00850E0B"/>
    <w:rsid w:val="008515C0"/>
    <w:rsid w:val="00851E0D"/>
    <w:rsid w:val="0085250A"/>
    <w:rsid w:val="008526D8"/>
    <w:rsid w:val="008529CF"/>
    <w:rsid w:val="00852F18"/>
    <w:rsid w:val="00853031"/>
    <w:rsid w:val="00853059"/>
    <w:rsid w:val="008534C4"/>
    <w:rsid w:val="00854069"/>
    <w:rsid w:val="0085476B"/>
    <w:rsid w:val="0085495B"/>
    <w:rsid w:val="00854C6A"/>
    <w:rsid w:val="008550F0"/>
    <w:rsid w:val="00855359"/>
    <w:rsid w:val="0085568B"/>
    <w:rsid w:val="008557C9"/>
    <w:rsid w:val="00855BF6"/>
    <w:rsid w:val="008563A3"/>
    <w:rsid w:val="00856467"/>
    <w:rsid w:val="00856959"/>
    <w:rsid w:val="008569CC"/>
    <w:rsid w:val="00856AB3"/>
    <w:rsid w:val="00856D7A"/>
    <w:rsid w:val="00857025"/>
    <w:rsid w:val="008575B9"/>
    <w:rsid w:val="00857830"/>
    <w:rsid w:val="0085784A"/>
    <w:rsid w:val="00857B12"/>
    <w:rsid w:val="00857BD0"/>
    <w:rsid w:val="0086015B"/>
    <w:rsid w:val="0086046A"/>
    <w:rsid w:val="0086064A"/>
    <w:rsid w:val="008609C3"/>
    <w:rsid w:val="00860A20"/>
    <w:rsid w:val="00860CF7"/>
    <w:rsid w:val="008611DD"/>
    <w:rsid w:val="008612C0"/>
    <w:rsid w:val="0086181D"/>
    <w:rsid w:val="008619D9"/>
    <w:rsid w:val="00861BEC"/>
    <w:rsid w:val="00861F7C"/>
    <w:rsid w:val="00862364"/>
    <w:rsid w:val="0086292C"/>
    <w:rsid w:val="00862CD4"/>
    <w:rsid w:val="00862E6C"/>
    <w:rsid w:val="00863020"/>
    <w:rsid w:val="00863122"/>
    <w:rsid w:val="00863602"/>
    <w:rsid w:val="00863700"/>
    <w:rsid w:val="008637EC"/>
    <w:rsid w:val="00863CB7"/>
    <w:rsid w:val="0086417C"/>
    <w:rsid w:val="0086499F"/>
    <w:rsid w:val="00864A01"/>
    <w:rsid w:val="00864C40"/>
    <w:rsid w:val="00864D53"/>
    <w:rsid w:val="00864EB8"/>
    <w:rsid w:val="00866161"/>
    <w:rsid w:val="00866A86"/>
    <w:rsid w:val="00866AB5"/>
    <w:rsid w:val="00866F59"/>
    <w:rsid w:val="00867385"/>
    <w:rsid w:val="00867497"/>
    <w:rsid w:val="00867587"/>
    <w:rsid w:val="008676A1"/>
    <w:rsid w:val="00867831"/>
    <w:rsid w:val="00867B8C"/>
    <w:rsid w:val="00870010"/>
    <w:rsid w:val="0087014C"/>
    <w:rsid w:val="0087066C"/>
    <w:rsid w:val="0087075E"/>
    <w:rsid w:val="0087086B"/>
    <w:rsid w:val="00870BC6"/>
    <w:rsid w:val="00870C51"/>
    <w:rsid w:val="00871B84"/>
    <w:rsid w:val="00872975"/>
    <w:rsid w:val="00872B3E"/>
    <w:rsid w:val="00872BAB"/>
    <w:rsid w:val="00872D7C"/>
    <w:rsid w:val="008730B8"/>
    <w:rsid w:val="00873569"/>
    <w:rsid w:val="00873AC3"/>
    <w:rsid w:val="00873D6C"/>
    <w:rsid w:val="00874285"/>
    <w:rsid w:val="0087434C"/>
    <w:rsid w:val="008744D5"/>
    <w:rsid w:val="008744E8"/>
    <w:rsid w:val="008748E4"/>
    <w:rsid w:val="0087493A"/>
    <w:rsid w:val="0087499B"/>
    <w:rsid w:val="0087513E"/>
    <w:rsid w:val="008754A2"/>
    <w:rsid w:val="0087586E"/>
    <w:rsid w:val="00875DAD"/>
    <w:rsid w:val="00875E6E"/>
    <w:rsid w:val="0087617C"/>
    <w:rsid w:val="00876796"/>
    <w:rsid w:val="00876A96"/>
    <w:rsid w:val="00876B38"/>
    <w:rsid w:val="00876CFE"/>
    <w:rsid w:val="00876DC6"/>
    <w:rsid w:val="00877B84"/>
    <w:rsid w:val="00877F2C"/>
    <w:rsid w:val="0088005F"/>
    <w:rsid w:val="0088036D"/>
    <w:rsid w:val="00880444"/>
    <w:rsid w:val="00880468"/>
    <w:rsid w:val="0088077F"/>
    <w:rsid w:val="00880838"/>
    <w:rsid w:val="00880B52"/>
    <w:rsid w:val="00880C88"/>
    <w:rsid w:val="00881155"/>
    <w:rsid w:val="008819C6"/>
    <w:rsid w:val="00881C9F"/>
    <w:rsid w:val="00881F97"/>
    <w:rsid w:val="00882365"/>
    <w:rsid w:val="00882763"/>
    <w:rsid w:val="008827BC"/>
    <w:rsid w:val="00882892"/>
    <w:rsid w:val="008831C8"/>
    <w:rsid w:val="00883237"/>
    <w:rsid w:val="00883405"/>
    <w:rsid w:val="008834F8"/>
    <w:rsid w:val="008834FC"/>
    <w:rsid w:val="008835D6"/>
    <w:rsid w:val="00883AA5"/>
    <w:rsid w:val="00883EFC"/>
    <w:rsid w:val="00884073"/>
    <w:rsid w:val="00884099"/>
    <w:rsid w:val="00884183"/>
    <w:rsid w:val="00884417"/>
    <w:rsid w:val="00884562"/>
    <w:rsid w:val="008847A0"/>
    <w:rsid w:val="00884896"/>
    <w:rsid w:val="00884AA1"/>
    <w:rsid w:val="00884C14"/>
    <w:rsid w:val="00885150"/>
    <w:rsid w:val="008854B4"/>
    <w:rsid w:val="008857AA"/>
    <w:rsid w:val="0088597C"/>
    <w:rsid w:val="008859B2"/>
    <w:rsid w:val="00885A14"/>
    <w:rsid w:val="00885B1F"/>
    <w:rsid w:val="00885D8F"/>
    <w:rsid w:val="00885F7E"/>
    <w:rsid w:val="00886059"/>
    <w:rsid w:val="0088606A"/>
    <w:rsid w:val="00886681"/>
    <w:rsid w:val="0088689B"/>
    <w:rsid w:val="00886ACC"/>
    <w:rsid w:val="00886C39"/>
    <w:rsid w:val="00886D73"/>
    <w:rsid w:val="00887A3B"/>
    <w:rsid w:val="00887DC9"/>
    <w:rsid w:val="00887EAA"/>
    <w:rsid w:val="008901DD"/>
    <w:rsid w:val="00890CDE"/>
    <w:rsid w:val="00890FA0"/>
    <w:rsid w:val="008912C0"/>
    <w:rsid w:val="008913D4"/>
    <w:rsid w:val="008914DA"/>
    <w:rsid w:val="008916A0"/>
    <w:rsid w:val="008916D2"/>
    <w:rsid w:val="00891870"/>
    <w:rsid w:val="00891F26"/>
    <w:rsid w:val="00891F37"/>
    <w:rsid w:val="008920C4"/>
    <w:rsid w:val="008921B7"/>
    <w:rsid w:val="00892205"/>
    <w:rsid w:val="008924D8"/>
    <w:rsid w:val="00892540"/>
    <w:rsid w:val="008929C2"/>
    <w:rsid w:val="00893011"/>
    <w:rsid w:val="0089319E"/>
    <w:rsid w:val="008936E5"/>
    <w:rsid w:val="008937B5"/>
    <w:rsid w:val="00894284"/>
    <w:rsid w:val="00894735"/>
    <w:rsid w:val="008947BF"/>
    <w:rsid w:val="00894DAF"/>
    <w:rsid w:val="008951D8"/>
    <w:rsid w:val="008955B2"/>
    <w:rsid w:val="00895CD9"/>
    <w:rsid w:val="00896B04"/>
    <w:rsid w:val="00896C84"/>
    <w:rsid w:val="00897472"/>
    <w:rsid w:val="00897DEB"/>
    <w:rsid w:val="008A0153"/>
    <w:rsid w:val="008A0318"/>
    <w:rsid w:val="008A0A92"/>
    <w:rsid w:val="008A0CBE"/>
    <w:rsid w:val="008A11FC"/>
    <w:rsid w:val="008A120A"/>
    <w:rsid w:val="008A1602"/>
    <w:rsid w:val="008A1CA8"/>
    <w:rsid w:val="008A1FF4"/>
    <w:rsid w:val="008A2049"/>
    <w:rsid w:val="008A214D"/>
    <w:rsid w:val="008A25DC"/>
    <w:rsid w:val="008A279B"/>
    <w:rsid w:val="008A2A31"/>
    <w:rsid w:val="008A2B24"/>
    <w:rsid w:val="008A2E54"/>
    <w:rsid w:val="008A3584"/>
    <w:rsid w:val="008A3F31"/>
    <w:rsid w:val="008A4229"/>
    <w:rsid w:val="008A4BC6"/>
    <w:rsid w:val="008A4CB1"/>
    <w:rsid w:val="008A61C3"/>
    <w:rsid w:val="008A6987"/>
    <w:rsid w:val="008A6A99"/>
    <w:rsid w:val="008A6E8C"/>
    <w:rsid w:val="008A706C"/>
    <w:rsid w:val="008A71EC"/>
    <w:rsid w:val="008A72D2"/>
    <w:rsid w:val="008A738E"/>
    <w:rsid w:val="008A74A3"/>
    <w:rsid w:val="008A7549"/>
    <w:rsid w:val="008A7DB0"/>
    <w:rsid w:val="008B009F"/>
    <w:rsid w:val="008B04BB"/>
    <w:rsid w:val="008B0662"/>
    <w:rsid w:val="008B06C9"/>
    <w:rsid w:val="008B0976"/>
    <w:rsid w:val="008B0D94"/>
    <w:rsid w:val="008B10C7"/>
    <w:rsid w:val="008B1AD8"/>
    <w:rsid w:val="008B1BA9"/>
    <w:rsid w:val="008B1C55"/>
    <w:rsid w:val="008B1D27"/>
    <w:rsid w:val="008B1F4B"/>
    <w:rsid w:val="008B207D"/>
    <w:rsid w:val="008B2179"/>
    <w:rsid w:val="008B23B7"/>
    <w:rsid w:val="008B27CB"/>
    <w:rsid w:val="008B27D4"/>
    <w:rsid w:val="008B28A4"/>
    <w:rsid w:val="008B2BF9"/>
    <w:rsid w:val="008B30C1"/>
    <w:rsid w:val="008B3190"/>
    <w:rsid w:val="008B36FD"/>
    <w:rsid w:val="008B3D5E"/>
    <w:rsid w:val="008B4665"/>
    <w:rsid w:val="008B4A8A"/>
    <w:rsid w:val="008B4DDC"/>
    <w:rsid w:val="008B4F2A"/>
    <w:rsid w:val="008B5637"/>
    <w:rsid w:val="008B57C8"/>
    <w:rsid w:val="008B57E7"/>
    <w:rsid w:val="008B5A9E"/>
    <w:rsid w:val="008B5D30"/>
    <w:rsid w:val="008B5D8E"/>
    <w:rsid w:val="008B5E6B"/>
    <w:rsid w:val="008B62D3"/>
    <w:rsid w:val="008B62E3"/>
    <w:rsid w:val="008B6868"/>
    <w:rsid w:val="008B688C"/>
    <w:rsid w:val="008B68C2"/>
    <w:rsid w:val="008B6A95"/>
    <w:rsid w:val="008B6CE1"/>
    <w:rsid w:val="008B6D24"/>
    <w:rsid w:val="008B6DDA"/>
    <w:rsid w:val="008B7002"/>
    <w:rsid w:val="008B765E"/>
    <w:rsid w:val="008B77C1"/>
    <w:rsid w:val="008B7C93"/>
    <w:rsid w:val="008C01F4"/>
    <w:rsid w:val="008C034E"/>
    <w:rsid w:val="008C05AA"/>
    <w:rsid w:val="008C090E"/>
    <w:rsid w:val="008C09EA"/>
    <w:rsid w:val="008C0A96"/>
    <w:rsid w:val="008C1142"/>
    <w:rsid w:val="008C11BC"/>
    <w:rsid w:val="008C19AC"/>
    <w:rsid w:val="008C254D"/>
    <w:rsid w:val="008C33F0"/>
    <w:rsid w:val="008C341B"/>
    <w:rsid w:val="008C34B4"/>
    <w:rsid w:val="008C34F7"/>
    <w:rsid w:val="008C4626"/>
    <w:rsid w:val="008C471C"/>
    <w:rsid w:val="008C4CDF"/>
    <w:rsid w:val="008C4DD1"/>
    <w:rsid w:val="008C4EE5"/>
    <w:rsid w:val="008C50CB"/>
    <w:rsid w:val="008C5460"/>
    <w:rsid w:val="008C5502"/>
    <w:rsid w:val="008C56D8"/>
    <w:rsid w:val="008C5D20"/>
    <w:rsid w:val="008C5F94"/>
    <w:rsid w:val="008C6309"/>
    <w:rsid w:val="008C697E"/>
    <w:rsid w:val="008C6A43"/>
    <w:rsid w:val="008C6C4F"/>
    <w:rsid w:val="008C6C64"/>
    <w:rsid w:val="008C6F0B"/>
    <w:rsid w:val="008C739A"/>
    <w:rsid w:val="008C7473"/>
    <w:rsid w:val="008C7B59"/>
    <w:rsid w:val="008D0099"/>
    <w:rsid w:val="008D0726"/>
    <w:rsid w:val="008D07BA"/>
    <w:rsid w:val="008D080C"/>
    <w:rsid w:val="008D0A4B"/>
    <w:rsid w:val="008D0D7D"/>
    <w:rsid w:val="008D1005"/>
    <w:rsid w:val="008D16A2"/>
    <w:rsid w:val="008D18F6"/>
    <w:rsid w:val="008D1CBA"/>
    <w:rsid w:val="008D212F"/>
    <w:rsid w:val="008D21E0"/>
    <w:rsid w:val="008D2392"/>
    <w:rsid w:val="008D2849"/>
    <w:rsid w:val="008D2C17"/>
    <w:rsid w:val="008D2C8D"/>
    <w:rsid w:val="008D3CFB"/>
    <w:rsid w:val="008D4701"/>
    <w:rsid w:val="008D524C"/>
    <w:rsid w:val="008D59C0"/>
    <w:rsid w:val="008D5C86"/>
    <w:rsid w:val="008D5E26"/>
    <w:rsid w:val="008D6400"/>
    <w:rsid w:val="008D6437"/>
    <w:rsid w:val="008D65A6"/>
    <w:rsid w:val="008D6D4E"/>
    <w:rsid w:val="008D6EDF"/>
    <w:rsid w:val="008D6F87"/>
    <w:rsid w:val="008D7250"/>
    <w:rsid w:val="008D75F9"/>
    <w:rsid w:val="008D7AD2"/>
    <w:rsid w:val="008D7B4D"/>
    <w:rsid w:val="008D7E29"/>
    <w:rsid w:val="008E0AD0"/>
    <w:rsid w:val="008E0AF6"/>
    <w:rsid w:val="008E0DDA"/>
    <w:rsid w:val="008E13F2"/>
    <w:rsid w:val="008E14A4"/>
    <w:rsid w:val="008E201F"/>
    <w:rsid w:val="008E2104"/>
    <w:rsid w:val="008E2157"/>
    <w:rsid w:val="008E2571"/>
    <w:rsid w:val="008E2581"/>
    <w:rsid w:val="008E2824"/>
    <w:rsid w:val="008E296E"/>
    <w:rsid w:val="008E29E1"/>
    <w:rsid w:val="008E2AA9"/>
    <w:rsid w:val="008E2C2F"/>
    <w:rsid w:val="008E2DF0"/>
    <w:rsid w:val="008E2E1B"/>
    <w:rsid w:val="008E3204"/>
    <w:rsid w:val="008E3882"/>
    <w:rsid w:val="008E38BB"/>
    <w:rsid w:val="008E3A0B"/>
    <w:rsid w:val="008E3C73"/>
    <w:rsid w:val="008E3EF5"/>
    <w:rsid w:val="008E4BAA"/>
    <w:rsid w:val="008E5142"/>
    <w:rsid w:val="008E535D"/>
    <w:rsid w:val="008E5DD9"/>
    <w:rsid w:val="008E5E6B"/>
    <w:rsid w:val="008E6091"/>
    <w:rsid w:val="008E62FA"/>
    <w:rsid w:val="008E69FE"/>
    <w:rsid w:val="008E72C2"/>
    <w:rsid w:val="008E73AA"/>
    <w:rsid w:val="008E7EC5"/>
    <w:rsid w:val="008E7EE1"/>
    <w:rsid w:val="008E7FC4"/>
    <w:rsid w:val="008F0345"/>
    <w:rsid w:val="008F1772"/>
    <w:rsid w:val="008F1820"/>
    <w:rsid w:val="008F2078"/>
    <w:rsid w:val="008F243E"/>
    <w:rsid w:val="008F2551"/>
    <w:rsid w:val="008F26E7"/>
    <w:rsid w:val="008F2875"/>
    <w:rsid w:val="008F2EBC"/>
    <w:rsid w:val="008F2ECC"/>
    <w:rsid w:val="008F33B5"/>
    <w:rsid w:val="008F48C9"/>
    <w:rsid w:val="008F4D75"/>
    <w:rsid w:val="008F4DA5"/>
    <w:rsid w:val="008F4DDC"/>
    <w:rsid w:val="008F4F12"/>
    <w:rsid w:val="008F4FB7"/>
    <w:rsid w:val="008F5084"/>
    <w:rsid w:val="008F50CC"/>
    <w:rsid w:val="008F539E"/>
    <w:rsid w:val="008F5A00"/>
    <w:rsid w:val="008F5E46"/>
    <w:rsid w:val="008F5EAC"/>
    <w:rsid w:val="008F5FE0"/>
    <w:rsid w:val="008F61E4"/>
    <w:rsid w:val="008F6204"/>
    <w:rsid w:val="008F695C"/>
    <w:rsid w:val="008F6E01"/>
    <w:rsid w:val="008F7086"/>
    <w:rsid w:val="008F70E1"/>
    <w:rsid w:val="008F71A3"/>
    <w:rsid w:val="008F7BF8"/>
    <w:rsid w:val="008F7C11"/>
    <w:rsid w:val="008F7F03"/>
    <w:rsid w:val="009002EB"/>
    <w:rsid w:val="009004FA"/>
    <w:rsid w:val="0090071D"/>
    <w:rsid w:val="00900804"/>
    <w:rsid w:val="00900899"/>
    <w:rsid w:val="009010EA"/>
    <w:rsid w:val="00901FBC"/>
    <w:rsid w:val="00902444"/>
    <w:rsid w:val="0090246E"/>
    <w:rsid w:val="00902603"/>
    <w:rsid w:val="00902D08"/>
    <w:rsid w:val="0090366B"/>
    <w:rsid w:val="009039F1"/>
    <w:rsid w:val="00903E4B"/>
    <w:rsid w:val="0090475A"/>
    <w:rsid w:val="00904AE2"/>
    <w:rsid w:val="00904BB3"/>
    <w:rsid w:val="00904D6E"/>
    <w:rsid w:val="00904F71"/>
    <w:rsid w:val="00904FBC"/>
    <w:rsid w:val="00905287"/>
    <w:rsid w:val="00905418"/>
    <w:rsid w:val="00905A72"/>
    <w:rsid w:val="00905D54"/>
    <w:rsid w:val="0090604F"/>
    <w:rsid w:val="0090664F"/>
    <w:rsid w:val="0090669F"/>
    <w:rsid w:val="009066E7"/>
    <w:rsid w:val="00906799"/>
    <w:rsid w:val="009069AC"/>
    <w:rsid w:val="00906C1C"/>
    <w:rsid w:val="009072FA"/>
    <w:rsid w:val="00907537"/>
    <w:rsid w:val="0090795C"/>
    <w:rsid w:val="0091052D"/>
    <w:rsid w:val="00910E8B"/>
    <w:rsid w:val="00910F1B"/>
    <w:rsid w:val="009112A5"/>
    <w:rsid w:val="009114CB"/>
    <w:rsid w:val="009116D6"/>
    <w:rsid w:val="00911B5B"/>
    <w:rsid w:val="00911CB6"/>
    <w:rsid w:val="00911CEB"/>
    <w:rsid w:val="0091270D"/>
    <w:rsid w:val="00912EDB"/>
    <w:rsid w:val="00913002"/>
    <w:rsid w:val="009136BD"/>
    <w:rsid w:val="00913C8B"/>
    <w:rsid w:val="00913E11"/>
    <w:rsid w:val="0091441C"/>
    <w:rsid w:val="009156C6"/>
    <w:rsid w:val="00915988"/>
    <w:rsid w:val="00915BDD"/>
    <w:rsid w:val="00915C03"/>
    <w:rsid w:val="00915D75"/>
    <w:rsid w:val="00915E8A"/>
    <w:rsid w:val="00915ECC"/>
    <w:rsid w:val="009161F7"/>
    <w:rsid w:val="00916248"/>
    <w:rsid w:val="0091637D"/>
    <w:rsid w:val="009165DB"/>
    <w:rsid w:val="00916669"/>
    <w:rsid w:val="0091668A"/>
    <w:rsid w:val="00916B0F"/>
    <w:rsid w:val="00917771"/>
    <w:rsid w:val="009178CF"/>
    <w:rsid w:val="00917A02"/>
    <w:rsid w:val="00917B22"/>
    <w:rsid w:val="00917C82"/>
    <w:rsid w:val="00917CD2"/>
    <w:rsid w:val="00920448"/>
    <w:rsid w:val="00920641"/>
    <w:rsid w:val="00920D6C"/>
    <w:rsid w:val="00920E1E"/>
    <w:rsid w:val="00920F73"/>
    <w:rsid w:val="009212E4"/>
    <w:rsid w:val="009213B0"/>
    <w:rsid w:val="009216D9"/>
    <w:rsid w:val="00921E07"/>
    <w:rsid w:val="009220D0"/>
    <w:rsid w:val="00922193"/>
    <w:rsid w:val="00922320"/>
    <w:rsid w:val="009225D2"/>
    <w:rsid w:val="00922780"/>
    <w:rsid w:val="009227AA"/>
    <w:rsid w:val="00922C35"/>
    <w:rsid w:val="0092314D"/>
    <w:rsid w:val="00923597"/>
    <w:rsid w:val="0092365A"/>
    <w:rsid w:val="00923705"/>
    <w:rsid w:val="009240AB"/>
    <w:rsid w:val="00924146"/>
    <w:rsid w:val="00924152"/>
    <w:rsid w:val="009242FA"/>
    <w:rsid w:val="00924593"/>
    <w:rsid w:val="00924A8C"/>
    <w:rsid w:val="009253E2"/>
    <w:rsid w:val="00925493"/>
    <w:rsid w:val="009254EF"/>
    <w:rsid w:val="00925583"/>
    <w:rsid w:val="0092568C"/>
    <w:rsid w:val="00925759"/>
    <w:rsid w:val="00925924"/>
    <w:rsid w:val="00925994"/>
    <w:rsid w:val="00925A79"/>
    <w:rsid w:val="00926072"/>
    <w:rsid w:val="009263DC"/>
    <w:rsid w:val="0092682D"/>
    <w:rsid w:val="00926DF5"/>
    <w:rsid w:val="009279DE"/>
    <w:rsid w:val="00927B38"/>
    <w:rsid w:val="00927C25"/>
    <w:rsid w:val="00927E0B"/>
    <w:rsid w:val="00927E33"/>
    <w:rsid w:val="00927F27"/>
    <w:rsid w:val="00927F57"/>
    <w:rsid w:val="00930079"/>
    <w:rsid w:val="009301DF"/>
    <w:rsid w:val="0093021F"/>
    <w:rsid w:val="00930D23"/>
    <w:rsid w:val="00930D95"/>
    <w:rsid w:val="00930FCA"/>
    <w:rsid w:val="0093101B"/>
    <w:rsid w:val="009315CC"/>
    <w:rsid w:val="00931709"/>
    <w:rsid w:val="0093194D"/>
    <w:rsid w:val="00931C07"/>
    <w:rsid w:val="00931DCD"/>
    <w:rsid w:val="00931FE8"/>
    <w:rsid w:val="0093200E"/>
    <w:rsid w:val="0093218B"/>
    <w:rsid w:val="0093230E"/>
    <w:rsid w:val="00932406"/>
    <w:rsid w:val="00932579"/>
    <w:rsid w:val="0093277B"/>
    <w:rsid w:val="00932995"/>
    <w:rsid w:val="00932AED"/>
    <w:rsid w:val="00932C12"/>
    <w:rsid w:val="00932C47"/>
    <w:rsid w:val="00932E82"/>
    <w:rsid w:val="0093328F"/>
    <w:rsid w:val="0093350B"/>
    <w:rsid w:val="00933765"/>
    <w:rsid w:val="00933C07"/>
    <w:rsid w:val="00933FA1"/>
    <w:rsid w:val="00934045"/>
    <w:rsid w:val="009342DF"/>
    <w:rsid w:val="00934543"/>
    <w:rsid w:val="00934615"/>
    <w:rsid w:val="00934A78"/>
    <w:rsid w:val="00934C3F"/>
    <w:rsid w:val="00934DDD"/>
    <w:rsid w:val="00934F52"/>
    <w:rsid w:val="009350A3"/>
    <w:rsid w:val="009353A6"/>
    <w:rsid w:val="00935469"/>
    <w:rsid w:val="009356FA"/>
    <w:rsid w:val="00935845"/>
    <w:rsid w:val="0093599B"/>
    <w:rsid w:val="00935CA5"/>
    <w:rsid w:val="00935EFF"/>
    <w:rsid w:val="00936314"/>
    <w:rsid w:val="009364D3"/>
    <w:rsid w:val="0093667D"/>
    <w:rsid w:val="00936AA8"/>
    <w:rsid w:val="00937089"/>
    <w:rsid w:val="009370E2"/>
    <w:rsid w:val="00937424"/>
    <w:rsid w:val="00937778"/>
    <w:rsid w:val="009378D2"/>
    <w:rsid w:val="00937A25"/>
    <w:rsid w:val="00937D8E"/>
    <w:rsid w:val="00937DBD"/>
    <w:rsid w:val="00937F4D"/>
    <w:rsid w:val="00940402"/>
    <w:rsid w:val="0094045E"/>
    <w:rsid w:val="009407CF"/>
    <w:rsid w:val="00940BE6"/>
    <w:rsid w:val="00941356"/>
    <w:rsid w:val="009414B9"/>
    <w:rsid w:val="00941538"/>
    <w:rsid w:val="00941666"/>
    <w:rsid w:val="00941780"/>
    <w:rsid w:val="009417AE"/>
    <w:rsid w:val="009418F0"/>
    <w:rsid w:val="00941CBF"/>
    <w:rsid w:val="00941FEA"/>
    <w:rsid w:val="00942A48"/>
    <w:rsid w:val="00942E6F"/>
    <w:rsid w:val="00942ECB"/>
    <w:rsid w:val="009433E3"/>
    <w:rsid w:val="009439AF"/>
    <w:rsid w:val="00943D94"/>
    <w:rsid w:val="009445EB"/>
    <w:rsid w:val="00944EA4"/>
    <w:rsid w:val="00945635"/>
    <w:rsid w:val="00945967"/>
    <w:rsid w:val="00945B3F"/>
    <w:rsid w:val="00945CD1"/>
    <w:rsid w:val="00945D1E"/>
    <w:rsid w:val="009463D6"/>
    <w:rsid w:val="00946716"/>
    <w:rsid w:val="00946CBC"/>
    <w:rsid w:val="00946E21"/>
    <w:rsid w:val="00946EB2"/>
    <w:rsid w:val="0094702D"/>
    <w:rsid w:val="0094713C"/>
    <w:rsid w:val="00947284"/>
    <w:rsid w:val="0094790F"/>
    <w:rsid w:val="009479A6"/>
    <w:rsid w:val="00947BAB"/>
    <w:rsid w:val="00947D0A"/>
    <w:rsid w:val="0095058A"/>
    <w:rsid w:val="00950966"/>
    <w:rsid w:val="00950B0F"/>
    <w:rsid w:val="00950CB3"/>
    <w:rsid w:val="00950DCB"/>
    <w:rsid w:val="00951020"/>
    <w:rsid w:val="0095123B"/>
    <w:rsid w:val="009515FA"/>
    <w:rsid w:val="0095173B"/>
    <w:rsid w:val="00951A49"/>
    <w:rsid w:val="00951CA0"/>
    <w:rsid w:val="00951DFA"/>
    <w:rsid w:val="00952180"/>
    <w:rsid w:val="00952398"/>
    <w:rsid w:val="009524CA"/>
    <w:rsid w:val="009528CD"/>
    <w:rsid w:val="009529E1"/>
    <w:rsid w:val="00952A3A"/>
    <w:rsid w:val="00952C05"/>
    <w:rsid w:val="00952D47"/>
    <w:rsid w:val="00952D4C"/>
    <w:rsid w:val="00952D6D"/>
    <w:rsid w:val="00952F08"/>
    <w:rsid w:val="00953050"/>
    <w:rsid w:val="00953192"/>
    <w:rsid w:val="0095337C"/>
    <w:rsid w:val="00953ED1"/>
    <w:rsid w:val="00954522"/>
    <w:rsid w:val="00954627"/>
    <w:rsid w:val="00954733"/>
    <w:rsid w:val="0095480C"/>
    <w:rsid w:val="0095487D"/>
    <w:rsid w:val="00954B66"/>
    <w:rsid w:val="00954D92"/>
    <w:rsid w:val="00955525"/>
    <w:rsid w:val="00955686"/>
    <w:rsid w:val="00955B88"/>
    <w:rsid w:val="00955EC8"/>
    <w:rsid w:val="00955ECA"/>
    <w:rsid w:val="009562C7"/>
    <w:rsid w:val="0095673F"/>
    <w:rsid w:val="00956986"/>
    <w:rsid w:val="009569DD"/>
    <w:rsid w:val="00956C26"/>
    <w:rsid w:val="0095749D"/>
    <w:rsid w:val="0095780E"/>
    <w:rsid w:val="00957837"/>
    <w:rsid w:val="00957967"/>
    <w:rsid w:val="00957FB8"/>
    <w:rsid w:val="009600DB"/>
    <w:rsid w:val="00960148"/>
    <w:rsid w:val="00960246"/>
    <w:rsid w:val="009604F9"/>
    <w:rsid w:val="00960C40"/>
    <w:rsid w:val="00960F5F"/>
    <w:rsid w:val="00961655"/>
    <w:rsid w:val="00961ADC"/>
    <w:rsid w:val="00961B1A"/>
    <w:rsid w:val="00962DC3"/>
    <w:rsid w:val="0096347B"/>
    <w:rsid w:val="00963864"/>
    <w:rsid w:val="009638A1"/>
    <w:rsid w:val="00964564"/>
    <w:rsid w:val="00965A88"/>
    <w:rsid w:val="00965ABE"/>
    <w:rsid w:val="00965B1C"/>
    <w:rsid w:val="00965B2A"/>
    <w:rsid w:val="009662FE"/>
    <w:rsid w:val="0096684A"/>
    <w:rsid w:val="0096691B"/>
    <w:rsid w:val="00966CF5"/>
    <w:rsid w:val="00967B15"/>
    <w:rsid w:val="00967D1C"/>
    <w:rsid w:val="00970100"/>
    <w:rsid w:val="00970A07"/>
    <w:rsid w:val="00970ABA"/>
    <w:rsid w:val="00970C00"/>
    <w:rsid w:val="00970D46"/>
    <w:rsid w:val="00970FFC"/>
    <w:rsid w:val="009715AA"/>
    <w:rsid w:val="00971F20"/>
    <w:rsid w:val="009720E1"/>
    <w:rsid w:val="009723A7"/>
    <w:rsid w:val="00972427"/>
    <w:rsid w:val="0097294A"/>
    <w:rsid w:val="00972A2C"/>
    <w:rsid w:val="00972A75"/>
    <w:rsid w:val="00972B4F"/>
    <w:rsid w:val="00972CF8"/>
    <w:rsid w:val="00972E2C"/>
    <w:rsid w:val="00973069"/>
    <w:rsid w:val="0097333E"/>
    <w:rsid w:val="009733F1"/>
    <w:rsid w:val="00973738"/>
    <w:rsid w:val="0097382C"/>
    <w:rsid w:val="0097393A"/>
    <w:rsid w:val="009739C3"/>
    <w:rsid w:val="00973AAA"/>
    <w:rsid w:val="00973BB8"/>
    <w:rsid w:val="00973C4E"/>
    <w:rsid w:val="009740C7"/>
    <w:rsid w:val="009743C8"/>
    <w:rsid w:val="0097485B"/>
    <w:rsid w:val="009748FF"/>
    <w:rsid w:val="00974983"/>
    <w:rsid w:val="00974D18"/>
    <w:rsid w:val="00974F0E"/>
    <w:rsid w:val="009755D6"/>
    <w:rsid w:val="00975831"/>
    <w:rsid w:val="009758DF"/>
    <w:rsid w:val="00975CD7"/>
    <w:rsid w:val="00975D33"/>
    <w:rsid w:val="00976001"/>
    <w:rsid w:val="0097656E"/>
    <w:rsid w:val="009768C8"/>
    <w:rsid w:val="00976959"/>
    <w:rsid w:val="00976A30"/>
    <w:rsid w:val="00976B47"/>
    <w:rsid w:val="00976F29"/>
    <w:rsid w:val="009770BD"/>
    <w:rsid w:val="0097715F"/>
    <w:rsid w:val="00977219"/>
    <w:rsid w:val="00977222"/>
    <w:rsid w:val="00977239"/>
    <w:rsid w:val="00977B05"/>
    <w:rsid w:val="00977C1B"/>
    <w:rsid w:val="00977C47"/>
    <w:rsid w:val="00977F8A"/>
    <w:rsid w:val="00980018"/>
    <w:rsid w:val="00980342"/>
    <w:rsid w:val="00980829"/>
    <w:rsid w:val="00980C84"/>
    <w:rsid w:val="00980E44"/>
    <w:rsid w:val="00980E82"/>
    <w:rsid w:val="00981183"/>
    <w:rsid w:val="00981585"/>
    <w:rsid w:val="00982313"/>
    <w:rsid w:val="00982338"/>
    <w:rsid w:val="00982343"/>
    <w:rsid w:val="009825C7"/>
    <w:rsid w:val="00982A64"/>
    <w:rsid w:val="00982F95"/>
    <w:rsid w:val="0098328D"/>
    <w:rsid w:val="009834FF"/>
    <w:rsid w:val="00983533"/>
    <w:rsid w:val="00983C1D"/>
    <w:rsid w:val="00983E9E"/>
    <w:rsid w:val="0098429E"/>
    <w:rsid w:val="0098478D"/>
    <w:rsid w:val="00984AEF"/>
    <w:rsid w:val="00984BAA"/>
    <w:rsid w:val="00984F59"/>
    <w:rsid w:val="00985E70"/>
    <w:rsid w:val="00985FA0"/>
    <w:rsid w:val="0098631F"/>
    <w:rsid w:val="0098652A"/>
    <w:rsid w:val="009868AA"/>
    <w:rsid w:val="00986A0D"/>
    <w:rsid w:val="00986AD1"/>
    <w:rsid w:val="009875AC"/>
    <w:rsid w:val="00987771"/>
    <w:rsid w:val="0098783B"/>
    <w:rsid w:val="00987979"/>
    <w:rsid w:val="00987C3E"/>
    <w:rsid w:val="0099040D"/>
    <w:rsid w:val="0099068E"/>
    <w:rsid w:val="009906B2"/>
    <w:rsid w:val="00991195"/>
    <w:rsid w:val="00991A10"/>
    <w:rsid w:val="00991ACF"/>
    <w:rsid w:val="00991B12"/>
    <w:rsid w:val="0099242E"/>
    <w:rsid w:val="009924EC"/>
    <w:rsid w:val="0099261C"/>
    <w:rsid w:val="00992943"/>
    <w:rsid w:val="00992970"/>
    <w:rsid w:val="00993BA7"/>
    <w:rsid w:val="00993C2B"/>
    <w:rsid w:val="00993E4D"/>
    <w:rsid w:val="0099443F"/>
    <w:rsid w:val="0099466B"/>
    <w:rsid w:val="009946A9"/>
    <w:rsid w:val="00994BE3"/>
    <w:rsid w:val="00995577"/>
    <w:rsid w:val="0099598F"/>
    <w:rsid w:val="00995ABE"/>
    <w:rsid w:val="00995DC3"/>
    <w:rsid w:val="0099602A"/>
    <w:rsid w:val="0099605C"/>
    <w:rsid w:val="0099606B"/>
    <w:rsid w:val="00996311"/>
    <w:rsid w:val="00996621"/>
    <w:rsid w:val="00996B5F"/>
    <w:rsid w:val="00996F5E"/>
    <w:rsid w:val="009979F4"/>
    <w:rsid w:val="00997DD2"/>
    <w:rsid w:val="009A057F"/>
    <w:rsid w:val="009A09EE"/>
    <w:rsid w:val="009A0AB4"/>
    <w:rsid w:val="009A1B2E"/>
    <w:rsid w:val="009A1DA0"/>
    <w:rsid w:val="009A1DBC"/>
    <w:rsid w:val="009A202A"/>
    <w:rsid w:val="009A2AE8"/>
    <w:rsid w:val="009A2B02"/>
    <w:rsid w:val="009A2B3B"/>
    <w:rsid w:val="009A2BF2"/>
    <w:rsid w:val="009A2BF5"/>
    <w:rsid w:val="009A34AE"/>
    <w:rsid w:val="009A3705"/>
    <w:rsid w:val="009A3C3B"/>
    <w:rsid w:val="009A3C4B"/>
    <w:rsid w:val="009A3CFA"/>
    <w:rsid w:val="009A3E07"/>
    <w:rsid w:val="009A3EFD"/>
    <w:rsid w:val="009A44DE"/>
    <w:rsid w:val="009A45B2"/>
    <w:rsid w:val="009A468A"/>
    <w:rsid w:val="009A4839"/>
    <w:rsid w:val="009A4B48"/>
    <w:rsid w:val="009A5433"/>
    <w:rsid w:val="009A5558"/>
    <w:rsid w:val="009A5564"/>
    <w:rsid w:val="009A5585"/>
    <w:rsid w:val="009A59D5"/>
    <w:rsid w:val="009A5DE4"/>
    <w:rsid w:val="009A5FD0"/>
    <w:rsid w:val="009A644B"/>
    <w:rsid w:val="009A66C0"/>
    <w:rsid w:val="009A68C9"/>
    <w:rsid w:val="009A6988"/>
    <w:rsid w:val="009A6B8B"/>
    <w:rsid w:val="009A6BEF"/>
    <w:rsid w:val="009A6C9F"/>
    <w:rsid w:val="009A6F57"/>
    <w:rsid w:val="009A7087"/>
    <w:rsid w:val="009A72CF"/>
    <w:rsid w:val="009A7720"/>
    <w:rsid w:val="009A7C9D"/>
    <w:rsid w:val="009A7DC4"/>
    <w:rsid w:val="009B00CE"/>
    <w:rsid w:val="009B0919"/>
    <w:rsid w:val="009B0A01"/>
    <w:rsid w:val="009B12E3"/>
    <w:rsid w:val="009B21C8"/>
    <w:rsid w:val="009B23CA"/>
    <w:rsid w:val="009B28C3"/>
    <w:rsid w:val="009B2CB7"/>
    <w:rsid w:val="009B2D7E"/>
    <w:rsid w:val="009B2DD1"/>
    <w:rsid w:val="009B3399"/>
    <w:rsid w:val="009B34C3"/>
    <w:rsid w:val="009B3C9A"/>
    <w:rsid w:val="009B3CB9"/>
    <w:rsid w:val="009B3CC8"/>
    <w:rsid w:val="009B414B"/>
    <w:rsid w:val="009B448F"/>
    <w:rsid w:val="009B45F6"/>
    <w:rsid w:val="009B4B48"/>
    <w:rsid w:val="009B4B68"/>
    <w:rsid w:val="009B556F"/>
    <w:rsid w:val="009B5F3C"/>
    <w:rsid w:val="009B650D"/>
    <w:rsid w:val="009B6588"/>
    <w:rsid w:val="009B686A"/>
    <w:rsid w:val="009B697A"/>
    <w:rsid w:val="009B6ACB"/>
    <w:rsid w:val="009B6B97"/>
    <w:rsid w:val="009B6E7D"/>
    <w:rsid w:val="009B70E6"/>
    <w:rsid w:val="009B71BA"/>
    <w:rsid w:val="009B79D8"/>
    <w:rsid w:val="009B7F2D"/>
    <w:rsid w:val="009C0424"/>
    <w:rsid w:val="009C0686"/>
    <w:rsid w:val="009C07E3"/>
    <w:rsid w:val="009C123D"/>
    <w:rsid w:val="009C165B"/>
    <w:rsid w:val="009C178B"/>
    <w:rsid w:val="009C206A"/>
    <w:rsid w:val="009C2104"/>
    <w:rsid w:val="009C2EBD"/>
    <w:rsid w:val="009C2F2B"/>
    <w:rsid w:val="009C31FF"/>
    <w:rsid w:val="009C32BC"/>
    <w:rsid w:val="009C332E"/>
    <w:rsid w:val="009C3D96"/>
    <w:rsid w:val="009C406D"/>
    <w:rsid w:val="009C4097"/>
    <w:rsid w:val="009C40E0"/>
    <w:rsid w:val="009C40F9"/>
    <w:rsid w:val="009C41A2"/>
    <w:rsid w:val="009C41F3"/>
    <w:rsid w:val="009C433E"/>
    <w:rsid w:val="009C4AB1"/>
    <w:rsid w:val="009C4C3C"/>
    <w:rsid w:val="009C4EA9"/>
    <w:rsid w:val="009C4EE1"/>
    <w:rsid w:val="009C544F"/>
    <w:rsid w:val="009C583F"/>
    <w:rsid w:val="009C5E10"/>
    <w:rsid w:val="009C6072"/>
    <w:rsid w:val="009C6619"/>
    <w:rsid w:val="009C688F"/>
    <w:rsid w:val="009C6B2D"/>
    <w:rsid w:val="009C6FBB"/>
    <w:rsid w:val="009C728E"/>
    <w:rsid w:val="009C73C2"/>
    <w:rsid w:val="009C757D"/>
    <w:rsid w:val="009C7756"/>
    <w:rsid w:val="009C7967"/>
    <w:rsid w:val="009C7B2F"/>
    <w:rsid w:val="009C7B85"/>
    <w:rsid w:val="009C7BF4"/>
    <w:rsid w:val="009D003D"/>
    <w:rsid w:val="009D00B3"/>
    <w:rsid w:val="009D0649"/>
    <w:rsid w:val="009D0CE1"/>
    <w:rsid w:val="009D0E25"/>
    <w:rsid w:val="009D13C2"/>
    <w:rsid w:val="009D156A"/>
    <w:rsid w:val="009D1600"/>
    <w:rsid w:val="009D1765"/>
    <w:rsid w:val="009D1832"/>
    <w:rsid w:val="009D18EC"/>
    <w:rsid w:val="009D221D"/>
    <w:rsid w:val="009D22B6"/>
    <w:rsid w:val="009D22BD"/>
    <w:rsid w:val="009D28B6"/>
    <w:rsid w:val="009D2DDD"/>
    <w:rsid w:val="009D32ED"/>
    <w:rsid w:val="009D37FB"/>
    <w:rsid w:val="009D3B6A"/>
    <w:rsid w:val="009D41D9"/>
    <w:rsid w:val="009D47E4"/>
    <w:rsid w:val="009D4A47"/>
    <w:rsid w:val="009D4B27"/>
    <w:rsid w:val="009D5362"/>
    <w:rsid w:val="009D540C"/>
    <w:rsid w:val="009D562A"/>
    <w:rsid w:val="009D56CD"/>
    <w:rsid w:val="009D5AD1"/>
    <w:rsid w:val="009D5D66"/>
    <w:rsid w:val="009D60DD"/>
    <w:rsid w:val="009D61BC"/>
    <w:rsid w:val="009D66F7"/>
    <w:rsid w:val="009D69E2"/>
    <w:rsid w:val="009D6DF2"/>
    <w:rsid w:val="009D7207"/>
    <w:rsid w:val="009D735B"/>
    <w:rsid w:val="009D74B3"/>
    <w:rsid w:val="009D7C4C"/>
    <w:rsid w:val="009E026B"/>
    <w:rsid w:val="009E07A3"/>
    <w:rsid w:val="009E09F0"/>
    <w:rsid w:val="009E0A0A"/>
    <w:rsid w:val="009E0AC2"/>
    <w:rsid w:val="009E0C10"/>
    <w:rsid w:val="009E0E70"/>
    <w:rsid w:val="009E0F10"/>
    <w:rsid w:val="009E13B0"/>
    <w:rsid w:val="009E1C4E"/>
    <w:rsid w:val="009E1DB9"/>
    <w:rsid w:val="009E1EF5"/>
    <w:rsid w:val="009E2CE5"/>
    <w:rsid w:val="009E336E"/>
    <w:rsid w:val="009E3B57"/>
    <w:rsid w:val="009E3C5B"/>
    <w:rsid w:val="009E4116"/>
    <w:rsid w:val="009E413A"/>
    <w:rsid w:val="009E4386"/>
    <w:rsid w:val="009E438B"/>
    <w:rsid w:val="009E4609"/>
    <w:rsid w:val="009E4924"/>
    <w:rsid w:val="009E59B7"/>
    <w:rsid w:val="009E60F6"/>
    <w:rsid w:val="009E6365"/>
    <w:rsid w:val="009E667F"/>
    <w:rsid w:val="009E6B99"/>
    <w:rsid w:val="009E6C17"/>
    <w:rsid w:val="009E6CFD"/>
    <w:rsid w:val="009E74EC"/>
    <w:rsid w:val="009E7543"/>
    <w:rsid w:val="009E787A"/>
    <w:rsid w:val="009E7BC8"/>
    <w:rsid w:val="009E7E33"/>
    <w:rsid w:val="009E7E8D"/>
    <w:rsid w:val="009F044A"/>
    <w:rsid w:val="009F044D"/>
    <w:rsid w:val="009F07B4"/>
    <w:rsid w:val="009F0893"/>
    <w:rsid w:val="009F0D96"/>
    <w:rsid w:val="009F0F4F"/>
    <w:rsid w:val="009F1AD3"/>
    <w:rsid w:val="009F2149"/>
    <w:rsid w:val="009F233A"/>
    <w:rsid w:val="009F2480"/>
    <w:rsid w:val="009F2858"/>
    <w:rsid w:val="009F2A16"/>
    <w:rsid w:val="009F2B4E"/>
    <w:rsid w:val="009F2BAF"/>
    <w:rsid w:val="009F2CAC"/>
    <w:rsid w:val="009F2D7D"/>
    <w:rsid w:val="009F2FA3"/>
    <w:rsid w:val="009F321B"/>
    <w:rsid w:val="009F3451"/>
    <w:rsid w:val="009F35CF"/>
    <w:rsid w:val="009F3B10"/>
    <w:rsid w:val="009F3CB5"/>
    <w:rsid w:val="009F4019"/>
    <w:rsid w:val="009F40B2"/>
    <w:rsid w:val="009F43F9"/>
    <w:rsid w:val="009F469F"/>
    <w:rsid w:val="009F4759"/>
    <w:rsid w:val="009F48D5"/>
    <w:rsid w:val="009F494E"/>
    <w:rsid w:val="009F501C"/>
    <w:rsid w:val="009F5384"/>
    <w:rsid w:val="009F58C6"/>
    <w:rsid w:val="009F5B74"/>
    <w:rsid w:val="009F5DC3"/>
    <w:rsid w:val="009F5F2F"/>
    <w:rsid w:val="009F6DE9"/>
    <w:rsid w:val="009F78FE"/>
    <w:rsid w:val="009F7DEE"/>
    <w:rsid w:val="009F7E8C"/>
    <w:rsid w:val="00A002F7"/>
    <w:rsid w:val="00A004C8"/>
    <w:rsid w:val="00A00822"/>
    <w:rsid w:val="00A00920"/>
    <w:rsid w:val="00A00EFA"/>
    <w:rsid w:val="00A01172"/>
    <w:rsid w:val="00A012B3"/>
    <w:rsid w:val="00A021A0"/>
    <w:rsid w:val="00A02328"/>
    <w:rsid w:val="00A0245A"/>
    <w:rsid w:val="00A02522"/>
    <w:rsid w:val="00A026F8"/>
    <w:rsid w:val="00A02789"/>
    <w:rsid w:val="00A028B5"/>
    <w:rsid w:val="00A02A07"/>
    <w:rsid w:val="00A02EAB"/>
    <w:rsid w:val="00A03887"/>
    <w:rsid w:val="00A0392D"/>
    <w:rsid w:val="00A03A4C"/>
    <w:rsid w:val="00A03E5D"/>
    <w:rsid w:val="00A040DE"/>
    <w:rsid w:val="00A040E3"/>
    <w:rsid w:val="00A0430B"/>
    <w:rsid w:val="00A04DC2"/>
    <w:rsid w:val="00A05468"/>
    <w:rsid w:val="00A05617"/>
    <w:rsid w:val="00A05CF1"/>
    <w:rsid w:val="00A06514"/>
    <w:rsid w:val="00A06BEA"/>
    <w:rsid w:val="00A06C9B"/>
    <w:rsid w:val="00A077EF"/>
    <w:rsid w:val="00A07934"/>
    <w:rsid w:val="00A07D04"/>
    <w:rsid w:val="00A07DE7"/>
    <w:rsid w:val="00A07E48"/>
    <w:rsid w:val="00A1060F"/>
    <w:rsid w:val="00A10799"/>
    <w:rsid w:val="00A107CA"/>
    <w:rsid w:val="00A10DA6"/>
    <w:rsid w:val="00A11176"/>
    <w:rsid w:val="00A1128E"/>
    <w:rsid w:val="00A112A1"/>
    <w:rsid w:val="00A1144F"/>
    <w:rsid w:val="00A11AA0"/>
    <w:rsid w:val="00A11BD9"/>
    <w:rsid w:val="00A11C52"/>
    <w:rsid w:val="00A11DB8"/>
    <w:rsid w:val="00A12482"/>
    <w:rsid w:val="00A126C7"/>
    <w:rsid w:val="00A128D6"/>
    <w:rsid w:val="00A129DD"/>
    <w:rsid w:val="00A12BCE"/>
    <w:rsid w:val="00A131F2"/>
    <w:rsid w:val="00A132B8"/>
    <w:rsid w:val="00A13360"/>
    <w:rsid w:val="00A13472"/>
    <w:rsid w:val="00A13700"/>
    <w:rsid w:val="00A141C2"/>
    <w:rsid w:val="00A144C9"/>
    <w:rsid w:val="00A14C93"/>
    <w:rsid w:val="00A14E2D"/>
    <w:rsid w:val="00A14F0D"/>
    <w:rsid w:val="00A14FA7"/>
    <w:rsid w:val="00A151E9"/>
    <w:rsid w:val="00A1531B"/>
    <w:rsid w:val="00A1591B"/>
    <w:rsid w:val="00A15A73"/>
    <w:rsid w:val="00A15DBB"/>
    <w:rsid w:val="00A15DDD"/>
    <w:rsid w:val="00A16494"/>
    <w:rsid w:val="00A165A8"/>
    <w:rsid w:val="00A1671E"/>
    <w:rsid w:val="00A1686D"/>
    <w:rsid w:val="00A16F54"/>
    <w:rsid w:val="00A1711F"/>
    <w:rsid w:val="00A1724A"/>
    <w:rsid w:val="00A174C9"/>
    <w:rsid w:val="00A17600"/>
    <w:rsid w:val="00A1761E"/>
    <w:rsid w:val="00A176FC"/>
    <w:rsid w:val="00A177B3"/>
    <w:rsid w:val="00A17961"/>
    <w:rsid w:val="00A17A22"/>
    <w:rsid w:val="00A17A8A"/>
    <w:rsid w:val="00A17C8B"/>
    <w:rsid w:val="00A17D17"/>
    <w:rsid w:val="00A204B4"/>
    <w:rsid w:val="00A2081E"/>
    <w:rsid w:val="00A20CA4"/>
    <w:rsid w:val="00A211AF"/>
    <w:rsid w:val="00A21264"/>
    <w:rsid w:val="00A2177D"/>
    <w:rsid w:val="00A217FF"/>
    <w:rsid w:val="00A21CAA"/>
    <w:rsid w:val="00A2206D"/>
    <w:rsid w:val="00A22528"/>
    <w:rsid w:val="00A22B55"/>
    <w:rsid w:val="00A232F3"/>
    <w:rsid w:val="00A2372C"/>
    <w:rsid w:val="00A23C3A"/>
    <w:rsid w:val="00A24373"/>
    <w:rsid w:val="00A243FA"/>
    <w:rsid w:val="00A2472C"/>
    <w:rsid w:val="00A2488B"/>
    <w:rsid w:val="00A24901"/>
    <w:rsid w:val="00A24C31"/>
    <w:rsid w:val="00A24D3F"/>
    <w:rsid w:val="00A2507E"/>
    <w:rsid w:val="00A25242"/>
    <w:rsid w:val="00A255FA"/>
    <w:rsid w:val="00A259F2"/>
    <w:rsid w:val="00A2676C"/>
    <w:rsid w:val="00A26908"/>
    <w:rsid w:val="00A26CB5"/>
    <w:rsid w:val="00A26F61"/>
    <w:rsid w:val="00A2707A"/>
    <w:rsid w:val="00A27316"/>
    <w:rsid w:val="00A2758A"/>
    <w:rsid w:val="00A27939"/>
    <w:rsid w:val="00A27957"/>
    <w:rsid w:val="00A27C25"/>
    <w:rsid w:val="00A30177"/>
    <w:rsid w:val="00A3031D"/>
    <w:rsid w:val="00A30353"/>
    <w:rsid w:val="00A307AE"/>
    <w:rsid w:val="00A30872"/>
    <w:rsid w:val="00A308EB"/>
    <w:rsid w:val="00A30BCD"/>
    <w:rsid w:val="00A314D9"/>
    <w:rsid w:val="00A31D87"/>
    <w:rsid w:val="00A31E87"/>
    <w:rsid w:val="00A32330"/>
    <w:rsid w:val="00A324B4"/>
    <w:rsid w:val="00A32A66"/>
    <w:rsid w:val="00A32A80"/>
    <w:rsid w:val="00A3325C"/>
    <w:rsid w:val="00A33403"/>
    <w:rsid w:val="00A33802"/>
    <w:rsid w:val="00A33D4D"/>
    <w:rsid w:val="00A33E8E"/>
    <w:rsid w:val="00A33F10"/>
    <w:rsid w:val="00A34124"/>
    <w:rsid w:val="00A3518C"/>
    <w:rsid w:val="00A35208"/>
    <w:rsid w:val="00A355A6"/>
    <w:rsid w:val="00A356A4"/>
    <w:rsid w:val="00A35CCE"/>
    <w:rsid w:val="00A35D68"/>
    <w:rsid w:val="00A35EC6"/>
    <w:rsid w:val="00A35EE7"/>
    <w:rsid w:val="00A36A02"/>
    <w:rsid w:val="00A36A12"/>
    <w:rsid w:val="00A37162"/>
    <w:rsid w:val="00A37305"/>
    <w:rsid w:val="00A373F2"/>
    <w:rsid w:val="00A37858"/>
    <w:rsid w:val="00A37E3B"/>
    <w:rsid w:val="00A37E51"/>
    <w:rsid w:val="00A40085"/>
    <w:rsid w:val="00A40189"/>
    <w:rsid w:val="00A40498"/>
    <w:rsid w:val="00A407F8"/>
    <w:rsid w:val="00A408D5"/>
    <w:rsid w:val="00A40CA7"/>
    <w:rsid w:val="00A41153"/>
    <w:rsid w:val="00A41924"/>
    <w:rsid w:val="00A41C2B"/>
    <w:rsid w:val="00A41E5E"/>
    <w:rsid w:val="00A41EE6"/>
    <w:rsid w:val="00A41F2C"/>
    <w:rsid w:val="00A420CA"/>
    <w:rsid w:val="00A42130"/>
    <w:rsid w:val="00A42240"/>
    <w:rsid w:val="00A422FE"/>
    <w:rsid w:val="00A426E7"/>
    <w:rsid w:val="00A427ED"/>
    <w:rsid w:val="00A427EF"/>
    <w:rsid w:val="00A42833"/>
    <w:rsid w:val="00A428BA"/>
    <w:rsid w:val="00A42A93"/>
    <w:rsid w:val="00A42B9E"/>
    <w:rsid w:val="00A42E47"/>
    <w:rsid w:val="00A42EAD"/>
    <w:rsid w:val="00A43223"/>
    <w:rsid w:val="00A4335D"/>
    <w:rsid w:val="00A4395D"/>
    <w:rsid w:val="00A43BB3"/>
    <w:rsid w:val="00A43EC1"/>
    <w:rsid w:val="00A44079"/>
    <w:rsid w:val="00A44401"/>
    <w:rsid w:val="00A44EAC"/>
    <w:rsid w:val="00A44FC5"/>
    <w:rsid w:val="00A45003"/>
    <w:rsid w:val="00A453CA"/>
    <w:rsid w:val="00A453DA"/>
    <w:rsid w:val="00A454A8"/>
    <w:rsid w:val="00A456D4"/>
    <w:rsid w:val="00A45868"/>
    <w:rsid w:val="00A458D5"/>
    <w:rsid w:val="00A459E7"/>
    <w:rsid w:val="00A45B67"/>
    <w:rsid w:val="00A45FCF"/>
    <w:rsid w:val="00A46CAF"/>
    <w:rsid w:val="00A4718C"/>
    <w:rsid w:val="00A473F6"/>
    <w:rsid w:val="00A47EC3"/>
    <w:rsid w:val="00A502EB"/>
    <w:rsid w:val="00A50554"/>
    <w:rsid w:val="00A505B5"/>
    <w:rsid w:val="00A50650"/>
    <w:rsid w:val="00A50A5E"/>
    <w:rsid w:val="00A50DF7"/>
    <w:rsid w:val="00A51048"/>
    <w:rsid w:val="00A514CD"/>
    <w:rsid w:val="00A519AE"/>
    <w:rsid w:val="00A51E2D"/>
    <w:rsid w:val="00A522D7"/>
    <w:rsid w:val="00A5319F"/>
    <w:rsid w:val="00A532E3"/>
    <w:rsid w:val="00A5341A"/>
    <w:rsid w:val="00A53690"/>
    <w:rsid w:val="00A538F1"/>
    <w:rsid w:val="00A53BE6"/>
    <w:rsid w:val="00A540BE"/>
    <w:rsid w:val="00A543E2"/>
    <w:rsid w:val="00A54B58"/>
    <w:rsid w:val="00A54D49"/>
    <w:rsid w:val="00A552FC"/>
    <w:rsid w:val="00A554B2"/>
    <w:rsid w:val="00A556BE"/>
    <w:rsid w:val="00A557BB"/>
    <w:rsid w:val="00A558F0"/>
    <w:rsid w:val="00A56149"/>
    <w:rsid w:val="00A56325"/>
    <w:rsid w:val="00A5637F"/>
    <w:rsid w:val="00A563F4"/>
    <w:rsid w:val="00A57082"/>
    <w:rsid w:val="00A57861"/>
    <w:rsid w:val="00A57B17"/>
    <w:rsid w:val="00A57CC7"/>
    <w:rsid w:val="00A57F16"/>
    <w:rsid w:val="00A602C4"/>
    <w:rsid w:val="00A604D3"/>
    <w:rsid w:val="00A60532"/>
    <w:rsid w:val="00A60BF1"/>
    <w:rsid w:val="00A60D46"/>
    <w:rsid w:val="00A61251"/>
    <w:rsid w:val="00A61E9B"/>
    <w:rsid w:val="00A6254E"/>
    <w:rsid w:val="00A626AE"/>
    <w:rsid w:val="00A62D31"/>
    <w:rsid w:val="00A62F1F"/>
    <w:rsid w:val="00A63098"/>
    <w:rsid w:val="00A63380"/>
    <w:rsid w:val="00A63576"/>
    <w:rsid w:val="00A63712"/>
    <w:rsid w:val="00A6395A"/>
    <w:rsid w:val="00A63AB4"/>
    <w:rsid w:val="00A63D25"/>
    <w:rsid w:val="00A63DB3"/>
    <w:rsid w:val="00A6411B"/>
    <w:rsid w:val="00A643EE"/>
    <w:rsid w:val="00A644D6"/>
    <w:rsid w:val="00A64524"/>
    <w:rsid w:val="00A6470F"/>
    <w:rsid w:val="00A64B73"/>
    <w:rsid w:val="00A651B4"/>
    <w:rsid w:val="00A6528D"/>
    <w:rsid w:val="00A654F9"/>
    <w:rsid w:val="00A657CE"/>
    <w:rsid w:val="00A66919"/>
    <w:rsid w:val="00A66A78"/>
    <w:rsid w:val="00A67444"/>
    <w:rsid w:val="00A6789A"/>
    <w:rsid w:val="00A6792D"/>
    <w:rsid w:val="00A679CA"/>
    <w:rsid w:val="00A700F7"/>
    <w:rsid w:val="00A70246"/>
    <w:rsid w:val="00A704EF"/>
    <w:rsid w:val="00A70510"/>
    <w:rsid w:val="00A70585"/>
    <w:rsid w:val="00A70AA7"/>
    <w:rsid w:val="00A71148"/>
    <w:rsid w:val="00A71170"/>
    <w:rsid w:val="00A71318"/>
    <w:rsid w:val="00A7155C"/>
    <w:rsid w:val="00A71673"/>
    <w:rsid w:val="00A71862"/>
    <w:rsid w:val="00A718CD"/>
    <w:rsid w:val="00A7194C"/>
    <w:rsid w:val="00A71CC5"/>
    <w:rsid w:val="00A7263A"/>
    <w:rsid w:val="00A7311A"/>
    <w:rsid w:val="00A735E7"/>
    <w:rsid w:val="00A736CA"/>
    <w:rsid w:val="00A73931"/>
    <w:rsid w:val="00A73FDC"/>
    <w:rsid w:val="00A743C6"/>
    <w:rsid w:val="00A74656"/>
    <w:rsid w:val="00A74891"/>
    <w:rsid w:val="00A74938"/>
    <w:rsid w:val="00A74BBA"/>
    <w:rsid w:val="00A74F9F"/>
    <w:rsid w:val="00A752FA"/>
    <w:rsid w:val="00A75CF6"/>
    <w:rsid w:val="00A75E3D"/>
    <w:rsid w:val="00A76453"/>
    <w:rsid w:val="00A76658"/>
    <w:rsid w:val="00A76767"/>
    <w:rsid w:val="00A76830"/>
    <w:rsid w:val="00A76FE3"/>
    <w:rsid w:val="00A771CD"/>
    <w:rsid w:val="00A77282"/>
    <w:rsid w:val="00A77537"/>
    <w:rsid w:val="00A77A1A"/>
    <w:rsid w:val="00A77B59"/>
    <w:rsid w:val="00A77E77"/>
    <w:rsid w:val="00A77F31"/>
    <w:rsid w:val="00A8033C"/>
    <w:rsid w:val="00A80554"/>
    <w:rsid w:val="00A80A71"/>
    <w:rsid w:val="00A80ADF"/>
    <w:rsid w:val="00A80B5F"/>
    <w:rsid w:val="00A80B9E"/>
    <w:rsid w:val="00A80D9C"/>
    <w:rsid w:val="00A810B7"/>
    <w:rsid w:val="00A8129D"/>
    <w:rsid w:val="00A8137E"/>
    <w:rsid w:val="00A8149A"/>
    <w:rsid w:val="00A81826"/>
    <w:rsid w:val="00A81B93"/>
    <w:rsid w:val="00A81E00"/>
    <w:rsid w:val="00A81E62"/>
    <w:rsid w:val="00A82484"/>
    <w:rsid w:val="00A824B1"/>
    <w:rsid w:val="00A829BD"/>
    <w:rsid w:val="00A82BFB"/>
    <w:rsid w:val="00A82C18"/>
    <w:rsid w:val="00A82CAF"/>
    <w:rsid w:val="00A82E09"/>
    <w:rsid w:val="00A83373"/>
    <w:rsid w:val="00A8338D"/>
    <w:rsid w:val="00A839E5"/>
    <w:rsid w:val="00A83F47"/>
    <w:rsid w:val="00A83FC9"/>
    <w:rsid w:val="00A84029"/>
    <w:rsid w:val="00A84185"/>
    <w:rsid w:val="00A84216"/>
    <w:rsid w:val="00A842D4"/>
    <w:rsid w:val="00A84395"/>
    <w:rsid w:val="00A843D2"/>
    <w:rsid w:val="00A847E8"/>
    <w:rsid w:val="00A84944"/>
    <w:rsid w:val="00A8496E"/>
    <w:rsid w:val="00A84AB6"/>
    <w:rsid w:val="00A84BC5"/>
    <w:rsid w:val="00A8508B"/>
    <w:rsid w:val="00A855AF"/>
    <w:rsid w:val="00A8585E"/>
    <w:rsid w:val="00A8597D"/>
    <w:rsid w:val="00A85ED6"/>
    <w:rsid w:val="00A8626F"/>
    <w:rsid w:val="00A864E0"/>
    <w:rsid w:val="00A8658C"/>
    <w:rsid w:val="00A865C7"/>
    <w:rsid w:val="00A86622"/>
    <w:rsid w:val="00A86CDA"/>
    <w:rsid w:val="00A8722C"/>
    <w:rsid w:val="00A873D3"/>
    <w:rsid w:val="00A906B5"/>
    <w:rsid w:val="00A907B6"/>
    <w:rsid w:val="00A909CC"/>
    <w:rsid w:val="00A90B88"/>
    <w:rsid w:val="00A91744"/>
    <w:rsid w:val="00A917D6"/>
    <w:rsid w:val="00A91869"/>
    <w:rsid w:val="00A91A77"/>
    <w:rsid w:val="00A91BD9"/>
    <w:rsid w:val="00A92397"/>
    <w:rsid w:val="00A92561"/>
    <w:rsid w:val="00A925F7"/>
    <w:rsid w:val="00A92689"/>
    <w:rsid w:val="00A92937"/>
    <w:rsid w:val="00A930BA"/>
    <w:rsid w:val="00A932A2"/>
    <w:rsid w:val="00A93D4E"/>
    <w:rsid w:val="00A940E5"/>
    <w:rsid w:val="00A940E7"/>
    <w:rsid w:val="00A941C8"/>
    <w:rsid w:val="00A9420E"/>
    <w:rsid w:val="00A94249"/>
    <w:rsid w:val="00A9434B"/>
    <w:rsid w:val="00A94444"/>
    <w:rsid w:val="00A9483D"/>
    <w:rsid w:val="00A957BB"/>
    <w:rsid w:val="00A959A7"/>
    <w:rsid w:val="00A95D4D"/>
    <w:rsid w:val="00A95E8A"/>
    <w:rsid w:val="00A95F8B"/>
    <w:rsid w:val="00A96069"/>
    <w:rsid w:val="00A962D3"/>
    <w:rsid w:val="00A96422"/>
    <w:rsid w:val="00A964A5"/>
    <w:rsid w:val="00A97797"/>
    <w:rsid w:val="00A9783C"/>
    <w:rsid w:val="00A97863"/>
    <w:rsid w:val="00A978A5"/>
    <w:rsid w:val="00A97981"/>
    <w:rsid w:val="00A97E3B"/>
    <w:rsid w:val="00AA00CB"/>
    <w:rsid w:val="00AA0217"/>
    <w:rsid w:val="00AA036B"/>
    <w:rsid w:val="00AA068A"/>
    <w:rsid w:val="00AA06D7"/>
    <w:rsid w:val="00AA0700"/>
    <w:rsid w:val="00AA0CA8"/>
    <w:rsid w:val="00AA0F89"/>
    <w:rsid w:val="00AA1754"/>
    <w:rsid w:val="00AA18C8"/>
    <w:rsid w:val="00AA20A1"/>
    <w:rsid w:val="00AA228C"/>
    <w:rsid w:val="00AA2DB7"/>
    <w:rsid w:val="00AA2ED5"/>
    <w:rsid w:val="00AA31A8"/>
    <w:rsid w:val="00AA327A"/>
    <w:rsid w:val="00AA34EA"/>
    <w:rsid w:val="00AA36C1"/>
    <w:rsid w:val="00AA36D0"/>
    <w:rsid w:val="00AA3818"/>
    <w:rsid w:val="00AA390D"/>
    <w:rsid w:val="00AA4069"/>
    <w:rsid w:val="00AA410D"/>
    <w:rsid w:val="00AA41F2"/>
    <w:rsid w:val="00AA438C"/>
    <w:rsid w:val="00AA48DB"/>
    <w:rsid w:val="00AA49C9"/>
    <w:rsid w:val="00AA4F26"/>
    <w:rsid w:val="00AA4F75"/>
    <w:rsid w:val="00AA4FB8"/>
    <w:rsid w:val="00AA5232"/>
    <w:rsid w:val="00AA5323"/>
    <w:rsid w:val="00AA5709"/>
    <w:rsid w:val="00AA5845"/>
    <w:rsid w:val="00AA5860"/>
    <w:rsid w:val="00AA5C7E"/>
    <w:rsid w:val="00AA5D29"/>
    <w:rsid w:val="00AA5EAC"/>
    <w:rsid w:val="00AA6242"/>
    <w:rsid w:val="00AA6252"/>
    <w:rsid w:val="00AA666B"/>
    <w:rsid w:val="00AA682F"/>
    <w:rsid w:val="00AA718F"/>
    <w:rsid w:val="00AA72D5"/>
    <w:rsid w:val="00AA7898"/>
    <w:rsid w:val="00AA7E13"/>
    <w:rsid w:val="00AA7FD2"/>
    <w:rsid w:val="00AB0048"/>
    <w:rsid w:val="00AB039E"/>
    <w:rsid w:val="00AB07E6"/>
    <w:rsid w:val="00AB0A5F"/>
    <w:rsid w:val="00AB12A9"/>
    <w:rsid w:val="00AB131E"/>
    <w:rsid w:val="00AB1360"/>
    <w:rsid w:val="00AB1457"/>
    <w:rsid w:val="00AB1537"/>
    <w:rsid w:val="00AB15D1"/>
    <w:rsid w:val="00AB20FE"/>
    <w:rsid w:val="00AB2138"/>
    <w:rsid w:val="00AB255C"/>
    <w:rsid w:val="00AB260C"/>
    <w:rsid w:val="00AB2855"/>
    <w:rsid w:val="00AB2887"/>
    <w:rsid w:val="00AB3207"/>
    <w:rsid w:val="00AB320A"/>
    <w:rsid w:val="00AB3251"/>
    <w:rsid w:val="00AB329B"/>
    <w:rsid w:val="00AB34F3"/>
    <w:rsid w:val="00AB3D5B"/>
    <w:rsid w:val="00AB3E63"/>
    <w:rsid w:val="00AB409B"/>
    <w:rsid w:val="00AB4206"/>
    <w:rsid w:val="00AB4347"/>
    <w:rsid w:val="00AB44ED"/>
    <w:rsid w:val="00AB48A8"/>
    <w:rsid w:val="00AB505D"/>
    <w:rsid w:val="00AB50C4"/>
    <w:rsid w:val="00AB5C39"/>
    <w:rsid w:val="00AB5F0B"/>
    <w:rsid w:val="00AB6420"/>
    <w:rsid w:val="00AB6449"/>
    <w:rsid w:val="00AB6B25"/>
    <w:rsid w:val="00AB6C07"/>
    <w:rsid w:val="00AB6C74"/>
    <w:rsid w:val="00AB7272"/>
    <w:rsid w:val="00AB766F"/>
    <w:rsid w:val="00AB7C9A"/>
    <w:rsid w:val="00AB7D55"/>
    <w:rsid w:val="00AB7DA8"/>
    <w:rsid w:val="00AC01ED"/>
    <w:rsid w:val="00AC0802"/>
    <w:rsid w:val="00AC0A1C"/>
    <w:rsid w:val="00AC0ABD"/>
    <w:rsid w:val="00AC0ACC"/>
    <w:rsid w:val="00AC0EA4"/>
    <w:rsid w:val="00AC1516"/>
    <w:rsid w:val="00AC161A"/>
    <w:rsid w:val="00AC1B11"/>
    <w:rsid w:val="00AC1C12"/>
    <w:rsid w:val="00AC1EB1"/>
    <w:rsid w:val="00AC21C0"/>
    <w:rsid w:val="00AC2CE2"/>
    <w:rsid w:val="00AC39B3"/>
    <w:rsid w:val="00AC3A20"/>
    <w:rsid w:val="00AC3CBD"/>
    <w:rsid w:val="00AC3E6E"/>
    <w:rsid w:val="00AC3EE4"/>
    <w:rsid w:val="00AC4530"/>
    <w:rsid w:val="00AC4CA2"/>
    <w:rsid w:val="00AC4E81"/>
    <w:rsid w:val="00AC4EC0"/>
    <w:rsid w:val="00AC531C"/>
    <w:rsid w:val="00AC54BC"/>
    <w:rsid w:val="00AC57ED"/>
    <w:rsid w:val="00AC591E"/>
    <w:rsid w:val="00AC5D7C"/>
    <w:rsid w:val="00AC5DFD"/>
    <w:rsid w:val="00AC7115"/>
    <w:rsid w:val="00AC768B"/>
    <w:rsid w:val="00AC7AF9"/>
    <w:rsid w:val="00AC7E54"/>
    <w:rsid w:val="00AC7E60"/>
    <w:rsid w:val="00AC7E7C"/>
    <w:rsid w:val="00AC7E91"/>
    <w:rsid w:val="00AC7EB1"/>
    <w:rsid w:val="00AD001C"/>
    <w:rsid w:val="00AD002C"/>
    <w:rsid w:val="00AD0A52"/>
    <w:rsid w:val="00AD0C7A"/>
    <w:rsid w:val="00AD12CE"/>
    <w:rsid w:val="00AD15A8"/>
    <w:rsid w:val="00AD167D"/>
    <w:rsid w:val="00AD17B8"/>
    <w:rsid w:val="00AD1811"/>
    <w:rsid w:val="00AD185B"/>
    <w:rsid w:val="00AD1AE7"/>
    <w:rsid w:val="00AD1E73"/>
    <w:rsid w:val="00AD2241"/>
    <w:rsid w:val="00AD275C"/>
    <w:rsid w:val="00AD27EC"/>
    <w:rsid w:val="00AD28A3"/>
    <w:rsid w:val="00AD2991"/>
    <w:rsid w:val="00AD2CF5"/>
    <w:rsid w:val="00AD34E3"/>
    <w:rsid w:val="00AD3554"/>
    <w:rsid w:val="00AD35A7"/>
    <w:rsid w:val="00AD3811"/>
    <w:rsid w:val="00AD393D"/>
    <w:rsid w:val="00AD41B2"/>
    <w:rsid w:val="00AD46D3"/>
    <w:rsid w:val="00AD493D"/>
    <w:rsid w:val="00AD4A78"/>
    <w:rsid w:val="00AD4D74"/>
    <w:rsid w:val="00AD5382"/>
    <w:rsid w:val="00AD5D52"/>
    <w:rsid w:val="00AD5F43"/>
    <w:rsid w:val="00AD60B7"/>
    <w:rsid w:val="00AD62F8"/>
    <w:rsid w:val="00AD650D"/>
    <w:rsid w:val="00AD65E4"/>
    <w:rsid w:val="00AD67CC"/>
    <w:rsid w:val="00AD6845"/>
    <w:rsid w:val="00AD6858"/>
    <w:rsid w:val="00AD696C"/>
    <w:rsid w:val="00AD6A71"/>
    <w:rsid w:val="00AD7CB0"/>
    <w:rsid w:val="00AD7E57"/>
    <w:rsid w:val="00AD7F4E"/>
    <w:rsid w:val="00AE06F6"/>
    <w:rsid w:val="00AE0C0F"/>
    <w:rsid w:val="00AE0D06"/>
    <w:rsid w:val="00AE0F68"/>
    <w:rsid w:val="00AE1375"/>
    <w:rsid w:val="00AE1407"/>
    <w:rsid w:val="00AE16D2"/>
    <w:rsid w:val="00AE18E6"/>
    <w:rsid w:val="00AE1B87"/>
    <w:rsid w:val="00AE209F"/>
    <w:rsid w:val="00AE221B"/>
    <w:rsid w:val="00AE247B"/>
    <w:rsid w:val="00AE2563"/>
    <w:rsid w:val="00AE257B"/>
    <w:rsid w:val="00AE2B15"/>
    <w:rsid w:val="00AE31D4"/>
    <w:rsid w:val="00AE3765"/>
    <w:rsid w:val="00AE3BF1"/>
    <w:rsid w:val="00AE3CE4"/>
    <w:rsid w:val="00AE4010"/>
    <w:rsid w:val="00AE4148"/>
    <w:rsid w:val="00AE4AE1"/>
    <w:rsid w:val="00AE5013"/>
    <w:rsid w:val="00AE5099"/>
    <w:rsid w:val="00AE5606"/>
    <w:rsid w:val="00AE5718"/>
    <w:rsid w:val="00AE5941"/>
    <w:rsid w:val="00AE5B8F"/>
    <w:rsid w:val="00AE6A4E"/>
    <w:rsid w:val="00AE6D85"/>
    <w:rsid w:val="00AE70BA"/>
    <w:rsid w:val="00AE721A"/>
    <w:rsid w:val="00AE72C7"/>
    <w:rsid w:val="00AE749E"/>
    <w:rsid w:val="00AE789F"/>
    <w:rsid w:val="00AE7A5E"/>
    <w:rsid w:val="00AE7B98"/>
    <w:rsid w:val="00AE7DBA"/>
    <w:rsid w:val="00AE7EE8"/>
    <w:rsid w:val="00AF030D"/>
    <w:rsid w:val="00AF03EA"/>
    <w:rsid w:val="00AF040F"/>
    <w:rsid w:val="00AF0548"/>
    <w:rsid w:val="00AF0A69"/>
    <w:rsid w:val="00AF129F"/>
    <w:rsid w:val="00AF1351"/>
    <w:rsid w:val="00AF13B6"/>
    <w:rsid w:val="00AF167F"/>
    <w:rsid w:val="00AF1CE2"/>
    <w:rsid w:val="00AF274D"/>
    <w:rsid w:val="00AF2885"/>
    <w:rsid w:val="00AF29E3"/>
    <w:rsid w:val="00AF3804"/>
    <w:rsid w:val="00AF3868"/>
    <w:rsid w:val="00AF39B6"/>
    <w:rsid w:val="00AF39E7"/>
    <w:rsid w:val="00AF3B6A"/>
    <w:rsid w:val="00AF3D1A"/>
    <w:rsid w:val="00AF3E29"/>
    <w:rsid w:val="00AF3FD5"/>
    <w:rsid w:val="00AF4339"/>
    <w:rsid w:val="00AF44BA"/>
    <w:rsid w:val="00AF4730"/>
    <w:rsid w:val="00AF5370"/>
    <w:rsid w:val="00AF5603"/>
    <w:rsid w:val="00AF583C"/>
    <w:rsid w:val="00AF5860"/>
    <w:rsid w:val="00AF5F9D"/>
    <w:rsid w:val="00AF61D3"/>
    <w:rsid w:val="00AF644B"/>
    <w:rsid w:val="00AF6595"/>
    <w:rsid w:val="00AF6624"/>
    <w:rsid w:val="00AF6AD4"/>
    <w:rsid w:val="00AF6CA8"/>
    <w:rsid w:val="00AF6DA1"/>
    <w:rsid w:val="00AF791D"/>
    <w:rsid w:val="00AF7CF4"/>
    <w:rsid w:val="00AF7D27"/>
    <w:rsid w:val="00B003EB"/>
    <w:rsid w:val="00B00776"/>
    <w:rsid w:val="00B00872"/>
    <w:rsid w:val="00B01167"/>
    <w:rsid w:val="00B013E0"/>
    <w:rsid w:val="00B01A1A"/>
    <w:rsid w:val="00B01A65"/>
    <w:rsid w:val="00B01DB8"/>
    <w:rsid w:val="00B02174"/>
    <w:rsid w:val="00B02335"/>
    <w:rsid w:val="00B025B9"/>
    <w:rsid w:val="00B02D53"/>
    <w:rsid w:val="00B02F40"/>
    <w:rsid w:val="00B032EF"/>
    <w:rsid w:val="00B0389E"/>
    <w:rsid w:val="00B04246"/>
    <w:rsid w:val="00B04AA5"/>
    <w:rsid w:val="00B0533E"/>
    <w:rsid w:val="00B0556F"/>
    <w:rsid w:val="00B056CA"/>
    <w:rsid w:val="00B056E6"/>
    <w:rsid w:val="00B0571C"/>
    <w:rsid w:val="00B057E0"/>
    <w:rsid w:val="00B05B52"/>
    <w:rsid w:val="00B05E7F"/>
    <w:rsid w:val="00B05E8D"/>
    <w:rsid w:val="00B05FF9"/>
    <w:rsid w:val="00B061A5"/>
    <w:rsid w:val="00B06255"/>
    <w:rsid w:val="00B062E3"/>
    <w:rsid w:val="00B0651B"/>
    <w:rsid w:val="00B06D49"/>
    <w:rsid w:val="00B07163"/>
    <w:rsid w:val="00B0730C"/>
    <w:rsid w:val="00B0791A"/>
    <w:rsid w:val="00B07BD9"/>
    <w:rsid w:val="00B07D6E"/>
    <w:rsid w:val="00B11011"/>
    <w:rsid w:val="00B11234"/>
    <w:rsid w:val="00B113FE"/>
    <w:rsid w:val="00B114F5"/>
    <w:rsid w:val="00B11506"/>
    <w:rsid w:val="00B11661"/>
    <w:rsid w:val="00B11DF5"/>
    <w:rsid w:val="00B12208"/>
    <w:rsid w:val="00B12532"/>
    <w:rsid w:val="00B12642"/>
    <w:rsid w:val="00B126A3"/>
    <w:rsid w:val="00B127ED"/>
    <w:rsid w:val="00B12DC9"/>
    <w:rsid w:val="00B1312C"/>
    <w:rsid w:val="00B131A7"/>
    <w:rsid w:val="00B132A0"/>
    <w:rsid w:val="00B135B4"/>
    <w:rsid w:val="00B137BD"/>
    <w:rsid w:val="00B139CF"/>
    <w:rsid w:val="00B13F84"/>
    <w:rsid w:val="00B13F9B"/>
    <w:rsid w:val="00B142F3"/>
    <w:rsid w:val="00B14604"/>
    <w:rsid w:val="00B14846"/>
    <w:rsid w:val="00B148FC"/>
    <w:rsid w:val="00B149C5"/>
    <w:rsid w:val="00B14D8B"/>
    <w:rsid w:val="00B15287"/>
    <w:rsid w:val="00B1531F"/>
    <w:rsid w:val="00B15607"/>
    <w:rsid w:val="00B15ABA"/>
    <w:rsid w:val="00B15D64"/>
    <w:rsid w:val="00B1615A"/>
    <w:rsid w:val="00B16840"/>
    <w:rsid w:val="00B1695C"/>
    <w:rsid w:val="00B16ABF"/>
    <w:rsid w:val="00B17343"/>
    <w:rsid w:val="00B1746F"/>
    <w:rsid w:val="00B176FE"/>
    <w:rsid w:val="00B201EC"/>
    <w:rsid w:val="00B2045E"/>
    <w:rsid w:val="00B2047B"/>
    <w:rsid w:val="00B207D2"/>
    <w:rsid w:val="00B20D6E"/>
    <w:rsid w:val="00B20DFD"/>
    <w:rsid w:val="00B21254"/>
    <w:rsid w:val="00B225BE"/>
    <w:rsid w:val="00B22ED2"/>
    <w:rsid w:val="00B23181"/>
    <w:rsid w:val="00B231A7"/>
    <w:rsid w:val="00B234D4"/>
    <w:rsid w:val="00B23E43"/>
    <w:rsid w:val="00B2492E"/>
    <w:rsid w:val="00B24DD4"/>
    <w:rsid w:val="00B24FE5"/>
    <w:rsid w:val="00B254C7"/>
    <w:rsid w:val="00B25FC1"/>
    <w:rsid w:val="00B25FCD"/>
    <w:rsid w:val="00B26642"/>
    <w:rsid w:val="00B267CA"/>
    <w:rsid w:val="00B26CA6"/>
    <w:rsid w:val="00B26D2E"/>
    <w:rsid w:val="00B27043"/>
    <w:rsid w:val="00B27272"/>
    <w:rsid w:val="00B273BC"/>
    <w:rsid w:val="00B27A08"/>
    <w:rsid w:val="00B27A29"/>
    <w:rsid w:val="00B27C3A"/>
    <w:rsid w:val="00B309DD"/>
    <w:rsid w:val="00B30C33"/>
    <w:rsid w:val="00B30C44"/>
    <w:rsid w:val="00B312B0"/>
    <w:rsid w:val="00B31375"/>
    <w:rsid w:val="00B3138D"/>
    <w:rsid w:val="00B3175C"/>
    <w:rsid w:val="00B318FA"/>
    <w:rsid w:val="00B318FB"/>
    <w:rsid w:val="00B31D65"/>
    <w:rsid w:val="00B31F93"/>
    <w:rsid w:val="00B320EA"/>
    <w:rsid w:val="00B322EC"/>
    <w:rsid w:val="00B32345"/>
    <w:rsid w:val="00B3249E"/>
    <w:rsid w:val="00B32760"/>
    <w:rsid w:val="00B32EA8"/>
    <w:rsid w:val="00B33035"/>
    <w:rsid w:val="00B33221"/>
    <w:rsid w:val="00B334D2"/>
    <w:rsid w:val="00B33E20"/>
    <w:rsid w:val="00B33F09"/>
    <w:rsid w:val="00B34339"/>
    <w:rsid w:val="00B34B85"/>
    <w:rsid w:val="00B34CF7"/>
    <w:rsid w:val="00B34D29"/>
    <w:rsid w:val="00B35068"/>
    <w:rsid w:val="00B3522E"/>
    <w:rsid w:val="00B35262"/>
    <w:rsid w:val="00B35309"/>
    <w:rsid w:val="00B3545C"/>
    <w:rsid w:val="00B35AA6"/>
    <w:rsid w:val="00B360EF"/>
    <w:rsid w:val="00B363D3"/>
    <w:rsid w:val="00B364DB"/>
    <w:rsid w:val="00B36733"/>
    <w:rsid w:val="00B36CF9"/>
    <w:rsid w:val="00B36ED5"/>
    <w:rsid w:val="00B36F12"/>
    <w:rsid w:val="00B3738F"/>
    <w:rsid w:val="00B4053E"/>
    <w:rsid w:val="00B405A9"/>
    <w:rsid w:val="00B4060A"/>
    <w:rsid w:val="00B40EFC"/>
    <w:rsid w:val="00B411A5"/>
    <w:rsid w:val="00B411E9"/>
    <w:rsid w:val="00B413BE"/>
    <w:rsid w:val="00B413CA"/>
    <w:rsid w:val="00B4181A"/>
    <w:rsid w:val="00B41837"/>
    <w:rsid w:val="00B418DF"/>
    <w:rsid w:val="00B41976"/>
    <w:rsid w:val="00B42054"/>
    <w:rsid w:val="00B420AE"/>
    <w:rsid w:val="00B4237C"/>
    <w:rsid w:val="00B42600"/>
    <w:rsid w:val="00B4293A"/>
    <w:rsid w:val="00B42B2F"/>
    <w:rsid w:val="00B42C54"/>
    <w:rsid w:val="00B42DBF"/>
    <w:rsid w:val="00B435DD"/>
    <w:rsid w:val="00B4397E"/>
    <w:rsid w:val="00B43B5F"/>
    <w:rsid w:val="00B43B73"/>
    <w:rsid w:val="00B43D4B"/>
    <w:rsid w:val="00B442A6"/>
    <w:rsid w:val="00B444AD"/>
    <w:rsid w:val="00B446F8"/>
    <w:rsid w:val="00B44900"/>
    <w:rsid w:val="00B44C16"/>
    <w:rsid w:val="00B44FC5"/>
    <w:rsid w:val="00B44FCE"/>
    <w:rsid w:val="00B453EA"/>
    <w:rsid w:val="00B45771"/>
    <w:rsid w:val="00B45D25"/>
    <w:rsid w:val="00B45E86"/>
    <w:rsid w:val="00B4659F"/>
    <w:rsid w:val="00B467F6"/>
    <w:rsid w:val="00B468D7"/>
    <w:rsid w:val="00B46DC0"/>
    <w:rsid w:val="00B46FA9"/>
    <w:rsid w:val="00B4717B"/>
    <w:rsid w:val="00B472E1"/>
    <w:rsid w:val="00B472E5"/>
    <w:rsid w:val="00B47662"/>
    <w:rsid w:val="00B476ED"/>
    <w:rsid w:val="00B47811"/>
    <w:rsid w:val="00B47854"/>
    <w:rsid w:val="00B50259"/>
    <w:rsid w:val="00B5072B"/>
    <w:rsid w:val="00B50AD9"/>
    <w:rsid w:val="00B50F19"/>
    <w:rsid w:val="00B51119"/>
    <w:rsid w:val="00B5113C"/>
    <w:rsid w:val="00B51170"/>
    <w:rsid w:val="00B513C3"/>
    <w:rsid w:val="00B516DC"/>
    <w:rsid w:val="00B51B0F"/>
    <w:rsid w:val="00B51F1B"/>
    <w:rsid w:val="00B51FA4"/>
    <w:rsid w:val="00B5209C"/>
    <w:rsid w:val="00B5245D"/>
    <w:rsid w:val="00B52821"/>
    <w:rsid w:val="00B529C2"/>
    <w:rsid w:val="00B52E23"/>
    <w:rsid w:val="00B53078"/>
    <w:rsid w:val="00B53ADF"/>
    <w:rsid w:val="00B53BBA"/>
    <w:rsid w:val="00B53D7B"/>
    <w:rsid w:val="00B53E95"/>
    <w:rsid w:val="00B548E0"/>
    <w:rsid w:val="00B54990"/>
    <w:rsid w:val="00B54FA8"/>
    <w:rsid w:val="00B5500F"/>
    <w:rsid w:val="00B550B3"/>
    <w:rsid w:val="00B5514B"/>
    <w:rsid w:val="00B553C3"/>
    <w:rsid w:val="00B55A18"/>
    <w:rsid w:val="00B55E1C"/>
    <w:rsid w:val="00B55E5D"/>
    <w:rsid w:val="00B5614C"/>
    <w:rsid w:val="00B562D6"/>
    <w:rsid w:val="00B56650"/>
    <w:rsid w:val="00B566A9"/>
    <w:rsid w:val="00B56C0D"/>
    <w:rsid w:val="00B56C9A"/>
    <w:rsid w:val="00B574BB"/>
    <w:rsid w:val="00B60461"/>
    <w:rsid w:val="00B6073B"/>
    <w:rsid w:val="00B61196"/>
    <w:rsid w:val="00B6140A"/>
    <w:rsid w:val="00B61601"/>
    <w:rsid w:val="00B61920"/>
    <w:rsid w:val="00B61B58"/>
    <w:rsid w:val="00B61C15"/>
    <w:rsid w:val="00B61C4F"/>
    <w:rsid w:val="00B61EA0"/>
    <w:rsid w:val="00B6202A"/>
    <w:rsid w:val="00B6214D"/>
    <w:rsid w:val="00B62298"/>
    <w:rsid w:val="00B6254F"/>
    <w:rsid w:val="00B626B9"/>
    <w:rsid w:val="00B62EE7"/>
    <w:rsid w:val="00B63074"/>
    <w:rsid w:val="00B6319D"/>
    <w:rsid w:val="00B63309"/>
    <w:rsid w:val="00B6343E"/>
    <w:rsid w:val="00B63815"/>
    <w:rsid w:val="00B64782"/>
    <w:rsid w:val="00B64885"/>
    <w:rsid w:val="00B649AC"/>
    <w:rsid w:val="00B65069"/>
    <w:rsid w:val="00B65221"/>
    <w:rsid w:val="00B654A8"/>
    <w:rsid w:val="00B656B4"/>
    <w:rsid w:val="00B657A7"/>
    <w:rsid w:val="00B65A67"/>
    <w:rsid w:val="00B65C5D"/>
    <w:rsid w:val="00B65FEE"/>
    <w:rsid w:val="00B661EF"/>
    <w:rsid w:val="00B66365"/>
    <w:rsid w:val="00B66370"/>
    <w:rsid w:val="00B66C75"/>
    <w:rsid w:val="00B672D7"/>
    <w:rsid w:val="00B67FE3"/>
    <w:rsid w:val="00B7042F"/>
    <w:rsid w:val="00B70601"/>
    <w:rsid w:val="00B70642"/>
    <w:rsid w:val="00B7083B"/>
    <w:rsid w:val="00B70C66"/>
    <w:rsid w:val="00B70D8D"/>
    <w:rsid w:val="00B71009"/>
    <w:rsid w:val="00B71170"/>
    <w:rsid w:val="00B712E5"/>
    <w:rsid w:val="00B71596"/>
    <w:rsid w:val="00B71B83"/>
    <w:rsid w:val="00B71BBD"/>
    <w:rsid w:val="00B721F7"/>
    <w:rsid w:val="00B72B32"/>
    <w:rsid w:val="00B72FF8"/>
    <w:rsid w:val="00B730BD"/>
    <w:rsid w:val="00B733DF"/>
    <w:rsid w:val="00B733F9"/>
    <w:rsid w:val="00B73686"/>
    <w:rsid w:val="00B73C50"/>
    <w:rsid w:val="00B73CF9"/>
    <w:rsid w:val="00B73FA7"/>
    <w:rsid w:val="00B748BA"/>
    <w:rsid w:val="00B749BF"/>
    <w:rsid w:val="00B74AED"/>
    <w:rsid w:val="00B74CD9"/>
    <w:rsid w:val="00B74D03"/>
    <w:rsid w:val="00B75938"/>
    <w:rsid w:val="00B75D47"/>
    <w:rsid w:val="00B75E54"/>
    <w:rsid w:val="00B75E80"/>
    <w:rsid w:val="00B76214"/>
    <w:rsid w:val="00B763FC"/>
    <w:rsid w:val="00B766CA"/>
    <w:rsid w:val="00B76870"/>
    <w:rsid w:val="00B769C9"/>
    <w:rsid w:val="00B76A0B"/>
    <w:rsid w:val="00B76CD2"/>
    <w:rsid w:val="00B76F82"/>
    <w:rsid w:val="00B76F9E"/>
    <w:rsid w:val="00B76FCC"/>
    <w:rsid w:val="00B7728C"/>
    <w:rsid w:val="00B774A2"/>
    <w:rsid w:val="00B77644"/>
    <w:rsid w:val="00B8068B"/>
    <w:rsid w:val="00B80846"/>
    <w:rsid w:val="00B80A1E"/>
    <w:rsid w:val="00B80BCE"/>
    <w:rsid w:val="00B80C4E"/>
    <w:rsid w:val="00B80DA9"/>
    <w:rsid w:val="00B80FC0"/>
    <w:rsid w:val="00B8144B"/>
    <w:rsid w:val="00B81524"/>
    <w:rsid w:val="00B81616"/>
    <w:rsid w:val="00B816CA"/>
    <w:rsid w:val="00B81740"/>
    <w:rsid w:val="00B81B30"/>
    <w:rsid w:val="00B81CDA"/>
    <w:rsid w:val="00B82A8E"/>
    <w:rsid w:val="00B82BF5"/>
    <w:rsid w:val="00B8302D"/>
    <w:rsid w:val="00B8305B"/>
    <w:rsid w:val="00B83123"/>
    <w:rsid w:val="00B83533"/>
    <w:rsid w:val="00B83542"/>
    <w:rsid w:val="00B83945"/>
    <w:rsid w:val="00B839D5"/>
    <w:rsid w:val="00B83E79"/>
    <w:rsid w:val="00B84335"/>
    <w:rsid w:val="00B84BF9"/>
    <w:rsid w:val="00B84CFF"/>
    <w:rsid w:val="00B8597A"/>
    <w:rsid w:val="00B85D7B"/>
    <w:rsid w:val="00B85FF3"/>
    <w:rsid w:val="00B8631E"/>
    <w:rsid w:val="00B86457"/>
    <w:rsid w:val="00B866BB"/>
    <w:rsid w:val="00B86F25"/>
    <w:rsid w:val="00B86FD2"/>
    <w:rsid w:val="00B86FF5"/>
    <w:rsid w:val="00B870C3"/>
    <w:rsid w:val="00B874BF"/>
    <w:rsid w:val="00B8792B"/>
    <w:rsid w:val="00B900EA"/>
    <w:rsid w:val="00B90670"/>
    <w:rsid w:val="00B90A5A"/>
    <w:rsid w:val="00B90AF7"/>
    <w:rsid w:val="00B90B01"/>
    <w:rsid w:val="00B90C4D"/>
    <w:rsid w:val="00B90DDB"/>
    <w:rsid w:val="00B91069"/>
    <w:rsid w:val="00B91727"/>
    <w:rsid w:val="00B9200D"/>
    <w:rsid w:val="00B923BA"/>
    <w:rsid w:val="00B9248C"/>
    <w:rsid w:val="00B92842"/>
    <w:rsid w:val="00B9288D"/>
    <w:rsid w:val="00B92ABA"/>
    <w:rsid w:val="00B930D0"/>
    <w:rsid w:val="00B938A6"/>
    <w:rsid w:val="00B93B33"/>
    <w:rsid w:val="00B94029"/>
    <w:rsid w:val="00B942DF"/>
    <w:rsid w:val="00B94344"/>
    <w:rsid w:val="00B94880"/>
    <w:rsid w:val="00B94A18"/>
    <w:rsid w:val="00B94BFD"/>
    <w:rsid w:val="00B9546C"/>
    <w:rsid w:val="00B95552"/>
    <w:rsid w:val="00B95648"/>
    <w:rsid w:val="00B95837"/>
    <w:rsid w:val="00B9592F"/>
    <w:rsid w:val="00B95D9D"/>
    <w:rsid w:val="00B9623C"/>
    <w:rsid w:val="00B9628E"/>
    <w:rsid w:val="00B970AC"/>
    <w:rsid w:val="00B9715F"/>
    <w:rsid w:val="00B97174"/>
    <w:rsid w:val="00B9723C"/>
    <w:rsid w:val="00B97397"/>
    <w:rsid w:val="00B97414"/>
    <w:rsid w:val="00B97694"/>
    <w:rsid w:val="00B97A6B"/>
    <w:rsid w:val="00B97D43"/>
    <w:rsid w:val="00BA012C"/>
    <w:rsid w:val="00BA01EA"/>
    <w:rsid w:val="00BA04E7"/>
    <w:rsid w:val="00BA0686"/>
    <w:rsid w:val="00BA0E14"/>
    <w:rsid w:val="00BA0E18"/>
    <w:rsid w:val="00BA13FF"/>
    <w:rsid w:val="00BA1A50"/>
    <w:rsid w:val="00BA1C83"/>
    <w:rsid w:val="00BA1CAF"/>
    <w:rsid w:val="00BA1E60"/>
    <w:rsid w:val="00BA1F52"/>
    <w:rsid w:val="00BA1F91"/>
    <w:rsid w:val="00BA1FA9"/>
    <w:rsid w:val="00BA243D"/>
    <w:rsid w:val="00BA26C2"/>
    <w:rsid w:val="00BA2713"/>
    <w:rsid w:val="00BA27FE"/>
    <w:rsid w:val="00BA2941"/>
    <w:rsid w:val="00BA30B7"/>
    <w:rsid w:val="00BA3400"/>
    <w:rsid w:val="00BA3505"/>
    <w:rsid w:val="00BA36AD"/>
    <w:rsid w:val="00BA385F"/>
    <w:rsid w:val="00BA39CA"/>
    <w:rsid w:val="00BA3ACA"/>
    <w:rsid w:val="00BA3C56"/>
    <w:rsid w:val="00BA3D1E"/>
    <w:rsid w:val="00BA3DEC"/>
    <w:rsid w:val="00BA43CA"/>
    <w:rsid w:val="00BA44D0"/>
    <w:rsid w:val="00BA4C61"/>
    <w:rsid w:val="00BA4EDA"/>
    <w:rsid w:val="00BA4FB5"/>
    <w:rsid w:val="00BA5397"/>
    <w:rsid w:val="00BA53BE"/>
    <w:rsid w:val="00BA53FE"/>
    <w:rsid w:val="00BA5D69"/>
    <w:rsid w:val="00BA5EDB"/>
    <w:rsid w:val="00BA604B"/>
    <w:rsid w:val="00BA627A"/>
    <w:rsid w:val="00BA6387"/>
    <w:rsid w:val="00BA6514"/>
    <w:rsid w:val="00BA6627"/>
    <w:rsid w:val="00BA6A32"/>
    <w:rsid w:val="00BA7348"/>
    <w:rsid w:val="00BA7356"/>
    <w:rsid w:val="00BA7505"/>
    <w:rsid w:val="00BA779A"/>
    <w:rsid w:val="00BA7A4D"/>
    <w:rsid w:val="00BA7E01"/>
    <w:rsid w:val="00BB01D7"/>
    <w:rsid w:val="00BB088B"/>
    <w:rsid w:val="00BB0984"/>
    <w:rsid w:val="00BB0DB3"/>
    <w:rsid w:val="00BB0E75"/>
    <w:rsid w:val="00BB16BB"/>
    <w:rsid w:val="00BB1FCC"/>
    <w:rsid w:val="00BB227E"/>
    <w:rsid w:val="00BB2284"/>
    <w:rsid w:val="00BB22FA"/>
    <w:rsid w:val="00BB2437"/>
    <w:rsid w:val="00BB25A0"/>
    <w:rsid w:val="00BB2A6F"/>
    <w:rsid w:val="00BB2EAF"/>
    <w:rsid w:val="00BB34D2"/>
    <w:rsid w:val="00BB3DB4"/>
    <w:rsid w:val="00BB4B38"/>
    <w:rsid w:val="00BB4C38"/>
    <w:rsid w:val="00BB4D06"/>
    <w:rsid w:val="00BB4DBA"/>
    <w:rsid w:val="00BB5000"/>
    <w:rsid w:val="00BB5133"/>
    <w:rsid w:val="00BB53AA"/>
    <w:rsid w:val="00BB6094"/>
    <w:rsid w:val="00BB6199"/>
    <w:rsid w:val="00BB6716"/>
    <w:rsid w:val="00BB6783"/>
    <w:rsid w:val="00BB6983"/>
    <w:rsid w:val="00BB6B83"/>
    <w:rsid w:val="00BB6DCD"/>
    <w:rsid w:val="00BB6ECE"/>
    <w:rsid w:val="00BB75E2"/>
    <w:rsid w:val="00BB7BDD"/>
    <w:rsid w:val="00BB7EB9"/>
    <w:rsid w:val="00BB7FFA"/>
    <w:rsid w:val="00BC0135"/>
    <w:rsid w:val="00BC0674"/>
    <w:rsid w:val="00BC09D7"/>
    <w:rsid w:val="00BC0ACE"/>
    <w:rsid w:val="00BC0C52"/>
    <w:rsid w:val="00BC0E6A"/>
    <w:rsid w:val="00BC0F9F"/>
    <w:rsid w:val="00BC1552"/>
    <w:rsid w:val="00BC1623"/>
    <w:rsid w:val="00BC1C6A"/>
    <w:rsid w:val="00BC2010"/>
    <w:rsid w:val="00BC2961"/>
    <w:rsid w:val="00BC2C83"/>
    <w:rsid w:val="00BC2E47"/>
    <w:rsid w:val="00BC3078"/>
    <w:rsid w:val="00BC35AD"/>
    <w:rsid w:val="00BC3D53"/>
    <w:rsid w:val="00BC4678"/>
    <w:rsid w:val="00BC549A"/>
    <w:rsid w:val="00BC563D"/>
    <w:rsid w:val="00BC5B77"/>
    <w:rsid w:val="00BC5B9D"/>
    <w:rsid w:val="00BC657B"/>
    <w:rsid w:val="00BC667E"/>
    <w:rsid w:val="00BC682B"/>
    <w:rsid w:val="00BC68E3"/>
    <w:rsid w:val="00BC7169"/>
    <w:rsid w:val="00BC74B8"/>
    <w:rsid w:val="00BC7659"/>
    <w:rsid w:val="00BC7F49"/>
    <w:rsid w:val="00BD004B"/>
    <w:rsid w:val="00BD0261"/>
    <w:rsid w:val="00BD0568"/>
    <w:rsid w:val="00BD1112"/>
    <w:rsid w:val="00BD12A1"/>
    <w:rsid w:val="00BD19B8"/>
    <w:rsid w:val="00BD1A16"/>
    <w:rsid w:val="00BD1A25"/>
    <w:rsid w:val="00BD1A35"/>
    <w:rsid w:val="00BD1D09"/>
    <w:rsid w:val="00BD2114"/>
    <w:rsid w:val="00BD2506"/>
    <w:rsid w:val="00BD26C3"/>
    <w:rsid w:val="00BD279C"/>
    <w:rsid w:val="00BD2FEC"/>
    <w:rsid w:val="00BD316B"/>
    <w:rsid w:val="00BD3931"/>
    <w:rsid w:val="00BD3AA4"/>
    <w:rsid w:val="00BD3DA7"/>
    <w:rsid w:val="00BD4147"/>
    <w:rsid w:val="00BD4379"/>
    <w:rsid w:val="00BD472B"/>
    <w:rsid w:val="00BD4773"/>
    <w:rsid w:val="00BD4A23"/>
    <w:rsid w:val="00BD4DE0"/>
    <w:rsid w:val="00BD4DF4"/>
    <w:rsid w:val="00BD4E21"/>
    <w:rsid w:val="00BD4F78"/>
    <w:rsid w:val="00BD4F90"/>
    <w:rsid w:val="00BD4F9C"/>
    <w:rsid w:val="00BD5271"/>
    <w:rsid w:val="00BD54FB"/>
    <w:rsid w:val="00BD5718"/>
    <w:rsid w:val="00BD5829"/>
    <w:rsid w:val="00BD5B73"/>
    <w:rsid w:val="00BD5F54"/>
    <w:rsid w:val="00BD6055"/>
    <w:rsid w:val="00BD60C4"/>
    <w:rsid w:val="00BD635B"/>
    <w:rsid w:val="00BD6570"/>
    <w:rsid w:val="00BD67A0"/>
    <w:rsid w:val="00BD69F6"/>
    <w:rsid w:val="00BD6D22"/>
    <w:rsid w:val="00BD719D"/>
    <w:rsid w:val="00BD7438"/>
    <w:rsid w:val="00BD798B"/>
    <w:rsid w:val="00BD7998"/>
    <w:rsid w:val="00BD7B83"/>
    <w:rsid w:val="00BD7B98"/>
    <w:rsid w:val="00BD7D16"/>
    <w:rsid w:val="00BE01C6"/>
    <w:rsid w:val="00BE03B6"/>
    <w:rsid w:val="00BE151A"/>
    <w:rsid w:val="00BE157E"/>
    <w:rsid w:val="00BE1AC9"/>
    <w:rsid w:val="00BE211E"/>
    <w:rsid w:val="00BE23A2"/>
    <w:rsid w:val="00BE2818"/>
    <w:rsid w:val="00BE2B3C"/>
    <w:rsid w:val="00BE2B54"/>
    <w:rsid w:val="00BE2FC5"/>
    <w:rsid w:val="00BE2FCF"/>
    <w:rsid w:val="00BE3455"/>
    <w:rsid w:val="00BE3A56"/>
    <w:rsid w:val="00BE3A9C"/>
    <w:rsid w:val="00BE454C"/>
    <w:rsid w:val="00BE4693"/>
    <w:rsid w:val="00BE4D31"/>
    <w:rsid w:val="00BE5008"/>
    <w:rsid w:val="00BE5078"/>
    <w:rsid w:val="00BE5222"/>
    <w:rsid w:val="00BE5522"/>
    <w:rsid w:val="00BE582D"/>
    <w:rsid w:val="00BE5EF6"/>
    <w:rsid w:val="00BE5FDA"/>
    <w:rsid w:val="00BE6060"/>
    <w:rsid w:val="00BE65C5"/>
    <w:rsid w:val="00BE66E6"/>
    <w:rsid w:val="00BE696F"/>
    <w:rsid w:val="00BE697B"/>
    <w:rsid w:val="00BE6A0B"/>
    <w:rsid w:val="00BE70EB"/>
    <w:rsid w:val="00BE72E6"/>
    <w:rsid w:val="00BE7B98"/>
    <w:rsid w:val="00BF000A"/>
    <w:rsid w:val="00BF0014"/>
    <w:rsid w:val="00BF07F3"/>
    <w:rsid w:val="00BF0B07"/>
    <w:rsid w:val="00BF0F12"/>
    <w:rsid w:val="00BF135B"/>
    <w:rsid w:val="00BF17C6"/>
    <w:rsid w:val="00BF198C"/>
    <w:rsid w:val="00BF1B24"/>
    <w:rsid w:val="00BF1E24"/>
    <w:rsid w:val="00BF21BD"/>
    <w:rsid w:val="00BF21D1"/>
    <w:rsid w:val="00BF2366"/>
    <w:rsid w:val="00BF2939"/>
    <w:rsid w:val="00BF2C30"/>
    <w:rsid w:val="00BF33BD"/>
    <w:rsid w:val="00BF3408"/>
    <w:rsid w:val="00BF3424"/>
    <w:rsid w:val="00BF34CD"/>
    <w:rsid w:val="00BF359D"/>
    <w:rsid w:val="00BF37BC"/>
    <w:rsid w:val="00BF383D"/>
    <w:rsid w:val="00BF3AD3"/>
    <w:rsid w:val="00BF44B5"/>
    <w:rsid w:val="00BF45AD"/>
    <w:rsid w:val="00BF4A92"/>
    <w:rsid w:val="00BF4FD0"/>
    <w:rsid w:val="00BF5830"/>
    <w:rsid w:val="00BF5ACD"/>
    <w:rsid w:val="00BF5BD0"/>
    <w:rsid w:val="00BF5CC4"/>
    <w:rsid w:val="00BF60BA"/>
    <w:rsid w:val="00BF60E4"/>
    <w:rsid w:val="00BF6915"/>
    <w:rsid w:val="00BF6A48"/>
    <w:rsid w:val="00BF6F09"/>
    <w:rsid w:val="00BF72BB"/>
    <w:rsid w:val="00BF7400"/>
    <w:rsid w:val="00BF769A"/>
    <w:rsid w:val="00BF78FE"/>
    <w:rsid w:val="00BF7983"/>
    <w:rsid w:val="00BF7BD8"/>
    <w:rsid w:val="00BF7E2E"/>
    <w:rsid w:val="00BF7FF4"/>
    <w:rsid w:val="00C0004B"/>
    <w:rsid w:val="00C0008F"/>
    <w:rsid w:val="00C0020F"/>
    <w:rsid w:val="00C006BA"/>
    <w:rsid w:val="00C008F4"/>
    <w:rsid w:val="00C00A3C"/>
    <w:rsid w:val="00C00FDA"/>
    <w:rsid w:val="00C01317"/>
    <w:rsid w:val="00C0142E"/>
    <w:rsid w:val="00C017D6"/>
    <w:rsid w:val="00C01B7E"/>
    <w:rsid w:val="00C01F7C"/>
    <w:rsid w:val="00C0270E"/>
    <w:rsid w:val="00C027D4"/>
    <w:rsid w:val="00C02A9D"/>
    <w:rsid w:val="00C02DB3"/>
    <w:rsid w:val="00C02EB9"/>
    <w:rsid w:val="00C035EB"/>
    <w:rsid w:val="00C0373C"/>
    <w:rsid w:val="00C03C9A"/>
    <w:rsid w:val="00C03EB3"/>
    <w:rsid w:val="00C04373"/>
    <w:rsid w:val="00C045F9"/>
    <w:rsid w:val="00C04E4B"/>
    <w:rsid w:val="00C05763"/>
    <w:rsid w:val="00C05949"/>
    <w:rsid w:val="00C059EE"/>
    <w:rsid w:val="00C05E8A"/>
    <w:rsid w:val="00C061E2"/>
    <w:rsid w:val="00C06526"/>
    <w:rsid w:val="00C0690A"/>
    <w:rsid w:val="00C069D6"/>
    <w:rsid w:val="00C06C86"/>
    <w:rsid w:val="00C06EC4"/>
    <w:rsid w:val="00C06F56"/>
    <w:rsid w:val="00C0757A"/>
    <w:rsid w:val="00C07D3F"/>
    <w:rsid w:val="00C07F49"/>
    <w:rsid w:val="00C101D2"/>
    <w:rsid w:val="00C105D7"/>
    <w:rsid w:val="00C10C09"/>
    <w:rsid w:val="00C11079"/>
    <w:rsid w:val="00C1108A"/>
    <w:rsid w:val="00C110B8"/>
    <w:rsid w:val="00C11307"/>
    <w:rsid w:val="00C11327"/>
    <w:rsid w:val="00C11531"/>
    <w:rsid w:val="00C11664"/>
    <w:rsid w:val="00C118CF"/>
    <w:rsid w:val="00C11B56"/>
    <w:rsid w:val="00C11B6A"/>
    <w:rsid w:val="00C11F10"/>
    <w:rsid w:val="00C120E8"/>
    <w:rsid w:val="00C12415"/>
    <w:rsid w:val="00C12526"/>
    <w:rsid w:val="00C1268B"/>
    <w:rsid w:val="00C12CCF"/>
    <w:rsid w:val="00C13381"/>
    <w:rsid w:val="00C13B28"/>
    <w:rsid w:val="00C13D08"/>
    <w:rsid w:val="00C13FDE"/>
    <w:rsid w:val="00C1415C"/>
    <w:rsid w:val="00C1433E"/>
    <w:rsid w:val="00C1487B"/>
    <w:rsid w:val="00C14B89"/>
    <w:rsid w:val="00C14C04"/>
    <w:rsid w:val="00C14D46"/>
    <w:rsid w:val="00C15153"/>
    <w:rsid w:val="00C152A3"/>
    <w:rsid w:val="00C1537E"/>
    <w:rsid w:val="00C1576E"/>
    <w:rsid w:val="00C15CA3"/>
    <w:rsid w:val="00C15E17"/>
    <w:rsid w:val="00C16045"/>
    <w:rsid w:val="00C162AC"/>
    <w:rsid w:val="00C1669C"/>
    <w:rsid w:val="00C16E78"/>
    <w:rsid w:val="00C172E3"/>
    <w:rsid w:val="00C17400"/>
    <w:rsid w:val="00C1774A"/>
    <w:rsid w:val="00C1779E"/>
    <w:rsid w:val="00C17BF0"/>
    <w:rsid w:val="00C17D6E"/>
    <w:rsid w:val="00C17DFC"/>
    <w:rsid w:val="00C202FB"/>
    <w:rsid w:val="00C20525"/>
    <w:rsid w:val="00C20D95"/>
    <w:rsid w:val="00C214FD"/>
    <w:rsid w:val="00C2154F"/>
    <w:rsid w:val="00C2173E"/>
    <w:rsid w:val="00C21E27"/>
    <w:rsid w:val="00C22273"/>
    <w:rsid w:val="00C22459"/>
    <w:rsid w:val="00C2332A"/>
    <w:rsid w:val="00C23876"/>
    <w:rsid w:val="00C23DA7"/>
    <w:rsid w:val="00C23ECA"/>
    <w:rsid w:val="00C2451B"/>
    <w:rsid w:val="00C24797"/>
    <w:rsid w:val="00C249C1"/>
    <w:rsid w:val="00C249C4"/>
    <w:rsid w:val="00C24B14"/>
    <w:rsid w:val="00C255B7"/>
    <w:rsid w:val="00C2589A"/>
    <w:rsid w:val="00C258FD"/>
    <w:rsid w:val="00C2591B"/>
    <w:rsid w:val="00C2693A"/>
    <w:rsid w:val="00C26A57"/>
    <w:rsid w:val="00C26C27"/>
    <w:rsid w:val="00C26DD1"/>
    <w:rsid w:val="00C270B1"/>
    <w:rsid w:val="00C273B4"/>
    <w:rsid w:val="00C27470"/>
    <w:rsid w:val="00C279DE"/>
    <w:rsid w:val="00C27F69"/>
    <w:rsid w:val="00C30977"/>
    <w:rsid w:val="00C30EBF"/>
    <w:rsid w:val="00C310ED"/>
    <w:rsid w:val="00C31B94"/>
    <w:rsid w:val="00C31BB4"/>
    <w:rsid w:val="00C31EA5"/>
    <w:rsid w:val="00C32285"/>
    <w:rsid w:val="00C32474"/>
    <w:rsid w:val="00C32A02"/>
    <w:rsid w:val="00C32BF4"/>
    <w:rsid w:val="00C32C60"/>
    <w:rsid w:val="00C3351C"/>
    <w:rsid w:val="00C336F4"/>
    <w:rsid w:val="00C339FE"/>
    <w:rsid w:val="00C34C5C"/>
    <w:rsid w:val="00C34D6E"/>
    <w:rsid w:val="00C351FE"/>
    <w:rsid w:val="00C35774"/>
    <w:rsid w:val="00C357C2"/>
    <w:rsid w:val="00C36277"/>
    <w:rsid w:val="00C36694"/>
    <w:rsid w:val="00C36C85"/>
    <w:rsid w:val="00C36D81"/>
    <w:rsid w:val="00C36E68"/>
    <w:rsid w:val="00C36F7F"/>
    <w:rsid w:val="00C3717C"/>
    <w:rsid w:val="00C371A4"/>
    <w:rsid w:val="00C37205"/>
    <w:rsid w:val="00C37F72"/>
    <w:rsid w:val="00C40134"/>
    <w:rsid w:val="00C40857"/>
    <w:rsid w:val="00C40D7D"/>
    <w:rsid w:val="00C40E2F"/>
    <w:rsid w:val="00C41057"/>
    <w:rsid w:val="00C41376"/>
    <w:rsid w:val="00C4194D"/>
    <w:rsid w:val="00C41A34"/>
    <w:rsid w:val="00C41BC7"/>
    <w:rsid w:val="00C42372"/>
    <w:rsid w:val="00C42946"/>
    <w:rsid w:val="00C42A8C"/>
    <w:rsid w:val="00C42BA6"/>
    <w:rsid w:val="00C42C47"/>
    <w:rsid w:val="00C42EA5"/>
    <w:rsid w:val="00C42F36"/>
    <w:rsid w:val="00C435E1"/>
    <w:rsid w:val="00C43AAE"/>
    <w:rsid w:val="00C43C07"/>
    <w:rsid w:val="00C43CE1"/>
    <w:rsid w:val="00C4438B"/>
    <w:rsid w:val="00C4487E"/>
    <w:rsid w:val="00C44B64"/>
    <w:rsid w:val="00C44EB5"/>
    <w:rsid w:val="00C44F7A"/>
    <w:rsid w:val="00C452EE"/>
    <w:rsid w:val="00C458EF"/>
    <w:rsid w:val="00C46083"/>
    <w:rsid w:val="00C4637D"/>
    <w:rsid w:val="00C46458"/>
    <w:rsid w:val="00C4697D"/>
    <w:rsid w:val="00C46A22"/>
    <w:rsid w:val="00C46A25"/>
    <w:rsid w:val="00C470C7"/>
    <w:rsid w:val="00C470F9"/>
    <w:rsid w:val="00C4752D"/>
    <w:rsid w:val="00C47C54"/>
    <w:rsid w:val="00C47DE1"/>
    <w:rsid w:val="00C47DF6"/>
    <w:rsid w:val="00C47ED4"/>
    <w:rsid w:val="00C47FA3"/>
    <w:rsid w:val="00C5007C"/>
    <w:rsid w:val="00C5069B"/>
    <w:rsid w:val="00C50A56"/>
    <w:rsid w:val="00C50EAD"/>
    <w:rsid w:val="00C51708"/>
    <w:rsid w:val="00C522BF"/>
    <w:rsid w:val="00C523B4"/>
    <w:rsid w:val="00C53112"/>
    <w:rsid w:val="00C531F7"/>
    <w:rsid w:val="00C5338C"/>
    <w:rsid w:val="00C53551"/>
    <w:rsid w:val="00C53580"/>
    <w:rsid w:val="00C53B3C"/>
    <w:rsid w:val="00C54487"/>
    <w:rsid w:val="00C544E7"/>
    <w:rsid w:val="00C54528"/>
    <w:rsid w:val="00C54B13"/>
    <w:rsid w:val="00C54BAA"/>
    <w:rsid w:val="00C54F86"/>
    <w:rsid w:val="00C551B3"/>
    <w:rsid w:val="00C567F9"/>
    <w:rsid w:val="00C57847"/>
    <w:rsid w:val="00C57EAB"/>
    <w:rsid w:val="00C602E2"/>
    <w:rsid w:val="00C6063D"/>
    <w:rsid w:val="00C607D9"/>
    <w:rsid w:val="00C60FB0"/>
    <w:rsid w:val="00C611AE"/>
    <w:rsid w:val="00C61276"/>
    <w:rsid w:val="00C6168D"/>
    <w:rsid w:val="00C61B4B"/>
    <w:rsid w:val="00C61F65"/>
    <w:rsid w:val="00C6207A"/>
    <w:rsid w:val="00C623F7"/>
    <w:rsid w:val="00C62423"/>
    <w:rsid w:val="00C626AF"/>
    <w:rsid w:val="00C6275A"/>
    <w:rsid w:val="00C62945"/>
    <w:rsid w:val="00C62BF5"/>
    <w:rsid w:val="00C62FCA"/>
    <w:rsid w:val="00C630FF"/>
    <w:rsid w:val="00C63226"/>
    <w:rsid w:val="00C633C8"/>
    <w:rsid w:val="00C636DA"/>
    <w:rsid w:val="00C639EE"/>
    <w:rsid w:val="00C63DF6"/>
    <w:rsid w:val="00C6412B"/>
    <w:rsid w:val="00C641C8"/>
    <w:rsid w:val="00C64617"/>
    <w:rsid w:val="00C6461C"/>
    <w:rsid w:val="00C64A55"/>
    <w:rsid w:val="00C64BDA"/>
    <w:rsid w:val="00C6526A"/>
    <w:rsid w:val="00C653EE"/>
    <w:rsid w:val="00C65F9F"/>
    <w:rsid w:val="00C66136"/>
    <w:rsid w:val="00C66388"/>
    <w:rsid w:val="00C666FF"/>
    <w:rsid w:val="00C668F9"/>
    <w:rsid w:val="00C6714F"/>
    <w:rsid w:val="00C6725E"/>
    <w:rsid w:val="00C673B8"/>
    <w:rsid w:val="00C674B4"/>
    <w:rsid w:val="00C67A9E"/>
    <w:rsid w:val="00C67E22"/>
    <w:rsid w:val="00C67EF7"/>
    <w:rsid w:val="00C67F3D"/>
    <w:rsid w:val="00C67F5D"/>
    <w:rsid w:val="00C7055A"/>
    <w:rsid w:val="00C70A49"/>
    <w:rsid w:val="00C70AD4"/>
    <w:rsid w:val="00C718CB"/>
    <w:rsid w:val="00C719EC"/>
    <w:rsid w:val="00C71A5A"/>
    <w:rsid w:val="00C71B41"/>
    <w:rsid w:val="00C72271"/>
    <w:rsid w:val="00C729A9"/>
    <w:rsid w:val="00C72A17"/>
    <w:rsid w:val="00C7301E"/>
    <w:rsid w:val="00C73115"/>
    <w:rsid w:val="00C73278"/>
    <w:rsid w:val="00C7334D"/>
    <w:rsid w:val="00C73373"/>
    <w:rsid w:val="00C7347F"/>
    <w:rsid w:val="00C73485"/>
    <w:rsid w:val="00C73574"/>
    <w:rsid w:val="00C73EA7"/>
    <w:rsid w:val="00C74084"/>
    <w:rsid w:val="00C7416F"/>
    <w:rsid w:val="00C7441E"/>
    <w:rsid w:val="00C7509A"/>
    <w:rsid w:val="00C7525B"/>
    <w:rsid w:val="00C752D0"/>
    <w:rsid w:val="00C7570C"/>
    <w:rsid w:val="00C75900"/>
    <w:rsid w:val="00C75AED"/>
    <w:rsid w:val="00C75DF4"/>
    <w:rsid w:val="00C76284"/>
    <w:rsid w:val="00C764D3"/>
    <w:rsid w:val="00C769BA"/>
    <w:rsid w:val="00C76EB1"/>
    <w:rsid w:val="00C76ED6"/>
    <w:rsid w:val="00C77210"/>
    <w:rsid w:val="00C773FB"/>
    <w:rsid w:val="00C774B8"/>
    <w:rsid w:val="00C774DF"/>
    <w:rsid w:val="00C77609"/>
    <w:rsid w:val="00C77725"/>
    <w:rsid w:val="00C77810"/>
    <w:rsid w:val="00C7794D"/>
    <w:rsid w:val="00C77BD9"/>
    <w:rsid w:val="00C77C0D"/>
    <w:rsid w:val="00C8020A"/>
    <w:rsid w:val="00C80271"/>
    <w:rsid w:val="00C80930"/>
    <w:rsid w:val="00C80D56"/>
    <w:rsid w:val="00C8112E"/>
    <w:rsid w:val="00C81303"/>
    <w:rsid w:val="00C81356"/>
    <w:rsid w:val="00C813CD"/>
    <w:rsid w:val="00C82931"/>
    <w:rsid w:val="00C82C61"/>
    <w:rsid w:val="00C830B2"/>
    <w:rsid w:val="00C83190"/>
    <w:rsid w:val="00C832F2"/>
    <w:rsid w:val="00C836DE"/>
    <w:rsid w:val="00C83E02"/>
    <w:rsid w:val="00C84017"/>
    <w:rsid w:val="00C84090"/>
    <w:rsid w:val="00C847FB"/>
    <w:rsid w:val="00C8480E"/>
    <w:rsid w:val="00C84912"/>
    <w:rsid w:val="00C84DF2"/>
    <w:rsid w:val="00C84E40"/>
    <w:rsid w:val="00C84EC2"/>
    <w:rsid w:val="00C85002"/>
    <w:rsid w:val="00C854F9"/>
    <w:rsid w:val="00C858D9"/>
    <w:rsid w:val="00C859D4"/>
    <w:rsid w:val="00C85A4A"/>
    <w:rsid w:val="00C85EB8"/>
    <w:rsid w:val="00C8708E"/>
    <w:rsid w:val="00C87A89"/>
    <w:rsid w:val="00C87B38"/>
    <w:rsid w:val="00C87DA0"/>
    <w:rsid w:val="00C90317"/>
    <w:rsid w:val="00C90D7D"/>
    <w:rsid w:val="00C90E3C"/>
    <w:rsid w:val="00C91380"/>
    <w:rsid w:val="00C91A17"/>
    <w:rsid w:val="00C91E77"/>
    <w:rsid w:val="00C922E6"/>
    <w:rsid w:val="00C9247B"/>
    <w:rsid w:val="00C92513"/>
    <w:rsid w:val="00C928A2"/>
    <w:rsid w:val="00C928EC"/>
    <w:rsid w:val="00C93762"/>
    <w:rsid w:val="00C93B50"/>
    <w:rsid w:val="00C93BE0"/>
    <w:rsid w:val="00C93C88"/>
    <w:rsid w:val="00C9431E"/>
    <w:rsid w:val="00C94AE8"/>
    <w:rsid w:val="00C94D9B"/>
    <w:rsid w:val="00C95194"/>
    <w:rsid w:val="00C953F1"/>
    <w:rsid w:val="00C9549B"/>
    <w:rsid w:val="00C957AD"/>
    <w:rsid w:val="00C95AFA"/>
    <w:rsid w:val="00C95DCC"/>
    <w:rsid w:val="00C95F3B"/>
    <w:rsid w:val="00C964DF"/>
    <w:rsid w:val="00C96504"/>
    <w:rsid w:val="00C966A0"/>
    <w:rsid w:val="00C966D1"/>
    <w:rsid w:val="00C96D7E"/>
    <w:rsid w:val="00C97198"/>
    <w:rsid w:val="00C97AC1"/>
    <w:rsid w:val="00C97AC4"/>
    <w:rsid w:val="00C97CB4"/>
    <w:rsid w:val="00C97F13"/>
    <w:rsid w:val="00CA10D6"/>
    <w:rsid w:val="00CA13D0"/>
    <w:rsid w:val="00CA15FF"/>
    <w:rsid w:val="00CA198F"/>
    <w:rsid w:val="00CA1ABE"/>
    <w:rsid w:val="00CA1EAB"/>
    <w:rsid w:val="00CA23B6"/>
    <w:rsid w:val="00CA246B"/>
    <w:rsid w:val="00CA2664"/>
    <w:rsid w:val="00CA2983"/>
    <w:rsid w:val="00CA2F14"/>
    <w:rsid w:val="00CA3B40"/>
    <w:rsid w:val="00CA4D89"/>
    <w:rsid w:val="00CA4E04"/>
    <w:rsid w:val="00CA4E4D"/>
    <w:rsid w:val="00CA5A61"/>
    <w:rsid w:val="00CA5E33"/>
    <w:rsid w:val="00CA5ED3"/>
    <w:rsid w:val="00CA5FD0"/>
    <w:rsid w:val="00CA6340"/>
    <w:rsid w:val="00CA6458"/>
    <w:rsid w:val="00CA6C3C"/>
    <w:rsid w:val="00CA6FF9"/>
    <w:rsid w:val="00CA74C2"/>
    <w:rsid w:val="00CA764C"/>
    <w:rsid w:val="00CA76AD"/>
    <w:rsid w:val="00CA77CF"/>
    <w:rsid w:val="00CB0788"/>
    <w:rsid w:val="00CB0CEB"/>
    <w:rsid w:val="00CB0DC9"/>
    <w:rsid w:val="00CB13A1"/>
    <w:rsid w:val="00CB16A8"/>
    <w:rsid w:val="00CB1E46"/>
    <w:rsid w:val="00CB1F2A"/>
    <w:rsid w:val="00CB242B"/>
    <w:rsid w:val="00CB2DC5"/>
    <w:rsid w:val="00CB2F5F"/>
    <w:rsid w:val="00CB3C38"/>
    <w:rsid w:val="00CB3D78"/>
    <w:rsid w:val="00CB3DA0"/>
    <w:rsid w:val="00CB402A"/>
    <w:rsid w:val="00CB40BA"/>
    <w:rsid w:val="00CB4121"/>
    <w:rsid w:val="00CB4153"/>
    <w:rsid w:val="00CB4238"/>
    <w:rsid w:val="00CB471D"/>
    <w:rsid w:val="00CB4734"/>
    <w:rsid w:val="00CB4922"/>
    <w:rsid w:val="00CB4CDE"/>
    <w:rsid w:val="00CB4DF3"/>
    <w:rsid w:val="00CB533C"/>
    <w:rsid w:val="00CB55E2"/>
    <w:rsid w:val="00CB5938"/>
    <w:rsid w:val="00CB5B27"/>
    <w:rsid w:val="00CB613A"/>
    <w:rsid w:val="00CB623E"/>
    <w:rsid w:val="00CB651B"/>
    <w:rsid w:val="00CB699D"/>
    <w:rsid w:val="00CB6ABD"/>
    <w:rsid w:val="00CB7298"/>
    <w:rsid w:val="00CB73D1"/>
    <w:rsid w:val="00CB79BF"/>
    <w:rsid w:val="00CB7C00"/>
    <w:rsid w:val="00CC00D4"/>
    <w:rsid w:val="00CC017F"/>
    <w:rsid w:val="00CC02BA"/>
    <w:rsid w:val="00CC067C"/>
    <w:rsid w:val="00CC0A18"/>
    <w:rsid w:val="00CC0CD4"/>
    <w:rsid w:val="00CC0F18"/>
    <w:rsid w:val="00CC0F30"/>
    <w:rsid w:val="00CC145A"/>
    <w:rsid w:val="00CC1738"/>
    <w:rsid w:val="00CC1A64"/>
    <w:rsid w:val="00CC1ABE"/>
    <w:rsid w:val="00CC1D44"/>
    <w:rsid w:val="00CC1EF5"/>
    <w:rsid w:val="00CC1FFB"/>
    <w:rsid w:val="00CC22B4"/>
    <w:rsid w:val="00CC2346"/>
    <w:rsid w:val="00CC2BF8"/>
    <w:rsid w:val="00CC2DB4"/>
    <w:rsid w:val="00CC34EB"/>
    <w:rsid w:val="00CC35A0"/>
    <w:rsid w:val="00CC39D7"/>
    <w:rsid w:val="00CC3BE8"/>
    <w:rsid w:val="00CC3D2C"/>
    <w:rsid w:val="00CC4536"/>
    <w:rsid w:val="00CC45D4"/>
    <w:rsid w:val="00CC4634"/>
    <w:rsid w:val="00CC464E"/>
    <w:rsid w:val="00CC4A39"/>
    <w:rsid w:val="00CC4A6E"/>
    <w:rsid w:val="00CC5129"/>
    <w:rsid w:val="00CC5220"/>
    <w:rsid w:val="00CC5359"/>
    <w:rsid w:val="00CC5570"/>
    <w:rsid w:val="00CC55F4"/>
    <w:rsid w:val="00CC599A"/>
    <w:rsid w:val="00CC59DA"/>
    <w:rsid w:val="00CC6516"/>
    <w:rsid w:val="00CC66EA"/>
    <w:rsid w:val="00CC674F"/>
    <w:rsid w:val="00CC68FF"/>
    <w:rsid w:val="00CC6B67"/>
    <w:rsid w:val="00CC6BA0"/>
    <w:rsid w:val="00CC6DA3"/>
    <w:rsid w:val="00CC71D8"/>
    <w:rsid w:val="00CC795B"/>
    <w:rsid w:val="00CC7C2E"/>
    <w:rsid w:val="00CD04BD"/>
    <w:rsid w:val="00CD05F6"/>
    <w:rsid w:val="00CD0667"/>
    <w:rsid w:val="00CD06B0"/>
    <w:rsid w:val="00CD13AC"/>
    <w:rsid w:val="00CD1B6A"/>
    <w:rsid w:val="00CD1D5D"/>
    <w:rsid w:val="00CD1FE3"/>
    <w:rsid w:val="00CD20EC"/>
    <w:rsid w:val="00CD223D"/>
    <w:rsid w:val="00CD26F8"/>
    <w:rsid w:val="00CD2881"/>
    <w:rsid w:val="00CD2AB4"/>
    <w:rsid w:val="00CD2AE3"/>
    <w:rsid w:val="00CD2D64"/>
    <w:rsid w:val="00CD30B5"/>
    <w:rsid w:val="00CD366C"/>
    <w:rsid w:val="00CD39FF"/>
    <w:rsid w:val="00CD3C17"/>
    <w:rsid w:val="00CD3D73"/>
    <w:rsid w:val="00CD3DEF"/>
    <w:rsid w:val="00CD3E17"/>
    <w:rsid w:val="00CD3E33"/>
    <w:rsid w:val="00CD3E52"/>
    <w:rsid w:val="00CD4430"/>
    <w:rsid w:val="00CD4463"/>
    <w:rsid w:val="00CD45C2"/>
    <w:rsid w:val="00CD4669"/>
    <w:rsid w:val="00CD47BC"/>
    <w:rsid w:val="00CD50B4"/>
    <w:rsid w:val="00CD531A"/>
    <w:rsid w:val="00CD577C"/>
    <w:rsid w:val="00CD5AB6"/>
    <w:rsid w:val="00CD5EAA"/>
    <w:rsid w:val="00CD62E3"/>
    <w:rsid w:val="00CD74CA"/>
    <w:rsid w:val="00CD76CB"/>
    <w:rsid w:val="00CD7A2B"/>
    <w:rsid w:val="00CD7ED1"/>
    <w:rsid w:val="00CE00CD"/>
    <w:rsid w:val="00CE03DA"/>
    <w:rsid w:val="00CE04DF"/>
    <w:rsid w:val="00CE0758"/>
    <w:rsid w:val="00CE084B"/>
    <w:rsid w:val="00CE0952"/>
    <w:rsid w:val="00CE0D22"/>
    <w:rsid w:val="00CE13B4"/>
    <w:rsid w:val="00CE16D9"/>
    <w:rsid w:val="00CE1A29"/>
    <w:rsid w:val="00CE1F9C"/>
    <w:rsid w:val="00CE228D"/>
    <w:rsid w:val="00CE247D"/>
    <w:rsid w:val="00CE26D1"/>
    <w:rsid w:val="00CE2D14"/>
    <w:rsid w:val="00CE2E10"/>
    <w:rsid w:val="00CE2E48"/>
    <w:rsid w:val="00CE2FF9"/>
    <w:rsid w:val="00CE3557"/>
    <w:rsid w:val="00CE3664"/>
    <w:rsid w:val="00CE37E2"/>
    <w:rsid w:val="00CE3885"/>
    <w:rsid w:val="00CE38CB"/>
    <w:rsid w:val="00CE3B30"/>
    <w:rsid w:val="00CE43A3"/>
    <w:rsid w:val="00CE4480"/>
    <w:rsid w:val="00CE477C"/>
    <w:rsid w:val="00CE4867"/>
    <w:rsid w:val="00CE486C"/>
    <w:rsid w:val="00CE496D"/>
    <w:rsid w:val="00CE4A7A"/>
    <w:rsid w:val="00CE4BF7"/>
    <w:rsid w:val="00CE5042"/>
    <w:rsid w:val="00CE5123"/>
    <w:rsid w:val="00CE58B4"/>
    <w:rsid w:val="00CE5D13"/>
    <w:rsid w:val="00CE5F63"/>
    <w:rsid w:val="00CE6273"/>
    <w:rsid w:val="00CE719A"/>
    <w:rsid w:val="00CE7556"/>
    <w:rsid w:val="00CE7601"/>
    <w:rsid w:val="00CF0184"/>
    <w:rsid w:val="00CF02FF"/>
    <w:rsid w:val="00CF0510"/>
    <w:rsid w:val="00CF071E"/>
    <w:rsid w:val="00CF0C26"/>
    <w:rsid w:val="00CF0C8D"/>
    <w:rsid w:val="00CF1204"/>
    <w:rsid w:val="00CF13E0"/>
    <w:rsid w:val="00CF13EF"/>
    <w:rsid w:val="00CF156A"/>
    <w:rsid w:val="00CF1AD4"/>
    <w:rsid w:val="00CF1DE3"/>
    <w:rsid w:val="00CF1ED8"/>
    <w:rsid w:val="00CF2972"/>
    <w:rsid w:val="00CF2A20"/>
    <w:rsid w:val="00CF30DD"/>
    <w:rsid w:val="00CF313D"/>
    <w:rsid w:val="00CF3C2E"/>
    <w:rsid w:val="00CF3CB7"/>
    <w:rsid w:val="00CF3CCE"/>
    <w:rsid w:val="00CF3CF2"/>
    <w:rsid w:val="00CF3DBD"/>
    <w:rsid w:val="00CF41C9"/>
    <w:rsid w:val="00CF4375"/>
    <w:rsid w:val="00CF43DF"/>
    <w:rsid w:val="00CF4AB1"/>
    <w:rsid w:val="00CF4DBE"/>
    <w:rsid w:val="00CF4F51"/>
    <w:rsid w:val="00CF538F"/>
    <w:rsid w:val="00CF55F6"/>
    <w:rsid w:val="00CF5703"/>
    <w:rsid w:val="00CF5995"/>
    <w:rsid w:val="00CF59A1"/>
    <w:rsid w:val="00CF59E0"/>
    <w:rsid w:val="00CF5BB3"/>
    <w:rsid w:val="00CF6672"/>
    <w:rsid w:val="00CF6BB1"/>
    <w:rsid w:val="00CF6E89"/>
    <w:rsid w:val="00CF75C4"/>
    <w:rsid w:val="00CF7B8D"/>
    <w:rsid w:val="00CF7C2E"/>
    <w:rsid w:val="00D00064"/>
    <w:rsid w:val="00D000CE"/>
    <w:rsid w:val="00D003E6"/>
    <w:rsid w:val="00D0081A"/>
    <w:rsid w:val="00D00BF5"/>
    <w:rsid w:val="00D00DEE"/>
    <w:rsid w:val="00D00F0E"/>
    <w:rsid w:val="00D0106F"/>
    <w:rsid w:val="00D01295"/>
    <w:rsid w:val="00D0131E"/>
    <w:rsid w:val="00D01B53"/>
    <w:rsid w:val="00D01D12"/>
    <w:rsid w:val="00D01FCA"/>
    <w:rsid w:val="00D02089"/>
    <w:rsid w:val="00D021F7"/>
    <w:rsid w:val="00D023F4"/>
    <w:rsid w:val="00D026BB"/>
    <w:rsid w:val="00D02950"/>
    <w:rsid w:val="00D029C0"/>
    <w:rsid w:val="00D02AB5"/>
    <w:rsid w:val="00D02B74"/>
    <w:rsid w:val="00D02BCD"/>
    <w:rsid w:val="00D02E90"/>
    <w:rsid w:val="00D03F74"/>
    <w:rsid w:val="00D04035"/>
    <w:rsid w:val="00D042AB"/>
    <w:rsid w:val="00D04AB9"/>
    <w:rsid w:val="00D050AA"/>
    <w:rsid w:val="00D05125"/>
    <w:rsid w:val="00D0519C"/>
    <w:rsid w:val="00D052E8"/>
    <w:rsid w:val="00D053A7"/>
    <w:rsid w:val="00D057B6"/>
    <w:rsid w:val="00D057EE"/>
    <w:rsid w:val="00D05EE0"/>
    <w:rsid w:val="00D060FF"/>
    <w:rsid w:val="00D062C3"/>
    <w:rsid w:val="00D069C7"/>
    <w:rsid w:val="00D06A89"/>
    <w:rsid w:val="00D07847"/>
    <w:rsid w:val="00D078A2"/>
    <w:rsid w:val="00D07930"/>
    <w:rsid w:val="00D079A3"/>
    <w:rsid w:val="00D07D6C"/>
    <w:rsid w:val="00D07E44"/>
    <w:rsid w:val="00D07E57"/>
    <w:rsid w:val="00D10E97"/>
    <w:rsid w:val="00D1194C"/>
    <w:rsid w:val="00D1196E"/>
    <w:rsid w:val="00D12797"/>
    <w:rsid w:val="00D12E35"/>
    <w:rsid w:val="00D13A06"/>
    <w:rsid w:val="00D13BED"/>
    <w:rsid w:val="00D13DF6"/>
    <w:rsid w:val="00D13DFD"/>
    <w:rsid w:val="00D13E53"/>
    <w:rsid w:val="00D14242"/>
    <w:rsid w:val="00D14488"/>
    <w:rsid w:val="00D1450D"/>
    <w:rsid w:val="00D1472E"/>
    <w:rsid w:val="00D14B43"/>
    <w:rsid w:val="00D14F56"/>
    <w:rsid w:val="00D14FE1"/>
    <w:rsid w:val="00D1594C"/>
    <w:rsid w:val="00D159D0"/>
    <w:rsid w:val="00D15A00"/>
    <w:rsid w:val="00D15F46"/>
    <w:rsid w:val="00D161E2"/>
    <w:rsid w:val="00D16A47"/>
    <w:rsid w:val="00D16CAD"/>
    <w:rsid w:val="00D16FD2"/>
    <w:rsid w:val="00D17286"/>
    <w:rsid w:val="00D17451"/>
    <w:rsid w:val="00D2011D"/>
    <w:rsid w:val="00D208A3"/>
    <w:rsid w:val="00D20A5F"/>
    <w:rsid w:val="00D20E28"/>
    <w:rsid w:val="00D21014"/>
    <w:rsid w:val="00D21123"/>
    <w:rsid w:val="00D21384"/>
    <w:rsid w:val="00D2155C"/>
    <w:rsid w:val="00D21D9B"/>
    <w:rsid w:val="00D2259A"/>
    <w:rsid w:val="00D2295A"/>
    <w:rsid w:val="00D22C9E"/>
    <w:rsid w:val="00D22C9F"/>
    <w:rsid w:val="00D22D95"/>
    <w:rsid w:val="00D22F3D"/>
    <w:rsid w:val="00D2308A"/>
    <w:rsid w:val="00D23831"/>
    <w:rsid w:val="00D238B3"/>
    <w:rsid w:val="00D23BF6"/>
    <w:rsid w:val="00D23D4E"/>
    <w:rsid w:val="00D23E34"/>
    <w:rsid w:val="00D247B5"/>
    <w:rsid w:val="00D24B46"/>
    <w:rsid w:val="00D24BC3"/>
    <w:rsid w:val="00D24DC3"/>
    <w:rsid w:val="00D253BC"/>
    <w:rsid w:val="00D25510"/>
    <w:rsid w:val="00D25A56"/>
    <w:rsid w:val="00D25B82"/>
    <w:rsid w:val="00D2600A"/>
    <w:rsid w:val="00D263A0"/>
    <w:rsid w:val="00D265B7"/>
    <w:rsid w:val="00D268CF"/>
    <w:rsid w:val="00D26975"/>
    <w:rsid w:val="00D26BB7"/>
    <w:rsid w:val="00D26E4C"/>
    <w:rsid w:val="00D27448"/>
    <w:rsid w:val="00D27829"/>
    <w:rsid w:val="00D27AA6"/>
    <w:rsid w:val="00D27E92"/>
    <w:rsid w:val="00D301C4"/>
    <w:rsid w:val="00D30702"/>
    <w:rsid w:val="00D307E4"/>
    <w:rsid w:val="00D308EA"/>
    <w:rsid w:val="00D30AAA"/>
    <w:rsid w:val="00D30AD8"/>
    <w:rsid w:val="00D30B5C"/>
    <w:rsid w:val="00D30C80"/>
    <w:rsid w:val="00D31324"/>
    <w:rsid w:val="00D31A54"/>
    <w:rsid w:val="00D31A58"/>
    <w:rsid w:val="00D31B7B"/>
    <w:rsid w:val="00D31F24"/>
    <w:rsid w:val="00D32278"/>
    <w:rsid w:val="00D32379"/>
    <w:rsid w:val="00D32C24"/>
    <w:rsid w:val="00D32CA8"/>
    <w:rsid w:val="00D3379E"/>
    <w:rsid w:val="00D33C96"/>
    <w:rsid w:val="00D33E1E"/>
    <w:rsid w:val="00D33E64"/>
    <w:rsid w:val="00D34462"/>
    <w:rsid w:val="00D345A9"/>
    <w:rsid w:val="00D345AE"/>
    <w:rsid w:val="00D3460D"/>
    <w:rsid w:val="00D3478C"/>
    <w:rsid w:val="00D34B17"/>
    <w:rsid w:val="00D34C49"/>
    <w:rsid w:val="00D35512"/>
    <w:rsid w:val="00D35FBA"/>
    <w:rsid w:val="00D367EB"/>
    <w:rsid w:val="00D36C91"/>
    <w:rsid w:val="00D36CF0"/>
    <w:rsid w:val="00D36D06"/>
    <w:rsid w:val="00D36F00"/>
    <w:rsid w:val="00D3747B"/>
    <w:rsid w:val="00D377D2"/>
    <w:rsid w:val="00D37CE3"/>
    <w:rsid w:val="00D40414"/>
    <w:rsid w:val="00D405BF"/>
    <w:rsid w:val="00D40B68"/>
    <w:rsid w:val="00D41871"/>
    <w:rsid w:val="00D41DA1"/>
    <w:rsid w:val="00D41E1C"/>
    <w:rsid w:val="00D4244F"/>
    <w:rsid w:val="00D4248A"/>
    <w:rsid w:val="00D42959"/>
    <w:rsid w:val="00D42A44"/>
    <w:rsid w:val="00D42CD1"/>
    <w:rsid w:val="00D439F8"/>
    <w:rsid w:val="00D43C3C"/>
    <w:rsid w:val="00D43F36"/>
    <w:rsid w:val="00D441B9"/>
    <w:rsid w:val="00D4424B"/>
    <w:rsid w:val="00D44391"/>
    <w:rsid w:val="00D44530"/>
    <w:rsid w:val="00D450FE"/>
    <w:rsid w:val="00D451B2"/>
    <w:rsid w:val="00D454C7"/>
    <w:rsid w:val="00D4575E"/>
    <w:rsid w:val="00D4577B"/>
    <w:rsid w:val="00D45954"/>
    <w:rsid w:val="00D461C2"/>
    <w:rsid w:val="00D462DA"/>
    <w:rsid w:val="00D46D0A"/>
    <w:rsid w:val="00D46D4E"/>
    <w:rsid w:val="00D46EFD"/>
    <w:rsid w:val="00D4752B"/>
    <w:rsid w:val="00D47621"/>
    <w:rsid w:val="00D4796A"/>
    <w:rsid w:val="00D47C6E"/>
    <w:rsid w:val="00D502E5"/>
    <w:rsid w:val="00D50B6F"/>
    <w:rsid w:val="00D50C81"/>
    <w:rsid w:val="00D50FED"/>
    <w:rsid w:val="00D513CB"/>
    <w:rsid w:val="00D51605"/>
    <w:rsid w:val="00D51B6D"/>
    <w:rsid w:val="00D51E1D"/>
    <w:rsid w:val="00D52255"/>
    <w:rsid w:val="00D522D6"/>
    <w:rsid w:val="00D52504"/>
    <w:rsid w:val="00D5289A"/>
    <w:rsid w:val="00D5322A"/>
    <w:rsid w:val="00D54586"/>
    <w:rsid w:val="00D5497B"/>
    <w:rsid w:val="00D549B1"/>
    <w:rsid w:val="00D54A7B"/>
    <w:rsid w:val="00D54BA2"/>
    <w:rsid w:val="00D54FC3"/>
    <w:rsid w:val="00D550C7"/>
    <w:rsid w:val="00D5556C"/>
    <w:rsid w:val="00D55CD1"/>
    <w:rsid w:val="00D55D06"/>
    <w:rsid w:val="00D55DEC"/>
    <w:rsid w:val="00D56334"/>
    <w:rsid w:val="00D563EC"/>
    <w:rsid w:val="00D566A1"/>
    <w:rsid w:val="00D5676B"/>
    <w:rsid w:val="00D5679E"/>
    <w:rsid w:val="00D56911"/>
    <w:rsid w:val="00D56A41"/>
    <w:rsid w:val="00D56A4A"/>
    <w:rsid w:val="00D56C21"/>
    <w:rsid w:val="00D56E26"/>
    <w:rsid w:val="00D56EB3"/>
    <w:rsid w:val="00D57146"/>
    <w:rsid w:val="00D573BA"/>
    <w:rsid w:val="00D578FA"/>
    <w:rsid w:val="00D57B24"/>
    <w:rsid w:val="00D57B44"/>
    <w:rsid w:val="00D57DBC"/>
    <w:rsid w:val="00D60294"/>
    <w:rsid w:val="00D60585"/>
    <w:rsid w:val="00D6061A"/>
    <w:rsid w:val="00D60BE2"/>
    <w:rsid w:val="00D60C70"/>
    <w:rsid w:val="00D60EF7"/>
    <w:rsid w:val="00D60FCC"/>
    <w:rsid w:val="00D615A7"/>
    <w:rsid w:val="00D6195F"/>
    <w:rsid w:val="00D61AAE"/>
    <w:rsid w:val="00D62620"/>
    <w:rsid w:val="00D6272C"/>
    <w:rsid w:val="00D62803"/>
    <w:rsid w:val="00D62A75"/>
    <w:rsid w:val="00D62ECA"/>
    <w:rsid w:val="00D63019"/>
    <w:rsid w:val="00D63283"/>
    <w:rsid w:val="00D63726"/>
    <w:rsid w:val="00D637D2"/>
    <w:rsid w:val="00D638D7"/>
    <w:rsid w:val="00D63F21"/>
    <w:rsid w:val="00D64170"/>
    <w:rsid w:val="00D64196"/>
    <w:rsid w:val="00D64B88"/>
    <w:rsid w:val="00D64CB8"/>
    <w:rsid w:val="00D65096"/>
    <w:rsid w:val="00D6512C"/>
    <w:rsid w:val="00D6540A"/>
    <w:rsid w:val="00D6543C"/>
    <w:rsid w:val="00D656FF"/>
    <w:rsid w:val="00D65E1C"/>
    <w:rsid w:val="00D66079"/>
    <w:rsid w:val="00D66396"/>
    <w:rsid w:val="00D663F7"/>
    <w:rsid w:val="00D66491"/>
    <w:rsid w:val="00D665FC"/>
    <w:rsid w:val="00D6668E"/>
    <w:rsid w:val="00D66CCD"/>
    <w:rsid w:val="00D66CD9"/>
    <w:rsid w:val="00D67085"/>
    <w:rsid w:val="00D67825"/>
    <w:rsid w:val="00D67A83"/>
    <w:rsid w:val="00D67C9A"/>
    <w:rsid w:val="00D67CB6"/>
    <w:rsid w:val="00D7010E"/>
    <w:rsid w:val="00D70483"/>
    <w:rsid w:val="00D70AC4"/>
    <w:rsid w:val="00D717AB"/>
    <w:rsid w:val="00D71E78"/>
    <w:rsid w:val="00D71F90"/>
    <w:rsid w:val="00D720D2"/>
    <w:rsid w:val="00D72353"/>
    <w:rsid w:val="00D7265C"/>
    <w:rsid w:val="00D72A24"/>
    <w:rsid w:val="00D72FB5"/>
    <w:rsid w:val="00D72FD8"/>
    <w:rsid w:val="00D73337"/>
    <w:rsid w:val="00D7344E"/>
    <w:rsid w:val="00D74131"/>
    <w:rsid w:val="00D74206"/>
    <w:rsid w:val="00D74C31"/>
    <w:rsid w:val="00D74FEA"/>
    <w:rsid w:val="00D75647"/>
    <w:rsid w:val="00D756A7"/>
    <w:rsid w:val="00D75705"/>
    <w:rsid w:val="00D7577E"/>
    <w:rsid w:val="00D76212"/>
    <w:rsid w:val="00D767D1"/>
    <w:rsid w:val="00D7683C"/>
    <w:rsid w:val="00D76A72"/>
    <w:rsid w:val="00D76C01"/>
    <w:rsid w:val="00D773C1"/>
    <w:rsid w:val="00D77594"/>
    <w:rsid w:val="00D77840"/>
    <w:rsid w:val="00D77A3F"/>
    <w:rsid w:val="00D800AA"/>
    <w:rsid w:val="00D80433"/>
    <w:rsid w:val="00D805D4"/>
    <w:rsid w:val="00D8060E"/>
    <w:rsid w:val="00D808E3"/>
    <w:rsid w:val="00D80C0D"/>
    <w:rsid w:val="00D80F75"/>
    <w:rsid w:val="00D81015"/>
    <w:rsid w:val="00D81B66"/>
    <w:rsid w:val="00D81E34"/>
    <w:rsid w:val="00D820CC"/>
    <w:rsid w:val="00D82A28"/>
    <w:rsid w:val="00D82B28"/>
    <w:rsid w:val="00D83898"/>
    <w:rsid w:val="00D83D4A"/>
    <w:rsid w:val="00D83E31"/>
    <w:rsid w:val="00D8411E"/>
    <w:rsid w:val="00D8452D"/>
    <w:rsid w:val="00D84677"/>
    <w:rsid w:val="00D846B8"/>
    <w:rsid w:val="00D847CA"/>
    <w:rsid w:val="00D8500A"/>
    <w:rsid w:val="00D8571A"/>
    <w:rsid w:val="00D85A27"/>
    <w:rsid w:val="00D867F9"/>
    <w:rsid w:val="00D86F19"/>
    <w:rsid w:val="00D879C6"/>
    <w:rsid w:val="00D904AC"/>
    <w:rsid w:val="00D90883"/>
    <w:rsid w:val="00D908FF"/>
    <w:rsid w:val="00D911B1"/>
    <w:rsid w:val="00D915A5"/>
    <w:rsid w:val="00D916F4"/>
    <w:rsid w:val="00D91E3C"/>
    <w:rsid w:val="00D92195"/>
    <w:rsid w:val="00D921C6"/>
    <w:rsid w:val="00D922DA"/>
    <w:rsid w:val="00D923E0"/>
    <w:rsid w:val="00D92755"/>
    <w:rsid w:val="00D929C8"/>
    <w:rsid w:val="00D92A45"/>
    <w:rsid w:val="00D92BE0"/>
    <w:rsid w:val="00D9302E"/>
    <w:rsid w:val="00D930DD"/>
    <w:rsid w:val="00D93203"/>
    <w:rsid w:val="00D93407"/>
    <w:rsid w:val="00D93529"/>
    <w:rsid w:val="00D936C5"/>
    <w:rsid w:val="00D93794"/>
    <w:rsid w:val="00D93AE3"/>
    <w:rsid w:val="00D93CFF"/>
    <w:rsid w:val="00D93E5F"/>
    <w:rsid w:val="00D94508"/>
    <w:rsid w:val="00D947C6"/>
    <w:rsid w:val="00D94975"/>
    <w:rsid w:val="00D94D41"/>
    <w:rsid w:val="00D94DF1"/>
    <w:rsid w:val="00D95242"/>
    <w:rsid w:val="00D952A2"/>
    <w:rsid w:val="00D956D0"/>
    <w:rsid w:val="00D95708"/>
    <w:rsid w:val="00D95717"/>
    <w:rsid w:val="00D9579F"/>
    <w:rsid w:val="00D95C72"/>
    <w:rsid w:val="00D95F3A"/>
    <w:rsid w:val="00D95FBF"/>
    <w:rsid w:val="00D96050"/>
    <w:rsid w:val="00D96174"/>
    <w:rsid w:val="00D961B5"/>
    <w:rsid w:val="00D9697A"/>
    <w:rsid w:val="00D9697F"/>
    <w:rsid w:val="00D96C1E"/>
    <w:rsid w:val="00D96DF0"/>
    <w:rsid w:val="00D9724F"/>
    <w:rsid w:val="00DA021D"/>
    <w:rsid w:val="00DA0548"/>
    <w:rsid w:val="00DA063F"/>
    <w:rsid w:val="00DA0DDD"/>
    <w:rsid w:val="00DA0E04"/>
    <w:rsid w:val="00DA0E31"/>
    <w:rsid w:val="00DA0FC4"/>
    <w:rsid w:val="00DA105E"/>
    <w:rsid w:val="00DA10DB"/>
    <w:rsid w:val="00DA128A"/>
    <w:rsid w:val="00DA13E2"/>
    <w:rsid w:val="00DA18ED"/>
    <w:rsid w:val="00DA1B4C"/>
    <w:rsid w:val="00DA1BED"/>
    <w:rsid w:val="00DA1CEB"/>
    <w:rsid w:val="00DA2137"/>
    <w:rsid w:val="00DA25E3"/>
    <w:rsid w:val="00DA2702"/>
    <w:rsid w:val="00DA2C76"/>
    <w:rsid w:val="00DA2E0B"/>
    <w:rsid w:val="00DA328E"/>
    <w:rsid w:val="00DA3A23"/>
    <w:rsid w:val="00DA3D04"/>
    <w:rsid w:val="00DA3F51"/>
    <w:rsid w:val="00DA44D9"/>
    <w:rsid w:val="00DA4A1B"/>
    <w:rsid w:val="00DA4C48"/>
    <w:rsid w:val="00DA5219"/>
    <w:rsid w:val="00DA55E7"/>
    <w:rsid w:val="00DA63F3"/>
    <w:rsid w:val="00DA6797"/>
    <w:rsid w:val="00DA6AEE"/>
    <w:rsid w:val="00DA6B8F"/>
    <w:rsid w:val="00DA70A2"/>
    <w:rsid w:val="00DA727D"/>
    <w:rsid w:val="00DA72AB"/>
    <w:rsid w:val="00DA7387"/>
    <w:rsid w:val="00DA763F"/>
    <w:rsid w:val="00DA792A"/>
    <w:rsid w:val="00DA794A"/>
    <w:rsid w:val="00DA79E6"/>
    <w:rsid w:val="00DA7DDB"/>
    <w:rsid w:val="00DA7FE5"/>
    <w:rsid w:val="00DB009C"/>
    <w:rsid w:val="00DB0148"/>
    <w:rsid w:val="00DB021C"/>
    <w:rsid w:val="00DB0250"/>
    <w:rsid w:val="00DB0324"/>
    <w:rsid w:val="00DB049B"/>
    <w:rsid w:val="00DB0871"/>
    <w:rsid w:val="00DB136B"/>
    <w:rsid w:val="00DB155F"/>
    <w:rsid w:val="00DB15D3"/>
    <w:rsid w:val="00DB175A"/>
    <w:rsid w:val="00DB1799"/>
    <w:rsid w:val="00DB1A54"/>
    <w:rsid w:val="00DB236E"/>
    <w:rsid w:val="00DB2779"/>
    <w:rsid w:val="00DB27EF"/>
    <w:rsid w:val="00DB2B36"/>
    <w:rsid w:val="00DB2F49"/>
    <w:rsid w:val="00DB33EA"/>
    <w:rsid w:val="00DB34F0"/>
    <w:rsid w:val="00DB3A33"/>
    <w:rsid w:val="00DB3AC5"/>
    <w:rsid w:val="00DB3B4D"/>
    <w:rsid w:val="00DB4080"/>
    <w:rsid w:val="00DB4302"/>
    <w:rsid w:val="00DB442B"/>
    <w:rsid w:val="00DB4472"/>
    <w:rsid w:val="00DB44F5"/>
    <w:rsid w:val="00DB460F"/>
    <w:rsid w:val="00DB4D29"/>
    <w:rsid w:val="00DB505E"/>
    <w:rsid w:val="00DB5189"/>
    <w:rsid w:val="00DB53A7"/>
    <w:rsid w:val="00DB5DD8"/>
    <w:rsid w:val="00DB6213"/>
    <w:rsid w:val="00DB7281"/>
    <w:rsid w:val="00DB78B7"/>
    <w:rsid w:val="00DC0032"/>
    <w:rsid w:val="00DC0153"/>
    <w:rsid w:val="00DC06A8"/>
    <w:rsid w:val="00DC09FE"/>
    <w:rsid w:val="00DC2025"/>
    <w:rsid w:val="00DC2762"/>
    <w:rsid w:val="00DC2A44"/>
    <w:rsid w:val="00DC2AF5"/>
    <w:rsid w:val="00DC2B64"/>
    <w:rsid w:val="00DC2F55"/>
    <w:rsid w:val="00DC34D0"/>
    <w:rsid w:val="00DC3827"/>
    <w:rsid w:val="00DC3EA0"/>
    <w:rsid w:val="00DC4A07"/>
    <w:rsid w:val="00DC4DEB"/>
    <w:rsid w:val="00DC4F86"/>
    <w:rsid w:val="00DC508A"/>
    <w:rsid w:val="00DC5102"/>
    <w:rsid w:val="00DC5173"/>
    <w:rsid w:val="00DC5625"/>
    <w:rsid w:val="00DC57C4"/>
    <w:rsid w:val="00DC58CA"/>
    <w:rsid w:val="00DC5A96"/>
    <w:rsid w:val="00DC5E21"/>
    <w:rsid w:val="00DC6124"/>
    <w:rsid w:val="00DC641A"/>
    <w:rsid w:val="00DC6428"/>
    <w:rsid w:val="00DC64F0"/>
    <w:rsid w:val="00DC6A3D"/>
    <w:rsid w:val="00DC6EA1"/>
    <w:rsid w:val="00DC6F5D"/>
    <w:rsid w:val="00DD01CB"/>
    <w:rsid w:val="00DD07B1"/>
    <w:rsid w:val="00DD08E1"/>
    <w:rsid w:val="00DD0F7D"/>
    <w:rsid w:val="00DD10E2"/>
    <w:rsid w:val="00DD170F"/>
    <w:rsid w:val="00DD18E8"/>
    <w:rsid w:val="00DD1A3D"/>
    <w:rsid w:val="00DD1D9A"/>
    <w:rsid w:val="00DD2002"/>
    <w:rsid w:val="00DD263D"/>
    <w:rsid w:val="00DD2800"/>
    <w:rsid w:val="00DD291E"/>
    <w:rsid w:val="00DD2959"/>
    <w:rsid w:val="00DD2C6B"/>
    <w:rsid w:val="00DD2F27"/>
    <w:rsid w:val="00DD3101"/>
    <w:rsid w:val="00DD39E9"/>
    <w:rsid w:val="00DD3FB9"/>
    <w:rsid w:val="00DD43A7"/>
    <w:rsid w:val="00DD46F5"/>
    <w:rsid w:val="00DD48C5"/>
    <w:rsid w:val="00DD4946"/>
    <w:rsid w:val="00DD4E7E"/>
    <w:rsid w:val="00DD4F8E"/>
    <w:rsid w:val="00DD5606"/>
    <w:rsid w:val="00DD5719"/>
    <w:rsid w:val="00DD61D9"/>
    <w:rsid w:val="00DD63ED"/>
    <w:rsid w:val="00DD6DE9"/>
    <w:rsid w:val="00DD753C"/>
    <w:rsid w:val="00DD7ACB"/>
    <w:rsid w:val="00DD7C67"/>
    <w:rsid w:val="00DD7F2A"/>
    <w:rsid w:val="00DE008C"/>
    <w:rsid w:val="00DE01EC"/>
    <w:rsid w:val="00DE05FF"/>
    <w:rsid w:val="00DE0A8A"/>
    <w:rsid w:val="00DE0DCE"/>
    <w:rsid w:val="00DE15D6"/>
    <w:rsid w:val="00DE17EC"/>
    <w:rsid w:val="00DE1C11"/>
    <w:rsid w:val="00DE2226"/>
    <w:rsid w:val="00DE2291"/>
    <w:rsid w:val="00DE2802"/>
    <w:rsid w:val="00DE2CEB"/>
    <w:rsid w:val="00DE2D8A"/>
    <w:rsid w:val="00DE36D1"/>
    <w:rsid w:val="00DE36E7"/>
    <w:rsid w:val="00DE3968"/>
    <w:rsid w:val="00DE3FE3"/>
    <w:rsid w:val="00DE4253"/>
    <w:rsid w:val="00DE435D"/>
    <w:rsid w:val="00DE4368"/>
    <w:rsid w:val="00DE436D"/>
    <w:rsid w:val="00DE450B"/>
    <w:rsid w:val="00DE4882"/>
    <w:rsid w:val="00DE4A09"/>
    <w:rsid w:val="00DE4A68"/>
    <w:rsid w:val="00DE4B0B"/>
    <w:rsid w:val="00DE4D5A"/>
    <w:rsid w:val="00DE525E"/>
    <w:rsid w:val="00DE5671"/>
    <w:rsid w:val="00DE57AA"/>
    <w:rsid w:val="00DE5A29"/>
    <w:rsid w:val="00DE5D11"/>
    <w:rsid w:val="00DE5FDF"/>
    <w:rsid w:val="00DE6005"/>
    <w:rsid w:val="00DE6317"/>
    <w:rsid w:val="00DE640F"/>
    <w:rsid w:val="00DE68D0"/>
    <w:rsid w:val="00DE6A8F"/>
    <w:rsid w:val="00DE6F30"/>
    <w:rsid w:val="00DE6F52"/>
    <w:rsid w:val="00DE71EC"/>
    <w:rsid w:val="00DE72FC"/>
    <w:rsid w:val="00DE7A55"/>
    <w:rsid w:val="00DE7CC5"/>
    <w:rsid w:val="00DE7E5F"/>
    <w:rsid w:val="00DF053B"/>
    <w:rsid w:val="00DF07D6"/>
    <w:rsid w:val="00DF10B5"/>
    <w:rsid w:val="00DF1100"/>
    <w:rsid w:val="00DF1362"/>
    <w:rsid w:val="00DF137D"/>
    <w:rsid w:val="00DF1636"/>
    <w:rsid w:val="00DF196F"/>
    <w:rsid w:val="00DF1AD1"/>
    <w:rsid w:val="00DF1EAB"/>
    <w:rsid w:val="00DF2234"/>
    <w:rsid w:val="00DF2AC8"/>
    <w:rsid w:val="00DF31F0"/>
    <w:rsid w:val="00DF3208"/>
    <w:rsid w:val="00DF357E"/>
    <w:rsid w:val="00DF3B0C"/>
    <w:rsid w:val="00DF3BB2"/>
    <w:rsid w:val="00DF3C98"/>
    <w:rsid w:val="00DF42F3"/>
    <w:rsid w:val="00DF4327"/>
    <w:rsid w:val="00DF4778"/>
    <w:rsid w:val="00DF50CA"/>
    <w:rsid w:val="00DF534F"/>
    <w:rsid w:val="00DF5416"/>
    <w:rsid w:val="00DF5D4B"/>
    <w:rsid w:val="00DF5F95"/>
    <w:rsid w:val="00DF68E4"/>
    <w:rsid w:val="00DF6D83"/>
    <w:rsid w:val="00DF6E54"/>
    <w:rsid w:val="00DF71D8"/>
    <w:rsid w:val="00DF78B1"/>
    <w:rsid w:val="00E0055F"/>
    <w:rsid w:val="00E0065B"/>
    <w:rsid w:val="00E00B82"/>
    <w:rsid w:val="00E00C35"/>
    <w:rsid w:val="00E00F93"/>
    <w:rsid w:val="00E0189B"/>
    <w:rsid w:val="00E018E9"/>
    <w:rsid w:val="00E019B2"/>
    <w:rsid w:val="00E01D89"/>
    <w:rsid w:val="00E02162"/>
    <w:rsid w:val="00E024F8"/>
    <w:rsid w:val="00E02642"/>
    <w:rsid w:val="00E02E0F"/>
    <w:rsid w:val="00E02F7B"/>
    <w:rsid w:val="00E030DD"/>
    <w:rsid w:val="00E0383A"/>
    <w:rsid w:val="00E03C45"/>
    <w:rsid w:val="00E03C51"/>
    <w:rsid w:val="00E04228"/>
    <w:rsid w:val="00E04457"/>
    <w:rsid w:val="00E0456D"/>
    <w:rsid w:val="00E048C8"/>
    <w:rsid w:val="00E04BBC"/>
    <w:rsid w:val="00E05583"/>
    <w:rsid w:val="00E05B78"/>
    <w:rsid w:val="00E05D4F"/>
    <w:rsid w:val="00E05DDF"/>
    <w:rsid w:val="00E05E52"/>
    <w:rsid w:val="00E05EC0"/>
    <w:rsid w:val="00E05F1F"/>
    <w:rsid w:val="00E06427"/>
    <w:rsid w:val="00E06A68"/>
    <w:rsid w:val="00E06DA2"/>
    <w:rsid w:val="00E0714F"/>
    <w:rsid w:val="00E071C5"/>
    <w:rsid w:val="00E10450"/>
    <w:rsid w:val="00E10940"/>
    <w:rsid w:val="00E10A24"/>
    <w:rsid w:val="00E10A8E"/>
    <w:rsid w:val="00E10C6B"/>
    <w:rsid w:val="00E10E13"/>
    <w:rsid w:val="00E1120A"/>
    <w:rsid w:val="00E11444"/>
    <w:rsid w:val="00E117E8"/>
    <w:rsid w:val="00E11B41"/>
    <w:rsid w:val="00E1233C"/>
    <w:rsid w:val="00E123A3"/>
    <w:rsid w:val="00E129AE"/>
    <w:rsid w:val="00E13270"/>
    <w:rsid w:val="00E136B6"/>
    <w:rsid w:val="00E13758"/>
    <w:rsid w:val="00E137A9"/>
    <w:rsid w:val="00E13B28"/>
    <w:rsid w:val="00E13DFD"/>
    <w:rsid w:val="00E14405"/>
    <w:rsid w:val="00E1478E"/>
    <w:rsid w:val="00E15195"/>
    <w:rsid w:val="00E15642"/>
    <w:rsid w:val="00E1575F"/>
    <w:rsid w:val="00E157DD"/>
    <w:rsid w:val="00E159D7"/>
    <w:rsid w:val="00E1600B"/>
    <w:rsid w:val="00E16082"/>
    <w:rsid w:val="00E16419"/>
    <w:rsid w:val="00E16B1C"/>
    <w:rsid w:val="00E16E24"/>
    <w:rsid w:val="00E16E4C"/>
    <w:rsid w:val="00E16EFB"/>
    <w:rsid w:val="00E16F1E"/>
    <w:rsid w:val="00E17209"/>
    <w:rsid w:val="00E17624"/>
    <w:rsid w:val="00E17B4F"/>
    <w:rsid w:val="00E20839"/>
    <w:rsid w:val="00E20B70"/>
    <w:rsid w:val="00E20EAA"/>
    <w:rsid w:val="00E20F3F"/>
    <w:rsid w:val="00E2105A"/>
    <w:rsid w:val="00E21068"/>
    <w:rsid w:val="00E210E3"/>
    <w:rsid w:val="00E21154"/>
    <w:rsid w:val="00E21178"/>
    <w:rsid w:val="00E2118E"/>
    <w:rsid w:val="00E213AB"/>
    <w:rsid w:val="00E21653"/>
    <w:rsid w:val="00E21C9B"/>
    <w:rsid w:val="00E2238F"/>
    <w:rsid w:val="00E2287F"/>
    <w:rsid w:val="00E22C23"/>
    <w:rsid w:val="00E23023"/>
    <w:rsid w:val="00E232AA"/>
    <w:rsid w:val="00E23480"/>
    <w:rsid w:val="00E23991"/>
    <w:rsid w:val="00E23AB1"/>
    <w:rsid w:val="00E23DA0"/>
    <w:rsid w:val="00E23FE4"/>
    <w:rsid w:val="00E2414E"/>
    <w:rsid w:val="00E241CB"/>
    <w:rsid w:val="00E2431C"/>
    <w:rsid w:val="00E24678"/>
    <w:rsid w:val="00E248F6"/>
    <w:rsid w:val="00E24986"/>
    <w:rsid w:val="00E24A9C"/>
    <w:rsid w:val="00E24C9A"/>
    <w:rsid w:val="00E24DCC"/>
    <w:rsid w:val="00E254D9"/>
    <w:rsid w:val="00E26643"/>
    <w:rsid w:val="00E26830"/>
    <w:rsid w:val="00E26DE3"/>
    <w:rsid w:val="00E26FAF"/>
    <w:rsid w:val="00E27E3D"/>
    <w:rsid w:val="00E27FEC"/>
    <w:rsid w:val="00E30187"/>
    <w:rsid w:val="00E30731"/>
    <w:rsid w:val="00E30894"/>
    <w:rsid w:val="00E3099C"/>
    <w:rsid w:val="00E30A93"/>
    <w:rsid w:val="00E30DAA"/>
    <w:rsid w:val="00E30E6D"/>
    <w:rsid w:val="00E3100C"/>
    <w:rsid w:val="00E31380"/>
    <w:rsid w:val="00E31449"/>
    <w:rsid w:val="00E31615"/>
    <w:rsid w:val="00E31AE8"/>
    <w:rsid w:val="00E31DD1"/>
    <w:rsid w:val="00E31FAF"/>
    <w:rsid w:val="00E32732"/>
    <w:rsid w:val="00E32881"/>
    <w:rsid w:val="00E328DD"/>
    <w:rsid w:val="00E32BCD"/>
    <w:rsid w:val="00E32E97"/>
    <w:rsid w:val="00E33013"/>
    <w:rsid w:val="00E33055"/>
    <w:rsid w:val="00E33915"/>
    <w:rsid w:val="00E33A36"/>
    <w:rsid w:val="00E34244"/>
    <w:rsid w:val="00E3427B"/>
    <w:rsid w:val="00E34A8F"/>
    <w:rsid w:val="00E34CE3"/>
    <w:rsid w:val="00E34E5D"/>
    <w:rsid w:val="00E34EE7"/>
    <w:rsid w:val="00E34F70"/>
    <w:rsid w:val="00E350E8"/>
    <w:rsid w:val="00E35287"/>
    <w:rsid w:val="00E354E4"/>
    <w:rsid w:val="00E358F6"/>
    <w:rsid w:val="00E35A92"/>
    <w:rsid w:val="00E35F06"/>
    <w:rsid w:val="00E3624F"/>
    <w:rsid w:val="00E36368"/>
    <w:rsid w:val="00E365FD"/>
    <w:rsid w:val="00E368D9"/>
    <w:rsid w:val="00E3695E"/>
    <w:rsid w:val="00E36CAB"/>
    <w:rsid w:val="00E36E2C"/>
    <w:rsid w:val="00E3732D"/>
    <w:rsid w:val="00E374D4"/>
    <w:rsid w:val="00E3752E"/>
    <w:rsid w:val="00E37952"/>
    <w:rsid w:val="00E37A1C"/>
    <w:rsid w:val="00E37B77"/>
    <w:rsid w:val="00E401BD"/>
    <w:rsid w:val="00E4024F"/>
    <w:rsid w:val="00E402C4"/>
    <w:rsid w:val="00E40B36"/>
    <w:rsid w:val="00E40C5E"/>
    <w:rsid w:val="00E40D70"/>
    <w:rsid w:val="00E40FD5"/>
    <w:rsid w:val="00E4124A"/>
    <w:rsid w:val="00E4129F"/>
    <w:rsid w:val="00E4134B"/>
    <w:rsid w:val="00E41631"/>
    <w:rsid w:val="00E417A0"/>
    <w:rsid w:val="00E41821"/>
    <w:rsid w:val="00E41F10"/>
    <w:rsid w:val="00E42B87"/>
    <w:rsid w:val="00E433EB"/>
    <w:rsid w:val="00E43560"/>
    <w:rsid w:val="00E43976"/>
    <w:rsid w:val="00E44801"/>
    <w:rsid w:val="00E4490E"/>
    <w:rsid w:val="00E44B35"/>
    <w:rsid w:val="00E44E96"/>
    <w:rsid w:val="00E4561F"/>
    <w:rsid w:val="00E45721"/>
    <w:rsid w:val="00E45C14"/>
    <w:rsid w:val="00E45C75"/>
    <w:rsid w:val="00E45CB2"/>
    <w:rsid w:val="00E45D68"/>
    <w:rsid w:val="00E460F6"/>
    <w:rsid w:val="00E46129"/>
    <w:rsid w:val="00E4663C"/>
    <w:rsid w:val="00E46765"/>
    <w:rsid w:val="00E46A08"/>
    <w:rsid w:val="00E46A38"/>
    <w:rsid w:val="00E46A81"/>
    <w:rsid w:val="00E46B45"/>
    <w:rsid w:val="00E4756D"/>
    <w:rsid w:val="00E47C24"/>
    <w:rsid w:val="00E47C7C"/>
    <w:rsid w:val="00E47D5D"/>
    <w:rsid w:val="00E50002"/>
    <w:rsid w:val="00E50321"/>
    <w:rsid w:val="00E5037D"/>
    <w:rsid w:val="00E50478"/>
    <w:rsid w:val="00E50576"/>
    <w:rsid w:val="00E508A1"/>
    <w:rsid w:val="00E50E82"/>
    <w:rsid w:val="00E50F62"/>
    <w:rsid w:val="00E5115A"/>
    <w:rsid w:val="00E512DA"/>
    <w:rsid w:val="00E51416"/>
    <w:rsid w:val="00E51500"/>
    <w:rsid w:val="00E51672"/>
    <w:rsid w:val="00E517A5"/>
    <w:rsid w:val="00E5180D"/>
    <w:rsid w:val="00E521E6"/>
    <w:rsid w:val="00E522FC"/>
    <w:rsid w:val="00E52379"/>
    <w:rsid w:val="00E52788"/>
    <w:rsid w:val="00E52B91"/>
    <w:rsid w:val="00E52D97"/>
    <w:rsid w:val="00E52E33"/>
    <w:rsid w:val="00E52F14"/>
    <w:rsid w:val="00E5336F"/>
    <w:rsid w:val="00E53748"/>
    <w:rsid w:val="00E5376E"/>
    <w:rsid w:val="00E540DB"/>
    <w:rsid w:val="00E5453E"/>
    <w:rsid w:val="00E550FC"/>
    <w:rsid w:val="00E5566D"/>
    <w:rsid w:val="00E558E3"/>
    <w:rsid w:val="00E55A8E"/>
    <w:rsid w:val="00E55E12"/>
    <w:rsid w:val="00E55EE5"/>
    <w:rsid w:val="00E566A3"/>
    <w:rsid w:val="00E568DE"/>
    <w:rsid w:val="00E56AB8"/>
    <w:rsid w:val="00E56C9D"/>
    <w:rsid w:val="00E572A2"/>
    <w:rsid w:val="00E57388"/>
    <w:rsid w:val="00E57636"/>
    <w:rsid w:val="00E579DB"/>
    <w:rsid w:val="00E57E2C"/>
    <w:rsid w:val="00E602CD"/>
    <w:rsid w:val="00E60364"/>
    <w:rsid w:val="00E6045D"/>
    <w:rsid w:val="00E6061C"/>
    <w:rsid w:val="00E6069B"/>
    <w:rsid w:val="00E608A3"/>
    <w:rsid w:val="00E609EA"/>
    <w:rsid w:val="00E60A84"/>
    <w:rsid w:val="00E60E5F"/>
    <w:rsid w:val="00E60F64"/>
    <w:rsid w:val="00E61628"/>
    <w:rsid w:val="00E616F0"/>
    <w:rsid w:val="00E61784"/>
    <w:rsid w:val="00E617EE"/>
    <w:rsid w:val="00E61923"/>
    <w:rsid w:val="00E61A45"/>
    <w:rsid w:val="00E6200C"/>
    <w:rsid w:val="00E6203D"/>
    <w:rsid w:val="00E62195"/>
    <w:rsid w:val="00E62243"/>
    <w:rsid w:val="00E6231A"/>
    <w:rsid w:val="00E6249C"/>
    <w:rsid w:val="00E624BD"/>
    <w:rsid w:val="00E625B3"/>
    <w:rsid w:val="00E62CAC"/>
    <w:rsid w:val="00E62EB9"/>
    <w:rsid w:val="00E62ECA"/>
    <w:rsid w:val="00E63025"/>
    <w:rsid w:val="00E6336D"/>
    <w:rsid w:val="00E633FC"/>
    <w:rsid w:val="00E6398F"/>
    <w:rsid w:val="00E63D7F"/>
    <w:rsid w:val="00E64376"/>
    <w:rsid w:val="00E64412"/>
    <w:rsid w:val="00E64712"/>
    <w:rsid w:val="00E64743"/>
    <w:rsid w:val="00E647A5"/>
    <w:rsid w:val="00E6506F"/>
    <w:rsid w:val="00E65189"/>
    <w:rsid w:val="00E65A00"/>
    <w:rsid w:val="00E65A4E"/>
    <w:rsid w:val="00E65E19"/>
    <w:rsid w:val="00E66487"/>
    <w:rsid w:val="00E66633"/>
    <w:rsid w:val="00E667C0"/>
    <w:rsid w:val="00E6681D"/>
    <w:rsid w:val="00E67457"/>
    <w:rsid w:val="00E676BD"/>
    <w:rsid w:val="00E67701"/>
    <w:rsid w:val="00E67A5D"/>
    <w:rsid w:val="00E67CAA"/>
    <w:rsid w:val="00E70087"/>
    <w:rsid w:val="00E701E8"/>
    <w:rsid w:val="00E70355"/>
    <w:rsid w:val="00E71219"/>
    <w:rsid w:val="00E7132A"/>
    <w:rsid w:val="00E71BBF"/>
    <w:rsid w:val="00E72203"/>
    <w:rsid w:val="00E722C9"/>
    <w:rsid w:val="00E722DE"/>
    <w:rsid w:val="00E7257D"/>
    <w:rsid w:val="00E728CB"/>
    <w:rsid w:val="00E72A02"/>
    <w:rsid w:val="00E72C89"/>
    <w:rsid w:val="00E72D97"/>
    <w:rsid w:val="00E7336F"/>
    <w:rsid w:val="00E73F50"/>
    <w:rsid w:val="00E73F80"/>
    <w:rsid w:val="00E74127"/>
    <w:rsid w:val="00E74300"/>
    <w:rsid w:val="00E7433B"/>
    <w:rsid w:val="00E745CE"/>
    <w:rsid w:val="00E74A85"/>
    <w:rsid w:val="00E74B0C"/>
    <w:rsid w:val="00E74F3B"/>
    <w:rsid w:val="00E75158"/>
    <w:rsid w:val="00E75489"/>
    <w:rsid w:val="00E75509"/>
    <w:rsid w:val="00E75621"/>
    <w:rsid w:val="00E75EC9"/>
    <w:rsid w:val="00E76046"/>
    <w:rsid w:val="00E760CD"/>
    <w:rsid w:val="00E76262"/>
    <w:rsid w:val="00E769B0"/>
    <w:rsid w:val="00E76C23"/>
    <w:rsid w:val="00E77AD1"/>
    <w:rsid w:val="00E77CD4"/>
    <w:rsid w:val="00E8027D"/>
    <w:rsid w:val="00E8034C"/>
    <w:rsid w:val="00E80944"/>
    <w:rsid w:val="00E809B5"/>
    <w:rsid w:val="00E809CC"/>
    <w:rsid w:val="00E809F4"/>
    <w:rsid w:val="00E80F74"/>
    <w:rsid w:val="00E80F8A"/>
    <w:rsid w:val="00E80F94"/>
    <w:rsid w:val="00E81032"/>
    <w:rsid w:val="00E810E0"/>
    <w:rsid w:val="00E81216"/>
    <w:rsid w:val="00E81574"/>
    <w:rsid w:val="00E815CB"/>
    <w:rsid w:val="00E8165A"/>
    <w:rsid w:val="00E816EC"/>
    <w:rsid w:val="00E81E45"/>
    <w:rsid w:val="00E81FBE"/>
    <w:rsid w:val="00E8232B"/>
    <w:rsid w:val="00E82674"/>
    <w:rsid w:val="00E82912"/>
    <w:rsid w:val="00E83332"/>
    <w:rsid w:val="00E83372"/>
    <w:rsid w:val="00E833E8"/>
    <w:rsid w:val="00E834AA"/>
    <w:rsid w:val="00E836E9"/>
    <w:rsid w:val="00E83EE3"/>
    <w:rsid w:val="00E84725"/>
    <w:rsid w:val="00E84A6B"/>
    <w:rsid w:val="00E84A8B"/>
    <w:rsid w:val="00E84BA5"/>
    <w:rsid w:val="00E84E64"/>
    <w:rsid w:val="00E8507F"/>
    <w:rsid w:val="00E85176"/>
    <w:rsid w:val="00E857DE"/>
    <w:rsid w:val="00E85956"/>
    <w:rsid w:val="00E8599F"/>
    <w:rsid w:val="00E85A02"/>
    <w:rsid w:val="00E85E0B"/>
    <w:rsid w:val="00E8626E"/>
    <w:rsid w:val="00E86787"/>
    <w:rsid w:val="00E86A51"/>
    <w:rsid w:val="00E86ACC"/>
    <w:rsid w:val="00E86EA3"/>
    <w:rsid w:val="00E86EA5"/>
    <w:rsid w:val="00E86EB1"/>
    <w:rsid w:val="00E87169"/>
    <w:rsid w:val="00E873D3"/>
    <w:rsid w:val="00E874E0"/>
    <w:rsid w:val="00E87559"/>
    <w:rsid w:val="00E875B6"/>
    <w:rsid w:val="00E87705"/>
    <w:rsid w:val="00E87A4E"/>
    <w:rsid w:val="00E87C18"/>
    <w:rsid w:val="00E87E85"/>
    <w:rsid w:val="00E90222"/>
    <w:rsid w:val="00E910A2"/>
    <w:rsid w:val="00E91508"/>
    <w:rsid w:val="00E91A17"/>
    <w:rsid w:val="00E91F6D"/>
    <w:rsid w:val="00E92385"/>
    <w:rsid w:val="00E9249D"/>
    <w:rsid w:val="00E928F4"/>
    <w:rsid w:val="00E92D78"/>
    <w:rsid w:val="00E9304C"/>
    <w:rsid w:val="00E930F9"/>
    <w:rsid w:val="00E93470"/>
    <w:rsid w:val="00E93F74"/>
    <w:rsid w:val="00E94196"/>
    <w:rsid w:val="00E946E7"/>
    <w:rsid w:val="00E94A84"/>
    <w:rsid w:val="00E94AAA"/>
    <w:rsid w:val="00E9538D"/>
    <w:rsid w:val="00E95456"/>
    <w:rsid w:val="00E957C5"/>
    <w:rsid w:val="00E95896"/>
    <w:rsid w:val="00E95A3E"/>
    <w:rsid w:val="00E95FAD"/>
    <w:rsid w:val="00E96089"/>
    <w:rsid w:val="00E96104"/>
    <w:rsid w:val="00E96325"/>
    <w:rsid w:val="00E9632C"/>
    <w:rsid w:val="00E9637A"/>
    <w:rsid w:val="00E96845"/>
    <w:rsid w:val="00E96C1C"/>
    <w:rsid w:val="00E96C5F"/>
    <w:rsid w:val="00E96CD8"/>
    <w:rsid w:val="00E96DEA"/>
    <w:rsid w:val="00E96F87"/>
    <w:rsid w:val="00E97089"/>
    <w:rsid w:val="00E97206"/>
    <w:rsid w:val="00E97328"/>
    <w:rsid w:val="00E976F4"/>
    <w:rsid w:val="00E978AC"/>
    <w:rsid w:val="00E97C75"/>
    <w:rsid w:val="00E97CAF"/>
    <w:rsid w:val="00E97EE2"/>
    <w:rsid w:val="00E97F05"/>
    <w:rsid w:val="00EA0262"/>
    <w:rsid w:val="00EA0527"/>
    <w:rsid w:val="00EA060E"/>
    <w:rsid w:val="00EA08D6"/>
    <w:rsid w:val="00EA0A73"/>
    <w:rsid w:val="00EA1585"/>
    <w:rsid w:val="00EA1B47"/>
    <w:rsid w:val="00EA1C2E"/>
    <w:rsid w:val="00EA1E55"/>
    <w:rsid w:val="00EA2302"/>
    <w:rsid w:val="00EA236B"/>
    <w:rsid w:val="00EA237F"/>
    <w:rsid w:val="00EA24DB"/>
    <w:rsid w:val="00EA27FB"/>
    <w:rsid w:val="00EA286B"/>
    <w:rsid w:val="00EA28ED"/>
    <w:rsid w:val="00EA2DE4"/>
    <w:rsid w:val="00EA2E04"/>
    <w:rsid w:val="00EA2FA6"/>
    <w:rsid w:val="00EA30B2"/>
    <w:rsid w:val="00EA348E"/>
    <w:rsid w:val="00EA34BC"/>
    <w:rsid w:val="00EA350A"/>
    <w:rsid w:val="00EA3778"/>
    <w:rsid w:val="00EA379F"/>
    <w:rsid w:val="00EA396B"/>
    <w:rsid w:val="00EA44A1"/>
    <w:rsid w:val="00EA48AE"/>
    <w:rsid w:val="00EA4E47"/>
    <w:rsid w:val="00EA50ED"/>
    <w:rsid w:val="00EA5CDE"/>
    <w:rsid w:val="00EA62EF"/>
    <w:rsid w:val="00EA638C"/>
    <w:rsid w:val="00EA63D4"/>
    <w:rsid w:val="00EA64C2"/>
    <w:rsid w:val="00EA7165"/>
    <w:rsid w:val="00EA792E"/>
    <w:rsid w:val="00EA7B75"/>
    <w:rsid w:val="00EA7D4D"/>
    <w:rsid w:val="00EB002D"/>
    <w:rsid w:val="00EB03FE"/>
    <w:rsid w:val="00EB074B"/>
    <w:rsid w:val="00EB08BF"/>
    <w:rsid w:val="00EB09E2"/>
    <w:rsid w:val="00EB1313"/>
    <w:rsid w:val="00EB1518"/>
    <w:rsid w:val="00EB160C"/>
    <w:rsid w:val="00EB177C"/>
    <w:rsid w:val="00EB1795"/>
    <w:rsid w:val="00EB18A2"/>
    <w:rsid w:val="00EB19FB"/>
    <w:rsid w:val="00EB1FFA"/>
    <w:rsid w:val="00EB202A"/>
    <w:rsid w:val="00EB21EB"/>
    <w:rsid w:val="00EB2648"/>
    <w:rsid w:val="00EB27C4"/>
    <w:rsid w:val="00EB2DE7"/>
    <w:rsid w:val="00EB2FDE"/>
    <w:rsid w:val="00EB309B"/>
    <w:rsid w:val="00EB31E2"/>
    <w:rsid w:val="00EB3266"/>
    <w:rsid w:val="00EB329A"/>
    <w:rsid w:val="00EB33DD"/>
    <w:rsid w:val="00EB3642"/>
    <w:rsid w:val="00EB38FE"/>
    <w:rsid w:val="00EB434F"/>
    <w:rsid w:val="00EB43CA"/>
    <w:rsid w:val="00EB55A2"/>
    <w:rsid w:val="00EB5810"/>
    <w:rsid w:val="00EB5B14"/>
    <w:rsid w:val="00EB5C23"/>
    <w:rsid w:val="00EB5DA9"/>
    <w:rsid w:val="00EB6844"/>
    <w:rsid w:val="00EB6A7D"/>
    <w:rsid w:val="00EB6D8B"/>
    <w:rsid w:val="00EB6E42"/>
    <w:rsid w:val="00EB6F12"/>
    <w:rsid w:val="00EB74A5"/>
    <w:rsid w:val="00EB7536"/>
    <w:rsid w:val="00EB757C"/>
    <w:rsid w:val="00EB775B"/>
    <w:rsid w:val="00EB78FA"/>
    <w:rsid w:val="00EB79A1"/>
    <w:rsid w:val="00EB7A9E"/>
    <w:rsid w:val="00EB7CDF"/>
    <w:rsid w:val="00EC02B8"/>
    <w:rsid w:val="00EC08AB"/>
    <w:rsid w:val="00EC0B5A"/>
    <w:rsid w:val="00EC0DA1"/>
    <w:rsid w:val="00EC10A4"/>
    <w:rsid w:val="00EC1F3C"/>
    <w:rsid w:val="00EC2310"/>
    <w:rsid w:val="00EC26BF"/>
    <w:rsid w:val="00EC2BF1"/>
    <w:rsid w:val="00EC3070"/>
    <w:rsid w:val="00EC3651"/>
    <w:rsid w:val="00EC37FE"/>
    <w:rsid w:val="00EC3B11"/>
    <w:rsid w:val="00EC3E1A"/>
    <w:rsid w:val="00EC41E6"/>
    <w:rsid w:val="00EC4983"/>
    <w:rsid w:val="00EC49A7"/>
    <w:rsid w:val="00EC4A44"/>
    <w:rsid w:val="00EC4F12"/>
    <w:rsid w:val="00EC5008"/>
    <w:rsid w:val="00EC5106"/>
    <w:rsid w:val="00EC5377"/>
    <w:rsid w:val="00EC56DA"/>
    <w:rsid w:val="00EC5777"/>
    <w:rsid w:val="00EC5A4D"/>
    <w:rsid w:val="00EC5E8A"/>
    <w:rsid w:val="00EC6440"/>
    <w:rsid w:val="00EC6B71"/>
    <w:rsid w:val="00EC6BEA"/>
    <w:rsid w:val="00EC705C"/>
    <w:rsid w:val="00EC716C"/>
    <w:rsid w:val="00EC7430"/>
    <w:rsid w:val="00EC763D"/>
    <w:rsid w:val="00EC7DED"/>
    <w:rsid w:val="00EC7FD7"/>
    <w:rsid w:val="00ED00DB"/>
    <w:rsid w:val="00ED0230"/>
    <w:rsid w:val="00ED048F"/>
    <w:rsid w:val="00ED05AE"/>
    <w:rsid w:val="00ED075C"/>
    <w:rsid w:val="00ED093C"/>
    <w:rsid w:val="00ED0D2D"/>
    <w:rsid w:val="00ED0F72"/>
    <w:rsid w:val="00ED2308"/>
    <w:rsid w:val="00ED2D14"/>
    <w:rsid w:val="00ED2DD9"/>
    <w:rsid w:val="00ED2FF4"/>
    <w:rsid w:val="00ED309D"/>
    <w:rsid w:val="00ED310A"/>
    <w:rsid w:val="00ED31A6"/>
    <w:rsid w:val="00ED31F9"/>
    <w:rsid w:val="00ED343B"/>
    <w:rsid w:val="00ED3790"/>
    <w:rsid w:val="00ED3814"/>
    <w:rsid w:val="00ED3AC3"/>
    <w:rsid w:val="00ED3B7B"/>
    <w:rsid w:val="00ED3CD3"/>
    <w:rsid w:val="00ED420D"/>
    <w:rsid w:val="00ED420F"/>
    <w:rsid w:val="00ED439C"/>
    <w:rsid w:val="00ED45AE"/>
    <w:rsid w:val="00ED47FF"/>
    <w:rsid w:val="00ED4983"/>
    <w:rsid w:val="00ED49E9"/>
    <w:rsid w:val="00ED53C7"/>
    <w:rsid w:val="00ED6303"/>
    <w:rsid w:val="00ED67E2"/>
    <w:rsid w:val="00ED7222"/>
    <w:rsid w:val="00ED7415"/>
    <w:rsid w:val="00ED7776"/>
    <w:rsid w:val="00ED7D55"/>
    <w:rsid w:val="00EE0103"/>
    <w:rsid w:val="00EE0126"/>
    <w:rsid w:val="00EE03D4"/>
    <w:rsid w:val="00EE05C3"/>
    <w:rsid w:val="00EE05E2"/>
    <w:rsid w:val="00EE070B"/>
    <w:rsid w:val="00EE0777"/>
    <w:rsid w:val="00EE08A7"/>
    <w:rsid w:val="00EE161A"/>
    <w:rsid w:val="00EE1E47"/>
    <w:rsid w:val="00EE23CF"/>
    <w:rsid w:val="00EE250A"/>
    <w:rsid w:val="00EE25B4"/>
    <w:rsid w:val="00EE25F8"/>
    <w:rsid w:val="00EE2614"/>
    <w:rsid w:val="00EE27ED"/>
    <w:rsid w:val="00EE2E83"/>
    <w:rsid w:val="00EE32AA"/>
    <w:rsid w:val="00EE361D"/>
    <w:rsid w:val="00EE4070"/>
    <w:rsid w:val="00EE4282"/>
    <w:rsid w:val="00EE45F3"/>
    <w:rsid w:val="00EE47FE"/>
    <w:rsid w:val="00EE499D"/>
    <w:rsid w:val="00EE4EB1"/>
    <w:rsid w:val="00EE50B3"/>
    <w:rsid w:val="00EE50C6"/>
    <w:rsid w:val="00EE550D"/>
    <w:rsid w:val="00EE5671"/>
    <w:rsid w:val="00EE5A02"/>
    <w:rsid w:val="00EE5A1F"/>
    <w:rsid w:val="00EE5FA6"/>
    <w:rsid w:val="00EE606D"/>
    <w:rsid w:val="00EE6364"/>
    <w:rsid w:val="00EE658D"/>
    <w:rsid w:val="00EE690C"/>
    <w:rsid w:val="00EE6E42"/>
    <w:rsid w:val="00EE7085"/>
    <w:rsid w:val="00EE70EE"/>
    <w:rsid w:val="00EE7163"/>
    <w:rsid w:val="00EE75A0"/>
    <w:rsid w:val="00EE75A1"/>
    <w:rsid w:val="00EE766D"/>
    <w:rsid w:val="00EF041C"/>
    <w:rsid w:val="00EF0479"/>
    <w:rsid w:val="00EF05FD"/>
    <w:rsid w:val="00EF09AE"/>
    <w:rsid w:val="00EF0D76"/>
    <w:rsid w:val="00EF0DF2"/>
    <w:rsid w:val="00EF13FB"/>
    <w:rsid w:val="00EF17DA"/>
    <w:rsid w:val="00EF1B59"/>
    <w:rsid w:val="00EF24D4"/>
    <w:rsid w:val="00EF2A15"/>
    <w:rsid w:val="00EF2F46"/>
    <w:rsid w:val="00EF2F50"/>
    <w:rsid w:val="00EF3F75"/>
    <w:rsid w:val="00EF40CE"/>
    <w:rsid w:val="00EF46DA"/>
    <w:rsid w:val="00EF4AFB"/>
    <w:rsid w:val="00EF4BCA"/>
    <w:rsid w:val="00EF584F"/>
    <w:rsid w:val="00EF5A0F"/>
    <w:rsid w:val="00EF5BE3"/>
    <w:rsid w:val="00EF5BFD"/>
    <w:rsid w:val="00EF5FA4"/>
    <w:rsid w:val="00EF6376"/>
    <w:rsid w:val="00EF6680"/>
    <w:rsid w:val="00EF6721"/>
    <w:rsid w:val="00EF6C18"/>
    <w:rsid w:val="00EF7294"/>
    <w:rsid w:val="00EF767C"/>
    <w:rsid w:val="00EF7733"/>
    <w:rsid w:val="00EF7AB3"/>
    <w:rsid w:val="00EF7EE0"/>
    <w:rsid w:val="00F002A2"/>
    <w:rsid w:val="00F002BA"/>
    <w:rsid w:val="00F00470"/>
    <w:rsid w:val="00F0050A"/>
    <w:rsid w:val="00F0050D"/>
    <w:rsid w:val="00F010E1"/>
    <w:rsid w:val="00F01261"/>
    <w:rsid w:val="00F0179B"/>
    <w:rsid w:val="00F01C6F"/>
    <w:rsid w:val="00F01C9F"/>
    <w:rsid w:val="00F01EED"/>
    <w:rsid w:val="00F021B2"/>
    <w:rsid w:val="00F024B7"/>
    <w:rsid w:val="00F02A6D"/>
    <w:rsid w:val="00F02B59"/>
    <w:rsid w:val="00F0319D"/>
    <w:rsid w:val="00F034C1"/>
    <w:rsid w:val="00F03700"/>
    <w:rsid w:val="00F03E48"/>
    <w:rsid w:val="00F0435D"/>
    <w:rsid w:val="00F04457"/>
    <w:rsid w:val="00F04DC7"/>
    <w:rsid w:val="00F04F90"/>
    <w:rsid w:val="00F0509B"/>
    <w:rsid w:val="00F05319"/>
    <w:rsid w:val="00F05368"/>
    <w:rsid w:val="00F054E7"/>
    <w:rsid w:val="00F05F29"/>
    <w:rsid w:val="00F0639C"/>
    <w:rsid w:val="00F06796"/>
    <w:rsid w:val="00F067D7"/>
    <w:rsid w:val="00F06EE2"/>
    <w:rsid w:val="00F074CF"/>
    <w:rsid w:val="00F074DC"/>
    <w:rsid w:val="00F07B29"/>
    <w:rsid w:val="00F07BA5"/>
    <w:rsid w:val="00F10171"/>
    <w:rsid w:val="00F10356"/>
    <w:rsid w:val="00F10389"/>
    <w:rsid w:val="00F1038B"/>
    <w:rsid w:val="00F103C9"/>
    <w:rsid w:val="00F10470"/>
    <w:rsid w:val="00F10EB7"/>
    <w:rsid w:val="00F111D9"/>
    <w:rsid w:val="00F112E2"/>
    <w:rsid w:val="00F112F7"/>
    <w:rsid w:val="00F116C4"/>
    <w:rsid w:val="00F11CBF"/>
    <w:rsid w:val="00F12305"/>
    <w:rsid w:val="00F12781"/>
    <w:rsid w:val="00F127FC"/>
    <w:rsid w:val="00F12821"/>
    <w:rsid w:val="00F12975"/>
    <w:rsid w:val="00F12992"/>
    <w:rsid w:val="00F12AAA"/>
    <w:rsid w:val="00F12B9B"/>
    <w:rsid w:val="00F12E27"/>
    <w:rsid w:val="00F131E8"/>
    <w:rsid w:val="00F137CB"/>
    <w:rsid w:val="00F139FC"/>
    <w:rsid w:val="00F140F8"/>
    <w:rsid w:val="00F1418F"/>
    <w:rsid w:val="00F14346"/>
    <w:rsid w:val="00F143B3"/>
    <w:rsid w:val="00F1481A"/>
    <w:rsid w:val="00F14834"/>
    <w:rsid w:val="00F14933"/>
    <w:rsid w:val="00F14D82"/>
    <w:rsid w:val="00F15232"/>
    <w:rsid w:val="00F152BF"/>
    <w:rsid w:val="00F153B1"/>
    <w:rsid w:val="00F1554B"/>
    <w:rsid w:val="00F15632"/>
    <w:rsid w:val="00F16719"/>
    <w:rsid w:val="00F16D05"/>
    <w:rsid w:val="00F16DB4"/>
    <w:rsid w:val="00F17034"/>
    <w:rsid w:val="00F170F8"/>
    <w:rsid w:val="00F171EE"/>
    <w:rsid w:val="00F17201"/>
    <w:rsid w:val="00F17449"/>
    <w:rsid w:val="00F1745A"/>
    <w:rsid w:val="00F17535"/>
    <w:rsid w:val="00F17791"/>
    <w:rsid w:val="00F178D2"/>
    <w:rsid w:val="00F17C0B"/>
    <w:rsid w:val="00F20000"/>
    <w:rsid w:val="00F20613"/>
    <w:rsid w:val="00F20B1F"/>
    <w:rsid w:val="00F21229"/>
    <w:rsid w:val="00F215AD"/>
    <w:rsid w:val="00F215E4"/>
    <w:rsid w:val="00F21D26"/>
    <w:rsid w:val="00F22737"/>
    <w:rsid w:val="00F23324"/>
    <w:rsid w:val="00F23727"/>
    <w:rsid w:val="00F23761"/>
    <w:rsid w:val="00F23B2E"/>
    <w:rsid w:val="00F23C29"/>
    <w:rsid w:val="00F23F39"/>
    <w:rsid w:val="00F247F7"/>
    <w:rsid w:val="00F24C22"/>
    <w:rsid w:val="00F24D7F"/>
    <w:rsid w:val="00F24E69"/>
    <w:rsid w:val="00F24EF0"/>
    <w:rsid w:val="00F24F63"/>
    <w:rsid w:val="00F24F8F"/>
    <w:rsid w:val="00F25393"/>
    <w:rsid w:val="00F25418"/>
    <w:rsid w:val="00F25A89"/>
    <w:rsid w:val="00F25D73"/>
    <w:rsid w:val="00F263A1"/>
    <w:rsid w:val="00F27382"/>
    <w:rsid w:val="00F2784B"/>
    <w:rsid w:val="00F278ED"/>
    <w:rsid w:val="00F27A39"/>
    <w:rsid w:val="00F27BF0"/>
    <w:rsid w:val="00F27CB5"/>
    <w:rsid w:val="00F27DDC"/>
    <w:rsid w:val="00F27DE7"/>
    <w:rsid w:val="00F27F6E"/>
    <w:rsid w:val="00F3005D"/>
    <w:rsid w:val="00F30097"/>
    <w:rsid w:val="00F303B2"/>
    <w:rsid w:val="00F303E3"/>
    <w:rsid w:val="00F3073E"/>
    <w:rsid w:val="00F30795"/>
    <w:rsid w:val="00F307E0"/>
    <w:rsid w:val="00F31637"/>
    <w:rsid w:val="00F317DF"/>
    <w:rsid w:val="00F317F4"/>
    <w:rsid w:val="00F31887"/>
    <w:rsid w:val="00F318A5"/>
    <w:rsid w:val="00F31B0E"/>
    <w:rsid w:val="00F31DD2"/>
    <w:rsid w:val="00F3204C"/>
    <w:rsid w:val="00F32AE1"/>
    <w:rsid w:val="00F331D4"/>
    <w:rsid w:val="00F3346C"/>
    <w:rsid w:val="00F33514"/>
    <w:rsid w:val="00F3397A"/>
    <w:rsid w:val="00F33A76"/>
    <w:rsid w:val="00F33BAA"/>
    <w:rsid w:val="00F33DD7"/>
    <w:rsid w:val="00F341E8"/>
    <w:rsid w:val="00F34352"/>
    <w:rsid w:val="00F344E0"/>
    <w:rsid w:val="00F3451A"/>
    <w:rsid w:val="00F345C4"/>
    <w:rsid w:val="00F34695"/>
    <w:rsid w:val="00F34908"/>
    <w:rsid w:val="00F34A0F"/>
    <w:rsid w:val="00F34A17"/>
    <w:rsid w:val="00F34D63"/>
    <w:rsid w:val="00F34E01"/>
    <w:rsid w:val="00F353D5"/>
    <w:rsid w:val="00F353D7"/>
    <w:rsid w:val="00F356B5"/>
    <w:rsid w:val="00F35928"/>
    <w:rsid w:val="00F3597D"/>
    <w:rsid w:val="00F35EFF"/>
    <w:rsid w:val="00F35F0F"/>
    <w:rsid w:val="00F366D7"/>
    <w:rsid w:val="00F366E8"/>
    <w:rsid w:val="00F36A17"/>
    <w:rsid w:val="00F37167"/>
    <w:rsid w:val="00F3727D"/>
    <w:rsid w:val="00F3764A"/>
    <w:rsid w:val="00F3776B"/>
    <w:rsid w:val="00F37BDF"/>
    <w:rsid w:val="00F40309"/>
    <w:rsid w:val="00F4038E"/>
    <w:rsid w:val="00F40673"/>
    <w:rsid w:val="00F4085F"/>
    <w:rsid w:val="00F408D0"/>
    <w:rsid w:val="00F40C22"/>
    <w:rsid w:val="00F417BF"/>
    <w:rsid w:val="00F421B9"/>
    <w:rsid w:val="00F42416"/>
    <w:rsid w:val="00F428FF"/>
    <w:rsid w:val="00F42E71"/>
    <w:rsid w:val="00F42F02"/>
    <w:rsid w:val="00F43186"/>
    <w:rsid w:val="00F4329C"/>
    <w:rsid w:val="00F4381D"/>
    <w:rsid w:val="00F43A50"/>
    <w:rsid w:val="00F43D59"/>
    <w:rsid w:val="00F43D6B"/>
    <w:rsid w:val="00F44103"/>
    <w:rsid w:val="00F442CF"/>
    <w:rsid w:val="00F443C5"/>
    <w:rsid w:val="00F44691"/>
    <w:rsid w:val="00F4474F"/>
    <w:rsid w:val="00F44FCB"/>
    <w:rsid w:val="00F4557A"/>
    <w:rsid w:val="00F455E5"/>
    <w:rsid w:val="00F455FA"/>
    <w:rsid w:val="00F45611"/>
    <w:rsid w:val="00F456ED"/>
    <w:rsid w:val="00F458E2"/>
    <w:rsid w:val="00F459ED"/>
    <w:rsid w:val="00F45A53"/>
    <w:rsid w:val="00F4617F"/>
    <w:rsid w:val="00F461FE"/>
    <w:rsid w:val="00F46549"/>
    <w:rsid w:val="00F4699C"/>
    <w:rsid w:val="00F46B88"/>
    <w:rsid w:val="00F46D06"/>
    <w:rsid w:val="00F46E51"/>
    <w:rsid w:val="00F473DE"/>
    <w:rsid w:val="00F474CA"/>
    <w:rsid w:val="00F475FA"/>
    <w:rsid w:val="00F47829"/>
    <w:rsid w:val="00F47B36"/>
    <w:rsid w:val="00F47C8A"/>
    <w:rsid w:val="00F47FBC"/>
    <w:rsid w:val="00F501AC"/>
    <w:rsid w:val="00F5022E"/>
    <w:rsid w:val="00F50560"/>
    <w:rsid w:val="00F507E1"/>
    <w:rsid w:val="00F50B53"/>
    <w:rsid w:val="00F50F41"/>
    <w:rsid w:val="00F51302"/>
    <w:rsid w:val="00F5153C"/>
    <w:rsid w:val="00F52005"/>
    <w:rsid w:val="00F525C8"/>
    <w:rsid w:val="00F52927"/>
    <w:rsid w:val="00F52CF9"/>
    <w:rsid w:val="00F52FF6"/>
    <w:rsid w:val="00F536ED"/>
    <w:rsid w:val="00F53930"/>
    <w:rsid w:val="00F53C1E"/>
    <w:rsid w:val="00F53FF0"/>
    <w:rsid w:val="00F54579"/>
    <w:rsid w:val="00F545DB"/>
    <w:rsid w:val="00F54CDA"/>
    <w:rsid w:val="00F55384"/>
    <w:rsid w:val="00F5558A"/>
    <w:rsid w:val="00F55631"/>
    <w:rsid w:val="00F5579F"/>
    <w:rsid w:val="00F55841"/>
    <w:rsid w:val="00F5595D"/>
    <w:rsid w:val="00F55C21"/>
    <w:rsid w:val="00F55D06"/>
    <w:rsid w:val="00F55F86"/>
    <w:rsid w:val="00F561CB"/>
    <w:rsid w:val="00F5656F"/>
    <w:rsid w:val="00F565CA"/>
    <w:rsid w:val="00F56C75"/>
    <w:rsid w:val="00F56EF8"/>
    <w:rsid w:val="00F56F76"/>
    <w:rsid w:val="00F57064"/>
    <w:rsid w:val="00F5764A"/>
    <w:rsid w:val="00F57F4B"/>
    <w:rsid w:val="00F57F7A"/>
    <w:rsid w:val="00F6004E"/>
    <w:rsid w:val="00F606DE"/>
    <w:rsid w:val="00F60776"/>
    <w:rsid w:val="00F60D14"/>
    <w:rsid w:val="00F60FA5"/>
    <w:rsid w:val="00F6113F"/>
    <w:rsid w:val="00F61362"/>
    <w:rsid w:val="00F61C4A"/>
    <w:rsid w:val="00F622C5"/>
    <w:rsid w:val="00F628B2"/>
    <w:rsid w:val="00F62BE2"/>
    <w:rsid w:val="00F62D33"/>
    <w:rsid w:val="00F635A2"/>
    <w:rsid w:val="00F644BE"/>
    <w:rsid w:val="00F645DB"/>
    <w:rsid w:val="00F64972"/>
    <w:rsid w:val="00F64B81"/>
    <w:rsid w:val="00F64C03"/>
    <w:rsid w:val="00F64C15"/>
    <w:rsid w:val="00F64DAB"/>
    <w:rsid w:val="00F652D0"/>
    <w:rsid w:val="00F65313"/>
    <w:rsid w:val="00F6570B"/>
    <w:rsid w:val="00F66584"/>
    <w:rsid w:val="00F66640"/>
    <w:rsid w:val="00F671AC"/>
    <w:rsid w:val="00F674D4"/>
    <w:rsid w:val="00F67615"/>
    <w:rsid w:val="00F67B1D"/>
    <w:rsid w:val="00F67E96"/>
    <w:rsid w:val="00F70CC1"/>
    <w:rsid w:val="00F713FA"/>
    <w:rsid w:val="00F7203D"/>
    <w:rsid w:val="00F72457"/>
    <w:rsid w:val="00F72511"/>
    <w:rsid w:val="00F72A8F"/>
    <w:rsid w:val="00F72AB0"/>
    <w:rsid w:val="00F72D0C"/>
    <w:rsid w:val="00F72DD2"/>
    <w:rsid w:val="00F72FDE"/>
    <w:rsid w:val="00F730A0"/>
    <w:rsid w:val="00F73116"/>
    <w:rsid w:val="00F73174"/>
    <w:rsid w:val="00F732DA"/>
    <w:rsid w:val="00F73676"/>
    <w:rsid w:val="00F73B2B"/>
    <w:rsid w:val="00F73FB0"/>
    <w:rsid w:val="00F740EB"/>
    <w:rsid w:val="00F74317"/>
    <w:rsid w:val="00F74319"/>
    <w:rsid w:val="00F749B2"/>
    <w:rsid w:val="00F74ECD"/>
    <w:rsid w:val="00F75D2A"/>
    <w:rsid w:val="00F75DAD"/>
    <w:rsid w:val="00F76424"/>
    <w:rsid w:val="00F76A8B"/>
    <w:rsid w:val="00F76C98"/>
    <w:rsid w:val="00F772CD"/>
    <w:rsid w:val="00F775EC"/>
    <w:rsid w:val="00F77C06"/>
    <w:rsid w:val="00F801DB"/>
    <w:rsid w:val="00F804CD"/>
    <w:rsid w:val="00F80750"/>
    <w:rsid w:val="00F80B86"/>
    <w:rsid w:val="00F8160A"/>
    <w:rsid w:val="00F817EC"/>
    <w:rsid w:val="00F81977"/>
    <w:rsid w:val="00F81BC3"/>
    <w:rsid w:val="00F81C10"/>
    <w:rsid w:val="00F81CFD"/>
    <w:rsid w:val="00F81E09"/>
    <w:rsid w:val="00F82220"/>
    <w:rsid w:val="00F82230"/>
    <w:rsid w:val="00F82427"/>
    <w:rsid w:val="00F8249E"/>
    <w:rsid w:val="00F82A15"/>
    <w:rsid w:val="00F82B3D"/>
    <w:rsid w:val="00F82BF7"/>
    <w:rsid w:val="00F82D4F"/>
    <w:rsid w:val="00F8301D"/>
    <w:rsid w:val="00F831E2"/>
    <w:rsid w:val="00F832F4"/>
    <w:rsid w:val="00F8351E"/>
    <w:rsid w:val="00F837B1"/>
    <w:rsid w:val="00F838B9"/>
    <w:rsid w:val="00F840F7"/>
    <w:rsid w:val="00F84146"/>
    <w:rsid w:val="00F841FA"/>
    <w:rsid w:val="00F84716"/>
    <w:rsid w:val="00F84B27"/>
    <w:rsid w:val="00F8588A"/>
    <w:rsid w:val="00F85E85"/>
    <w:rsid w:val="00F85F59"/>
    <w:rsid w:val="00F86538"/>
    <w:rsid w:val="00F86717"/>
    <w:rsid w:val="00F869EC"/>
    <w:rsid w:val="00F86BF5"/>
    <w:rsid w:val="00F86DD4"/>
    <w:rsid w:val="00F86DE0"/>
    <w:rsid w:val="00F8734B"/>
    <w:rsid w:val="00F87374"/>
    <w:rsid w:val="00F874ED"/>
    <w:rsid w:val="00F87830"/>
    <w:rsid w:val="00F87DB3"/>
    <w:rsid w:val="00F87F8E"/>
    <w:rsid w:val="00F87FE8"/>
    <w:rsid w:val="00F90548"/>
    <w:rsid w:val="00F90851"/>
    <w:rsid w:val="00F908F4"/>
    <w:rsid w:val="00F90C50"/>
    <w:rsid w:val="00F910E6"/>
    <w:rsid w:val="00F91102"/>
    <w:rsid w:val="00F91416"/>
    <w:rsid w:val="00F91D61"/>
    <w:rsid w:val="00F91EB7"/>
    <w:rsid w:val="00F9214D"/>
    <w:rsid w:val="00F923D0"/>
    <w:rsid w:val="00F92884"/>
    <w:rsid w:val="00F928A0"/>
    <w:rsid w:val="00F92C52"/>
    <w:rsid w:val="00F93349"/>
    <w:rsid w:val="00F93395"/>
    <w:rsid w:val="00F936F5"/>
    <w:rsid w:val="00F93A7F"/>
    <w:rsid w:val="00F93BA1"/>
    <w:rsid w:val="00F93C49"/>
    <w:rsid w:val="00F93D16"/>
    <w:rsid w:val="00F941BA"/>
    <w:rsid w:val="00F94624"/>
    <w:rsid w:val="00F9479D"/>
    <w:rsid w:val="00F94C62"/>
    <w:rsid w:val="00F95106"/>
    <w:rsid w:val="00F952E5"/>
    <w:rsid w:val="00F9658B"/>
    <w:rsid w:val="00F97630"/>
    <w:rsid w:val="00F97C7A"/>
    <w:rsid w:val="00FA019C"/>
    <w:rsid w:val="00FA07DB"/>
    <w:rsid w:val="00FA09D8"/>
    <w:rsid w:val="00FA11BE"/>
    <w:rsid w:val="00FA1EA8"/>
    <w:rsid w:val="00FA1ED9"/>
    <w:rsid w:val="00FA232B"/>
    <w:rsid w:val="00FA2909"/>
    <w:rsid w:val="00FA3CEC"/>
    <w:rsid w:val="00FA3FE3"/>
    <w:rsid w:val="00FA45C5"/>
    <w:rsid w:val="00FA4CBA"/>
    <w:rsid w:val="00FA58D2"/>
    <w:rsid w:val="00FA59FB"/>
    <w:rsid w:val="00FA5AFA"/>
    <w:rsid w:val="00FA5E7A"/>
    <w:rsid w:val="00FA5F82"/>
    <w:rsid w:val="00FA643A"/>
    <w:rsid w:val="00FA6676"/>
    <w:rsid w:val="00FA675B"/>
    <w:rsid w:val="00FA6784"/>
    <w:rsid w:val="00FA6BC3"/>
    <w:rsid w:val="00FA6CA0"/>
    <w:rsid w:val="00FA6F76"/>
    <w:rsid w:val="00FA77F0"/>
    <w:rsid w:val="00FA7F47"/>
    <w:rsid w:val="00FA7F5A"/>
    <w:rsid w:val="00FB00A2"/>
    <w:rsid w:val="00FB063E"/>
    <w:rsid w:val="00FB0C12"/>
    <w:rsid w:val="00FB1322"/>
    <w:rsid w:val="00FB1412"/>
    <w:rsid w:val="00FB141D"/>
    <w:rsid w:val="00FB24C4"/>
    <w:rsid w:val="00FB2A45"/>
    <w:rsid w:val="00FB2ADB"/>
    <w:rsid w:val="00FB2B97"/>
    <w:rsid w:val="00FB3447"/>
    <w:rsid w:val="00FB351E"/>
    <w:rsid w:val="00FB366A"/>
    <w:rsid w:val="00FB3811"/>
    <w:rsid w:val="00FB3E61"/>
    <w:rsid w:val="00FB3FE8"/>
    <w:rsid w:val="00FB40BD"/>
    <w:rsid w:val="00FB4134"/>
    <w:rsid w:val="00FB4180"/>
    <w:rsid w:val="00FB42B1"/>
    <w:rsid w:val="00FB45D5"/>
    <w:rsid w:val="00FB4701"/>
    <w:rsid w:val="00FB4CF2"/>
    <w:rsid w:val="00FB4D2F"/>
    <w:rsid w:val="00FB4EF9"/>
    <w:rsid w:val="00FB5060"/>
    <w:rsid w:val="00FB516C"/>
    <w:rsid w:val="00FB5930"/>
    <w:rsid w:val="00FB5988"/>
    <w:rsid w:val="00FB5A96"/>
    <w:rsid w:val="00FB5C07"/>
    <w:rsid w:val="00FB5C7A"/>
    <w:rsid w:val="00FB5F02"/>
    <w:rsid w:val="00FB61EB"/>
    <w:rsid w:val="00FB63BD"/>
    <w:rsid w:val="00FB6F23"/>
    <w:rsid w:val="00FB7389"/>
    <w:rsid w:val="00FB74CF"/>
    <w:rsid w:val="00FB7B27"/>
    <w:rsid w:val="00FC016D"/>
    <w:rsid w:val="00FC04CF"/>
    <w:rsid w:val="00FC0A1C"/>
    <w:rsid w:val="00FC0BA6"/>
    <w:rsid w:val="00FC0BAE"/>
    <w:rsid w:val="00FC0CA4"/>
    <w:rsid w:val="00FC0D10"/>
    <w:rsid w:val="00FC0E02"/>
    <w:rsid w:val="00FC0EAB"/>
    <w:rsid w:val="00FC1541"/>
    <w:rsid w:val="00FC1873"/>
    <w:rsid w:val="00FC1A57"/>
    <w:rsid w:val="00FC1D74"/>
    <w:rsid w:val="00FC1E97"/>
    <w:rsid w:val="00FC1F30"/>
    <w:rsid w:val="00FC1F55"/>
    <w:rsid w:val="00FC295F"/>
    <w:rsid w:val="00FC2BD9"/>
    <w:rsid w:val="00FC2D75"/>
    <w:rsid w:val="00FC2DA7"/>
    <w:rsid w:val="00FC2DFC"/>
    <w:rsid w:val="00FC2E08"/>
    <w:rsid w:val="00FC2E1F"/>
    <w:rsid w:val="00FC398C"/>
    <w:rsid w:val="00FC4539"/>
    <w:rsid w:val="00FC4650"/>
    <w:rsid w:val="00FC4845"/>
    <w:rsid w:val="00FC4998"/>
    <w:rsid w:val="00FC4ABE"/>
    <w:rsid w:val="00FC4B36"/>
    <w:rsid w:val="00FC4B69"/>
    <w:rsid w:val="00FC510D"/>
    <w:rsid w:val="00FC517E"/>
    <w:rsid w:val="00FC5230"/>
    <w:rsid w:val="00FC5588"/>
    <w:rsid w:val="00FC660B"/>
    <w:rsid w:val="00FC6679"/>
    <w:rsid w:val="00FC68AB"/>
    <w:rsid w:val="00FC6B03"/>
    <w:rsid w:val="00FC6F66"/>
    <w:rsid w:val="00FC723C"/>
    <w:rsid w:val="00FC7360"/>
    <w:rsid w:val="00FC7806"/>
    <w:rsid w:val="00FC7842"/>
    <w:rsid w:val="00FC787B"/>
    <w:rsid w:val="00FD031C"/>
    <w:rsid w:val="00FD05C9"/>
    <w:rsid w:val="00FD06D5"/>
    <w:rsid w:val="00FD0E37"/>
    <w:rsid w:val="00FD1007"/>
    <w:rsid w:val="00FD100F"/>
    <w:rsid w:val="00FD1216"/>
    <w:rsid w:val="00FD2260"/>
    <w:rsid w:val="00FD277B"/>
    <w:rsid w:val="00FD28C9"/>
    <w:rsid w:val="00FD28FF"/>
    <w:rsid w:val="00FD2E6B"/>
    <w:rsid w:val="00FD3577"/>
    <w:rsid w:val="00FD35FC"/>
    <w:rsid w:val="00FD3934"/>
    <w:rsid w:val="00FD4A98"/>
    <w:rsid w:val="00FD4CE3"/>
    <w:rsid w:val="00FD4EF6"/>
    <w:rsid w:val="00FD51FE"/>
    <w:rsid w:val="00FD5227"/>
    <w:rsid w:val="00FD5357"/>
    <w:rsid w:val="00FD57E9"/>
    <w:rsid w:val="00FD59B3"/>
    <w:rsid w:val="00FD5AB2"/>
    <w:rsid w:val="00FD5B4F"/>
    <w:rsid w:val="00FD5CEC"/>
    <w:rsid w:val="00FD5F46"/>
    <w:rsid w:val="00FD6384"/>
    <w:rsid w:val="00FD68A1"/>
    <w:rsid w:val="00FD6ADF"/>
    <w:rsid w:val="00FD6DD4"/>
    <w:rsid w:val="00FD72B7"/>
    <w:rsid w:val="00FD7343"/>
    <w:rsid w:val="00FD741B"/>
    <w:rsid w:val="00FD7CD0"/>
    <w:rsid w:val="00FD7D7F"/>
    <w:rsid w:val="00FD7F40"/>
    <w:rsid w:val="00FE01F4"/>
    <w:rsid w:val="00FE025B"/>
    <w:rsid w:val="00FE03A3"/>
    <w:rsid w:val="00FE0C5A"/>
    <w:rsid w:val="00FE110C"/>
    <w:rsid w:val="00FE1194"/>
    <w:rsid w:val="00FE12DA"/>
    <w:rsid w:val="00FE1333"/>
    <w:rsid w:val="00FE1520"/>
    <w:rsid w:val="00FE1868"/>
    <w:rsid w:val="00FE1891"/>
    <w:rsid w:val="00FE1A7C"/>
    <w:rsid w:val="00FE1B94"/>
    <w:rsid w:val="00FE1D32"/>
    <w:rsid w:val="00FE1D9E"/>
    <w:rsid w:val="00FE1E07"/>
    <w:rsid w:val="00FE1EE4"/>
    <w:rsid w:val="00FE2133"/>
    <w:rsid w:val="00FE228E"/>
    <w:rsid w:val="00FE2299"/>
    <w:rsid w:val="00FE244E"/>
    <w:rsid w:val="00FE2FF1"/>
    <w:rsid w:val="00FE32C7"/>
    <w:rsid w:val="00FE33B8"/>
    <w:rsid w:val="00FE33CD"/>
    <w:rsid w:val="00FE3748"/>
    <w:rsid w:val="00FE39AA"/>
    <w:rsid w:val="00FE419E"/>
    <w:rsid w:val="00FE444B"/>
    <w:rsid w:val="00FE45BB"/>
    <w:rsid w:val="00FE491B"/>
    <w:rsid w:val="00FE4E27"/>
    <w:rsid w:val="00FE50AD"/>
    <w:rsid w:val="00FE58D2"/>
    <w:rsid w:val="00FE5910"/>
    <w:rsid w:val="00FE5941"/>
    <w:rsid w:val="00FE5A45"/>
    <w:rsid w:val="00FE5BA3"/>
    <w:rsid w:val="00FE5ECB"/>
    <w:rsid w:val="00FE62ED"/>
    <w:rsid w:val="00FE65A8"/>
    <w:rsid w:val="00FE682D"/>
    <w:rsid w:val="00FE6835"/>
    <w:rsid w:val="00FE6D3B"/>
    <w:rsid w:val="00FE7031"/>
    <w:rsid w:val="00FE7240"/>
    <w:rsid w:val="00FE72A2"/>
    <w:rsid w:val="00FE77EF"/>
    <w:rsid w:val="00FF00E6"/>
    <w:rsid w:val="00FF051F"/>
    <w:rsid w:val="00FF10D1"/>
    <w:rsid w:val="00FF12AF"/>
    <w:rsid w:val="00FF139E"/>
    <w:rsid w:val="00FF14BE"/>
    <w:rsid w:val="00FF1928"/>
    <w:rsid w:val="00FF1E59"/>
    <w:rsid w:val="00FF1F7B"/>
    <w:rsid w:val="00FF1FE7"/>
    <w:rsid w:val="00FF225A"/>
    <w:rsid w:val="00FF2484"/>
    <w:rsid w:val="00FF2ACC"/>
    <w:rsid w:val="00FF2FE9"/>
    <w:rsid w:val="00FF3035"/>
    <w:rsid w:val="00FF30EE"/>
    <w:rsid w:val="00FF330A"/>
    <w:rsid w:val="00FF3538"/>
    <w:rsid w:val="00FF3708"/>
    <w:rsid w:val="00FF378B"/>
    <w:rsid w:val="00FF3816"/>
    <w:rsid w:val="00FF3DAE"/>
    <w:rsid w:val="00FF3F20"/>
    <w:rsid w:val="00FF3F60"/>
    <w:rsid w:val="00FF4201"/>
    <w:rsid w:val="00FF445F"/>
    <w:rsid w:val="00FF4781"/>
    <w:rsid w:val="00FF482E"/>
    <w:rsid w:val="00FF49B3"/>
    <w:rsid w:val="00FF4CFF"/>
    <w:rsid w:val="00FF4D07"/>
    <w:rsid w:val="00FF4F92"/>
    <w:rsid w:val="00FF506A"/>
    <w:rsid w:val="00FF51CC"/>
    <w:rsid w:val="00FF52E5"/>
    <w:rsid w:val="00FF6E8E"/>
    <w:rsid w:val="00FF73F0"/>
    <w:rsid w:val="00FF7616"/>
    <w:rsid w:val="00FF7AF2"/>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B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OT" w:eastAsiaTheme="minorHAnsi" w:hAnsi="DIN OT" w:cstheme="minorBidi"/>
        <w:color w:val="000000"/>
        <w:sz w:val="22"/>
        <w:szCs w:val="22"/>
        <w:lang w:val="en-AU" w:eastAsia="en-US" w:bidi="ar-SA"/>
      </w:rPr>
    </w:rPrDefault>
    <w:pPrDefault>
      <w:pPr>
        <w:spacing w:after="24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2"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2" w:unhideWhenUsed="1" w:qFormat="1"/>
    <w:lsdException w:name="List Bullet 3" w:uiPriority="12"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1"/>
    <w:lsdException w:name="Closing" w:semiHidden="1" w:unhideWhenUsed="1"/>
    <w:lsdException w:name="Signature" w:semiHidden="1" w:uiPriority="29"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192"/>
    <w:rPr>
      <w:rFonts w:ascii="DIN OT Light" w:hAnsi="DIN OT Light"/>
    </w:rPr>
  </w:style>
  <w:style w:type="paragraph" w:styleId="Heading1">
    <w:name w:val="heading 1"/>
    <w:basedOn w:val="Normal"/>
    <w:next w:val="Normal"/>
    <w:link w:val="Heading1Char"/>
    <w:uiPriority w:val="9"/>
    <w:qFormat/>
    <w:rsid w:val="00BB2437"/>
    <w:pPr>
      <w:keepNext/>
      <w:keepLines/>
      <w:pageBreakBefore/>
      <w:pBdr>
        <w:bottom w:val="single" w:sz="4" w:space="3" w:color="BFBFBF" w:themeColor="background1" w:themeShade="BF"/>
      </w:pBdr>
      <w:spacing w:after="480"/>
      <w:outlineLvl w:val="0"/>
    </w:pPr>
    <w:rPr>
      <w:rFonts w:ascii="DIN OT Medium" w:eastAsiaTheme="majorEastAsia" w:hAnsi="DIN OT Medium" w:cstheme="majorBidi"/>
      <w:bCs/>
      <w:color w:val="012169" w:themeColor="text2"/>
      <w:sz w:val="48"/>
      <w:szCs w:val="28"/>
    </w:rPr>
  </w:style>
  <w:style w:type="paragraph" w:styleId="Heading2">
    <w:name w:val="heading 2"/>
    <w:basedOn w:val="Normal"/>
    <w:next w:val="Normal"/>
    <w:link w:val="Heading2Char"/>
    <w:uiPriority w:val="9"/>
    <w:qFormat/>
    <w:rsid w:val="00F61362"/>
    <w:pPr>
      <w:keepNext/>
      <w:keepLines/>
      <w:spacing w:before="320"/>
      <w:outlineLvl w:val="1"/>
    </w:pPr>
    <w:rPr>
      <w:rFonts w:ascii="DIN OT Medium" w:eastAsiaTheme="majorEastAsia" w:hAnsi="DIN OT Medium" w:cstheme="majorBidi"/>
      <w:bCs/>
      <w:color w:val="012169" w:themeColor="text2"/>
      <w:sz w:val="30"/>
      <w:szCs w:val="26"/>
    </w:rPr>
  </w:style>
  <w:style w:type="paragraph" w:styleId="Heading3">
    <w:name w:val="heading 3"/>
    <w:basedOn w:val="Normal"/>
    <w:next w:val="Normal"/>
    <w:link w:val="Heading3Char"/>
    <w:uiPriority w:val="9"/>
    <w:qFormat/>
    <w:rsid w:val="007568F8"/>
    <w:pPr>
      <w:keepNext/>
      <w:keepLines/>
      <w:spacing w:before="280" w:after="120"/>
      <w:outlineLvl w:val="2"/>
    </w:pPr>
    <w:rPr>
      <w:rFonts w:ascii="DIN OT Medium" w:eastAsiaTheme="majorEastAsia" w:hAnsi="DIN OT Medium" w:cstheme="majorBidi"/>
      <w:bCs/>
      <w:color w:val="012169" w:themeColor="text2"/>
      <w:sz w:val="26"/>
    </w:rPr>
  </w:style>
  <w:style w:type="paragraph" w:styleId="Heading4">
    <w:name w:val="heading 4"/>
    <w:basedOn w:val="Normal"/>
    <w:next w:val="Normal"/>
    <w:link w:val="Heading4Char"/>
    <w:uiPriority w:val="9"/>
    <w:qFormat/>
    <w:rsid w:val="0016272E"/>
    <w:pPr>
      <w:keepNext/>
      <w:keepLines/>
      <w:spacing w:before="240" w:after="120"/>
      <w:outlineLvl w:val="3"/>
    </w:pPr>
    <w:rPr>
      <w:rFonts w:ascii="DIN OT Medium" w:eastAsiaTheme="majorEastAsia" w:hAnsi="DIN OT Medium" w:cstheme="majorBidi"/>
      <w:bCs/>
      <w:i/>
      <w:iCs/>
      <w:color w:val="012169" w:themeColor="text2"/>
      <w:sz w:val="26"/>
    </w:rPr>
  </w:style>
  <w:style w:type="paragraph" w:styleId="Heading5">
    <w:name w:val="heading 5"/>
    <w:basedOn w:val="Normal"/>
    <w:next w:val="Normal"/>
    <w:link w:val="Heading5Char"/>
    <w:uiPriority w:val="9"/>
    <w:qFormat/>
    <w:rsid w:val="006C6C47"/>
    <w:pPr>
      <w:keepNext/>
      <w:keepLines/>
      <w:spacing w:before="240" w:after="60"/>
      <w:outlineLvl w:val="4"/>
    </w:pPr>
    <w:rPr>
      <w:rFonts w:ascii="DIN OT Medium" w:eastAsiaTheme="majorEastAsia" w:hAnsi="DIN OT Medium" w:cstheme="majorBidi"/>
      <w:color w:val="000000" w:themeColor="text1"/>
    </w:rPr>
  </w:style>
  <w:style w:type="paragraph" w:styleId="Heading6">
    <w:name w:val="heading 6"/>
    <w:basedOn w:val="Normal"/>
    <w:next w:val="Normal"/>
    <w:link w:val="Heading6Char"/>
    <w:uiPriority w:val="9"/>
    <w:semiHidden/>
    <w:qFormat/>
    <w:rsid w:val="00BB6983"/>
    <w:pPr>
      <w:keepNext/>
      <w:keepLines/>
      <w:spacing w:after="120" w:line="288" w:lineRule="auto"/>
      <w:outlineLvl w:val="5"/>
    </w:pPr>
    <w:rPr>
      <w:rFonts w:ascii="DIN Offc Medium" w:eastAsiaTheme="majorEastAsia" w:hAnsi="DIN Offc Medium" w:cstheme="majorBidi"/>
      <w:i/>
      <w:iCs/>
      <w:color w:val="012169" w:themeColor="text2"/>
    </w:rPr>
  </w:style>
  <w:style w:type="paragraph" w:styleId="Heading7">
    <w:name w:val="heading 7"/>
    <w:basedOn w:val="Normal"/>
    <w:next w:val="Normal"/>
    <w:link w:val="Heading7Char"/>
    <w:uiPriority w:val="9"/>
    <w:semiHidden/>
    <w:qFormat/>
    <w:rsid w:val="00BB6983"/>
    <w:pPr>
      <w:keepNext/>
      <w:keepLines/>
      <w:spacing w:after="120" w:line="288" w:lineRule="auto"/>
      <w:outlineLvl w:val="6"/>
    </w:pPr>
    <w:rPr>
      <w:rFonts w:ascii="DIN Offc Medium" w:eastAsiaTheme="majorEastAsia" w:hAnsi="DIN Offc Medium" w:cstheme="majorBidi"/>
      <w:i/>
      <w:iCs/>
      <w:color w:val="012169" w:themeColor="text2"/>
    </w:rPr>
  </w:style>
  <w:style w:type="paragraph" w:styleId="Heading8">
    <w:name w:val="heading 8"/>
    <w:basedOn w:val="Normal"/>
    <w:next w:val="Normal"/>
    <w:link w:val="Heading8Char"/>
    <w:uiPriority w:val="9"/>
    <w:semiHidden/>
    <w:qFormat/>
    <w:rsid w:val="00BB6983"/>
    <w:pPr>
      <w:keepNext/>
      <w:keepLines/>
      <w:spacing w:after="120" w:line="288" w:lineRule="auto"/>
      <w:outlineLvl w:val="7"/>
    </w:pPr>
    <w:rPr>
      <w:rFonts w:ascii="DIN Offc Medium" w:eastAsiaTheme="majorEastAsia" w:hAnsi="DIN Offc Medium" w:cstheme="majorBidi"/>
      <w:i/>
      <w:color w:val="012169" w:themeColor="text2"/>
    </w:rPr>
  </w:style>
  <w:style w:type="paragraph" w:styleId="Heading9">
    <w:name w:val="heading 9"/>
    <w:basedOn w:val="Normal"/>
    <w:next w:val="Normal"/>
    <w:link w:val="Heading9Char"/>
    <w:uiPriority w:val="9"/>
    <w:semiHidden/>
    <w:qFormat/>
    <w:rsid w:val="00BB6983"/>
    <w:pPr>
      <w:keepNext/>
      <w:keepLines/>
      <w:spacing w:after="120" w:line="288" w:lineRule="auto"/>
      <w:outlineLvl w:val="8"/>
    </w:pPr>
    <w:rPr>
      <w:rFonts w:ascii="DIN Offc Medium" w:eastAsiaTheme="majorEastAsia" w:hAnsi="DIN Offc Medium" w:cstheme="majorBidi"/>
      <w:i/>
      <w:iCs/>
      <w:color w:val="01216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437"/>
    <w:rPr>
      <w:rFonts w:ascii="DIN OT Medium" w:eastAsiaTheme="majorEastAsia" w:hAnsi="DIN OT Medium" w:cstheme="majorBidi"/>
      <w:bCs/>
      <w:color w:val="012169" w:themeColor="text2"/>
      <w:sz w:val="48"/>
      <w:szCs w:val="28"/>
    </w:rPr>
  </w:style>
  <w:style w:type="character" w:customStyle="1" w:styleId="Heading2Char">
    <w:name w:val="Heading 2 Char"/>
    <w:basedOn w:val="DefaultParagraphFont"/>
    <w:link w:val="Heading2"/>
    <w:uiPriority w:val="9"/>
    <w:rsid w:val="00F61362"/>
    <w:rPr>
      <w:rFonts w:ascii="DIN OT Medium" w:eastAsiaTheme="majorEastAsia" w:hAnsi="DIN OT Medium" w:cstheme="majorBidi"/>
      <w:bCs/>
      <w:color w:val="012169" w:themeColor="text2"/>
      <w:sz w:val="30"/>
      <w:szCs w:val="26"/>
    </w:rPr>
  </w:style>
  <w:style w:type="character" w:customStyle="1" w:styleId="Heading3Char">
    <w:name w:val="Heading 3 Char"/>
    <w:basedOn w:val="DefaultParagraphFont"/>
    <w:link w:val="Heading3"/>
    <w:uiPriority w:val="9"/>
    <w:rsid w:val="007568F8"/>
    <w:rPr>
      <w:rFonts w:ascii="DIN OT Medium" w:eastAsiaTheme="majorEastAsia" w:hAnsi="DIN OT Medium" w:cstheme="majorBidi"/>
      <w:bCs/>
      <w:color w:val="012169" w:themeColor="text2"/>
      <w:sz w:val="26"/>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AD393D"/>
    <w:pPr>
      <w:keepNext/>
      <w:keepLines/>
      <w:spacing w:before="240" w:after="120"/>
    </w:pPr>
    <w:rPr>
      <w:rFonts w:ascii="DIN OT Medium" w:hAnsi="DIN OT Medium"/>
      <w:color w:val="012169" w:themeColor="text2"/>
      <w:sz w:val="26"/>
    </w:rPr>
  </w:style>
  <w:style w:type="character" w:customStyle="1" w:styleId="Heading4Char">
    <w:name w:val="Heading 4 Char"/>
    <w:basedOn w:val="DefaultParagraphFont"/>
    <w:link w:val="Heading4"/>
    <w:uiPriority w:val="9"/>
    <w:rsid w:val="0016272E"/>
    <w:rPr>
      <w:rFonts w:ascii="DIN OT Medium" w:eastAsiaTheme="majorEastAsia" w:hAnsi="DIN OT Medium" w:cstheme="majorBidi"/>
      <w:bCs/>
      <w:i/>
      <w:iCs/>
      <w:color w:val="012169" w:themeColor="text2"/>
      <w:sz w:val="26"/>
    </w:rPr>
  </w:style>
  <w:style w:type="paragraph" w:styleId="ListBullet">
    <w:name w:val="List Bullet"/>
    <w:basedOn w:val="Normal"/>
    <w:uiPriority w:val="12"/>
    <w:qFormat/>
    <w:rsid w:val="00641EAA"/>
    <w:pPr>
      <w:tabs>
        <w:tab w:val="num" w:pos="425"/>
      </w:tabs>
      <w:ind w:left="425" w:hanging="425"/>
    </w:pPr>
  </w:style>
  <w:style w:type="paragraph" w:styleId="ListBullet2">
    <w:name w:val="List Bullet 2"/>
    <w:basedOn w:val="ListBullet"/>
    <w:uiPriority w:val="12"/>
    <w:qFormat/>
    <w:rsid w:val="00641EAA"/>
    <w:pPr>
      <w:tabs>
        <w:tab w:val="clear" w:pos="425"/>
        <w:tab w:val="num" w:pos="851"/>
      </w:tabs>
      <w:ind w:left="851" w:hanging="426"/>
    </w:pPr>
  </w:style>
  <w:style w:type="paragraph" w:styleId="ListNumber">
    <w:name w:val="List Number"/>
    <w:basedOn w:val="Normal"/>
    <w:uiPriority w:val="15"/>
    <w:qFormat/>
    <w:rsid w:val="00662E28"/>
    <w:pPr>
      <w:numPr>
        <w:numId w:val="6"/>
      </w:numPr>
    </w:pPr>
  </w:style>
  <w:style w:type="paragraph" w:styleId="ListNumber2">
    <w:name w:val="List Number 2"/>
    <w:basedOn w:val="Normal"/>
    <w:uiPriority w:val="16"/>
    <w:qFormat/>
    <w:rsid w:val="00662E28"/>
    <w:pPr>
      <w:numPr>
        <w:ilvl w:val="1"/>
        <w:numId w:val="6"/>
      </w:numPr>
    </w:pPr>
  </w:style>
  <w:style w:type="numbering" w:customStyle="1" w:styleId="HeadingList">
    <w:name w:val="Heading List"/>
    <w:uiPriority w:val="99"/>
    <w:rsid w:val="001241CB"/>
  </w:style>
  <w:style w:type="paragraph" w:styleId="ListNumber3">
    <w:name w:val="List Number 3"/>
    <w:basedOn w:val="Normal"/>
    <w:uiPriority w:val="16"/>
    <w:qFormat/>
    <w:rsid w:val="00662E28"/>
    <w:pPr>
      <w:numPr>
        <w:ilvl w:val="2"/>
        <w:numId w:val="6"/>
      </w:numPr>
    </w:pPr>
  </w:style>
  <w:style w:type="paragraph" w:styleId="Title">
    <w:name w:val="Title"/>
    <w:basedOn w:val="Normal"/>
    <w:next w:val="Normal"/>
    <w:link w:val="TitleChar"/>
    <w:uiPriority w:val="31"/>
    <w:rsid w:val="00DD5719"/>
    <w:pPr>
      <w:pBdr>
        <w:bottom w:val="single" w:sz="24" w:space="10" w:color="012169" w:themeColor="accent1"/>
      </w:pBdr>
      <w:spacing w:after="0" w:line="192" w:lineRule="auto"/>
      <w:ind w:right="567"/>
    </w:pPr>
    <w:rPr>
      <w:rFonts w:ascii="DIN OT Medium" w:eastAsiaTheme="majorEastAsia" w:hAnsi="DIN OT Medium" w:cstheme="majorBidi"/>
      <w:caps/>
      <w:color w:val="012169" w:themeColor="text2"/>
      <w:sz w:val="80"/>
      <w:szCs w:val="52"/>
    </w:rPr>
  </w:style>
  <w:style w:type="character" w:customStyle="1" w:styleId="TitleChar">
    <w:name w:val="Title Char"/>
    <w:basedOn w:val="DefaultParagraphFont"/>
    <w:link w:val="Title"/>
    <w:uiPriority w:val="31"/>
    <w:rsid w:val="000E3427"/>
    <w:rPr>
      <w:rFonts w:ascii="DIN OT Medium" w:eastAsiaTheme="majorEastAsia" w:hAnsi="DIN OT Medium" w:cstheme="majorBidi"/>
      <w:caps/>
      <w:color w:val="012169" w:themeColor="text2"/>
      <w:sz w:val="80"/>
      <w:szCs w:val="52"/>
    </w:rPr>
  </w:style>
  <w:style w:type="numbering" w:styleId="111111">
    <w:name w:val="Outline List 2"/>
    <w:basedOn w:val="NoList"/>
    <w:uiPriority w:val="99"/>
    <w:semiHidden/>
    <w:unhideWhenUsed/>
    <w:locked/>
    <w:rsid w:val="00466648"/>
    <w:pPr>
      <w:numPr>
        <w:numId w:val="14"/>
      </w:numPr>
    </w:pPr>
  </w:style>
  <w:style w:type="paragraph" w:styleId="TOC1">
    <w:name w:val="toc 1"/>
    <w:basedOn w:val="Normal"/>
    <w:next w:val="Normal"/>
    <w:autoRedefine/>
    <w:uiPriority w:val="39"/>
    <w:unhideWhenUsed/>
    <w:rsid w:val="00913E11"/>
    <w:pPr>
      <w:tabs>
        <w:tab w:val="right" w:pos="9027"/>
      </w:tabs>
    </w:pPr>
    <w:rPr>
      <w:rFonts w:ascii="DIN OT Medium" w:hAnsi="DIN OT Medium"/>
    </w:rPr>
  </w:style>
  <w:style w:type="paragraph" w:styleId="TOCHeading">
    <w:name w:val="TOC Heading"/>
    <w:basedOn w:val="Heading1"/>
    <w:next w:val="Normal"/>
    <w:uiPriority w:val="39"/>
    <w:unhideWhenUsed/>
    <w:qFormat/>
    <w:rsid w:val="00616C90"/>
    <w:pPr>
      <w:outlineLvl w:val="9"/>
    </w:pPr>
  </w:style>
  <w:style w:type="paragraph" w:styleId="Footer">
    <w:name w:val="footer"/>
    <w:basedOn w:val="Normal"/>
    <w:link w:val="FooterChar"/>
    <w:uiPriority w:val="99"/>
    <w:rsid w:val="00EE70EE"/>
    <w:pPr>
      <w:tabs>
        <w:tab w:val="right" w:pos="9639"/>
      </w:tabs>
      <w:spacing w:after="0" w:line="200" w:lineRule="exact"/>
      <w:contextualSpacing/>
    </w:pPr>
    <w:rPr>
      <w:caps/>
      <w:sz w:val="16"/>
    </w:rPr>
  </w:style>
  <w:style w:type="character" w:customStyle="1" w:styleId="FooterChar">
    <w:name w:val="Footer Char"/>
    <w:basedOn w:val="DefaultParagraphFont"/>
    <w:link w:val="Footer"/>
    <w:uiPriority w:val="99"/>
    <w:rsid w:val="00EE70EE"/>
    <w:rPr>
      <w:rFonts w:ascii="DIN OT Light" w:hAnsi="DIN OT Light"/>
      <w:caps/>
      <w:sz w:val="16"/>
    </w:rPr>
  </w:style>
  <w:style w:type="paragraph" w:styleId="ListBullet3">
    <w:name w:val="List Bullet 3"/>
    <w:basedOn w:val="Normal"/>
    <w:uiPriority w:val="12"/>
    <w:qFormat/>
    <w:rsid w:val="00641EAA"/>
    <w:pPr>
      <w:tabs>
        <w:tab w:val="num" w:pos="1276"/>
      </w:tabs>
      <w:ind w:left="1276" w:hanging="425"/>
    </w:pPr>
  </w:style>
  <w:style w:type="table" w:styleId="TableGrid">
    <w:name w:val="Table Grid"/>
    <w:basedOn w:val="TableNormal"/>
    <w:uiPriority w:val="39"/>
    <w:rsid w:val="00B20DFD"/>
    <w:pPr>
      <w:spacing w:before="60" w:after="60"/>
    </w:pPr>
    <w:rPr>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rFonts w:ascii="DIN Offc Medium" w:hAnsi="DIN Offc Medium"/>
        <w:b w:val="0"/>
        <w:color w:val="FFFFFF" w:themeColor="background1"/>
      </w:rPr>
      <w:tblPr/>
      <w:trPr>
        <w:cantSplit/>
        <w:tblHeader/>
      </w:trPr>
      <w:tcPr>
        <w:shd w:val="clear" w:color="auto" w:fill="012169" w:themeFill="accent1"/>
      </w:tcPr>
    </w:tblStylePr>
    <w:tblStylePr w:type="lastRow">
      <w:rPr>
        <w:rFonts w:ascii="DIN Offc Medium" w:hAnsi="DIN Offc Medium"/>
        <w:b w:val="0"/>
      </w:rPr>
      <w:tblPr/>
      <w:tcPr>
        <w:shd w:val="clear" w:color="auto" w:fill="EAECEE" w:themeFill="accent4" w:themeFillTint="33"/>
      </w:tcPr>
    </w:tblStylePr>
    <w:tblStylePr w:type="firstCol">
      <w:rPr>
        <w:rFonts w:ascii="DIN Offc Medium" w:hAnsi="DIN Offc Medium"/>
        <w:b w:val="0"/>
        <w:color w:val="auto"/>
      </w:rPr>
    </w:tblStylePr>
    <w:tblStylePr w:type="lastCol">
      <w:pPr>
        <w:jc w:val="right"/>
      </w:pPr>
      <w:rPr>
        <w:rFonts w:ascii="DIN Offc Medium" w:hAnsi="DIN Offc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27194D"/>
    <w:pPr>
      <w:tabs>
        <w:tab w:val="left" w:pos="1134"/>
      </w:tabs>
      <w:spacing w:before="240" w:after="120"/>
    </w:pPr>
    <w:rPr>
      <w:rFonts w:ascii="DIN OT Medium" w:hAnsi="DIN OT Medium"/>
      <w:bCs/>
      <w:i/>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rFonts w:ascii="DIN OT Light" w:hAnsi="DIN OT Light"/>
    </w:rPr>
  </w:style>
  <w:style w:type="paragraph" w:styleId="BodyText2">
    <w:name w:val="Body Text 2"/>
    <w:basedOn w:val="Normal"/>
    <w:link w:val="BodyText2Char"/>
    <w:uiPriority w:val="99"/>
    <w:unhideWhenUsed/>
    <w:qFormat/>
    <w:locked/>
    <w:rsid w:val="00F80750"/>
    <w:pPr>
      <w:spacing w:line="480" w:lineRule="auto"/>
    </w:pPr>
  </w:style>
  <w:style w:type="character" w:customStyle="1" w:styleId="BodyText2Char">
    <w:name w:val="Body Text 2 Char"/>
    <w:basedOn w:val="DefaultParagraphFont"/>
    <w:link w:val="BodyText2"/>
    <w:uiPriority w:val="99"/>
    <w:rsid w:val="00F80750"/>
    <w:rPr>
      <w:rFonts w:ascii="DIN OT Light" w:hAnsi="DIN OT Light"/>
    </w:rPr>
  </w:style>
  <w:style w:type="paragraph" w:styleId="BodyText3">
    <w:name w:val="Body Text 3"/>
    <w:basedOn w:val="Normal"/>
    <w:link w:val="BodyText3Char"/>
    <w:uiPriority w:val="99"/>
    <w:unhideWhenUsed/>
    <w:qFormat/>
    <w:locked/>
    <w:rsid w:val="00F80750"/>
    <w:rPr>
      <w:sz w:val="16"/>
      <w:szCs w:val="16"/>
    </w:rPr>
  </w:style>
  <w:style w:type="character" w:customStyle="1" w:styleId="BodyText3Char">
    <w:name w:val="Body Text 3 Char"/>
    <w:basedOn w:val="DefaultParagraphFont"/>
    <w:link w:val="BodyText3"/>
    <w:uiPriority w:val="99"/>
    <w:semiHidden/>
    <w:rsid w:val="00F80750"/>
    <w:rPr>
      <w:rFonts w:ascii="DIN OT Light" w:hAnsi="DIN OT Light"/>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rFonts w:ascii="DIN OT Light" w:hAnsi="DIN OT Light"/>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rFonts w:ascii="DIN OT Light" w:hAnsi="DIN OT Light"/>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rFonts w:ascii="DIN OT Light" w:hAnsi="DIN OT Light"/>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rFonts w:ascii="DIN OT Light" w:hAnsi="DIN OT Light"/>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rFonts w:ascii="DIN OT Light" w:hAnsi="DIN OT Light"/>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rFonts w:ascii="DIN OT Light" w:hAnsi="DIN OT Light"/>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rFonts w:ascii="DIN OT Light" w:hAnsi="DIN OT Light"/>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rFonts w:ascii="DIN OT Light" w:hAnsi="DIN OT Light"/>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29"/>
    <w:qFormat/>
    <w:locked/>
    <w:rsid w:val="003B51A4"/>
    <w:pPr>
      <w:spacing w:after="840"/>
      <w:contextualSpacing/>
    </w:pPr>
  </w:style>
  <w:style w:type="character" w:customStyle="1" w:styleId="DateChar">
    <w:name w:val="Date Char"/>
    <w:basedOn w:val="DefaultParagraphFont"/>
    <w:link w:val="Date"/>
    <w:uiPriority w:val="29"/>
    <w:rsid w:val="003B51A4"/>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rFonts w:ascii="DIN OT Light" w:hAnsi="DIN OT Light"/>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16272E"/>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16272E"/>
    <w:rPr>
      <w:sz w:val="18"/>
    </w:rPr>
  </w:style>
  <w:style w:type="character" w:customStyle="1" w:styleId="Heading5Char">
    <w:name w:val="Heading 5 Char"/>
    <w:basedOn w:val="DefaultParagraphFont"/>
    <w:link w:val="Heading5"/>
    <w:uiPriority w:val="9"/>
    <w:rsid w:val="006C6C47"/>
    <w:rPr>
      <w:rFonts w:ascii="DIN OT Medium" w:eastAsiaTheme="majorEastAsia" w:hAnsi="DIN OT Medium" w:cstheme="majorBidi"/>
      <w:color w:val="000000" w:themeColor="text1"/>
    </w:rPr>
  </w:style>
  <w:style w:type="character" w:customStyle="1" w:styleId="Heading6Char">
    <w:name w:val="Heading 6 Char"/>
    <w:basedOn w:val="DefaultParagraphFont"/>
    <w:link w:val="Heading6"/>
    <w:uiPriority w:val="9"/>
    <w:semiHidden/>
    <w:rsid w:val="00283DF4"/>
    <w:rPr>
      <w:rFonts w:ascii="DIN Offc Medium" w:eastAsiaTheme="majorEastAsia" w:hAnsi="DIN Offc Medium" w:cstheme="majorBidi"/>
      <w:i/>
      <w:iCs/>
      <w:color w:val="012169" w:themeColor="text2"/>
    </w:rPr>
  </w:style>
  <w:style w:type="character" w:customStyle="1" w:styleId="Heading7Char">
    <w:name w:val="Heading 7 Char"/>
    <w:basedOn w:val="DefaultParagraphFont"/>
    <w:link w:val="Heading7"/>
    <w:uiPriority w:val="9"/>
    <w:semiHidden/>
    <w:rsid w:val="00283DF4"/>
    <w:rPr>
      <w:rFonts w:ascii="DIN Offc Medium" w:eastAsiaTheme="majorEastAsia" w:hAnsi="DIN Offc Medium" w:cstheme="majorBidi"/>
      <w:i/>
      <w:iCs/>
      <w:color w:val="012169" w:themeColor="text2"/>
    </w:rPr>
  </w:style>
  <w:style w:type="character" w:customStyle="1" w:styleId="Heading8Char">
    <w:name w:val="Heading 8 Char"/>
    <w:basedOn w:val="DefaultParagraphFont"/>
    <w:link w:val="Heading8"/>
    <w:uiPriority w:val="9"/>
    <w:semiHidden/>
    <w:rsid w:val="00283DF4"/>
    <w:rPr>
      <w:rFonts w:ascii="DIN Offc Medium" w:eastAsiaTheme="majorEastAsia" w:hAnsi="DIN Offc Medium" w:cstheme="majorBidi"/>
      <w:i/>
      <w:color w:val="012169" w:themeColor="text2"/>
    </w:rPr>
  </w:style>
  <w:style w:type="character" w:customStyle="1" w:styleId="Heading9Char">
    <w:name w:val="Heading 9 Char"/>
    <w:basedOn w:val="DefaultParagraphFont"/>
    <w:link w:val="Heading9"/>
    <w:uiPriority w:val="9"/>
    <w:semiHidden/>
    <w:rsid w:val="00283DF4"/>
    <w:rPr>
      <w:rFonts w:ascii="DIN Offc Medium" w:eastAsiaTheme="majorEastAsia" w:hAnsi="DIN Offc Medium" w:cstheme="majorBidi"/>
      <w:i/>
      <w:iCs/>
      <w:color w:val="012169" w:themeColor="text2"/>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rFonts w:ascii="DIN OT Light" w:hAnsi="DIN OT Light"/>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rFonts w:ascii="DIN OT Light" w:hAnsi="DIN OT Light"/>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tabs>
        <w:tab w:val="num" w:pos="425"/>
      </w:tabs>
      <w:ind w:left="425" w:hanging="425"/>
    </w:pPr>
  </w:style>
  <w:style w:type="paragraph" w:styleId="List2">
    <w:name w:val="List 2"/>
    <w:basedOn w:val="Normal"/>
    <w:uiPriority w:val="17"/>
    <w:qFormat/>
    <w:rsid w:val="00A8129D"/>
    <w:pPr>
      <w:tabs>
        <w:tab w:val="num" w:pos="851"/>
      </w:tabs>
      <w:ind w:left="851" w:hanging="426"/>
    </w:pPr>
  </w:style>
  <w:style w:type="paragraph" w:styleId="List3">
    <w:name w:val="List 3"/>
    <w:basedOn w:val="Normal"/>
    <w:uiPriority w:val="17"/>
    <w:qFormat/>
    <w:rsid w:val="00A8129D"/>
    <w:pPr>
      <w:tabs>
        <w:tab w:val="num" w:pos="1276"/>
      </w:tabs>
      <w:ind w:left="1276" w:hanging="425"/>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link w:val="ListParagraphChar"/>
    <w:uiPriority w:val="34"/>
    <w:qFormat/>
    <w:rsid w:val="00BB7EB9"/>
    <w:pPr>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E910A2"/>
    <w:rPr>
      <w:rFonts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rFonts w:ascii="DIN OT Light" w:hAnsi="DIN OT Light"/>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945635"/>
    <w:pPr>
      <w:ind w:left="425" w:right="425"/>
    </w:pPr>
    <w:rPr>
      <w:i/>
      <w:iCs/>
    </w:rPr>
  </w:style>
  <w:style w:type="character" w:customStyle="1" w:styleId="QuoteChar">
    <w:name w:val="Quote Char"/>
    <w:basedOn w:val="DefaultParagraphFont"/>
    <w:link w:val="Quote"/>
    <w:uiPriority w:val="19"/>
    <w:rsid w:val="00945635"/>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rFonts w:ascii="DIN OT Light" w:hAnsi="DIN OT Light"/>
    </w:rPr>
  </w:style>
  <w:style w:type="paragraph" w:styleId="Signature">
    <w:name w:val="Signature"/>
    <w:basedOn w:val="Normal"/>
    <w:link w:val="SignatureChar"/>
    <w:uiPriority w:val="29"/>
    <w:semiHidden/>
    <w:locked/>
    <w:rsid w:val="00F00470"/>
    <w:pPr>
      <w:contextualSpacing/>
    </w:pPr>
  </w:style>
  <w:style w:type="character" w:customStyle="1" w:styleId="SignatureChar">
    <w:name w:val="Signature Char"/>
    <w:basedOn w:val="DefaultParagraphFont"/>
    <w:link w:val="Signature"/>
    <w:uiPriority w:val="29"/>
    <w:semiHidden/>
    <w:rsid w:val="00E910A2"/>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FC398C"/>
    <w:pPr>
      <w:tabs>
        <w:tab w:val="left" w:pos="851"/>
        <w:tab w:val="right" w:pos="9027"/>
      </w:tabs>
      <w:ind w:left="850" w:hanging="737"/>
    </w:pPr>
  </w:style>
  <w:style w:type="paragraph" w:styleId="TOC3">
    <w:name w:val="toc 3"/>
    <w:basedOn w:val="Normal"/>
    <w:next w:val="Normal"/>
    <w:autoRedefine/>
    <w:uiPriority w:val="39"/>
    <w:rsid w:val="00AD393D"/>
    <w:pPr>
      <w:tabs>
        <w:tab w:val="left" w:pos="851"/>
        <w:tab w:val="right" w:pos="9038"/>
      </w:tabs>
      <w:ind w:left="1702" w:hanging="851"/>
    </w:pPr>
  </w:style>
  <w:style w:type="paragraph" w:styleId="TOC4">
    <w:name w:val="toc 4"/>
    <w:basedOn w:val="Normal"/>
    <w:next w:val="Normal"/>
    <w:autoRedefine/>
    <w:uiPriority w:val="39"/>
    <w:rsid w:val="00AD393D"/>
    <w:pPr>
      <w:tabs>
        <w:tab w:val="right" w:pos="9027"/>
      </w:tabs>
    </w:pPr>
    <w:rPr>
      <w:rFonts w:ascii="DIN OT Medium" w:hAnsi="DIN OT Medium"/>
    </w:rPr>
  </w:style>
  <w:style w:type="paragraph" w:styleId="TOC5">
    <w:name w:val="toc 5"/>
    <w:basedOn w:val="Normal"/>
    <w:next w:val="Normal"/>
    <w:autoRedefine/>
    <w:uiPriority w:val="39"/>
    <w:rsid w:val="00FC398C"/>
    <w:pPr>
      <w:tabs>
        <w:tab w:val="left" w:pos="851"/>
        <w:tab w:val="right" w:pos="9027"/>
      </w:tabs>
      <w:ind w:left="113"/>
    </w:pPr>
  </w:style>
  <w:style w:type="paragraph" w:styleId="TOC6">
    <w:name w:val="toc 6"/>
    <w:basedOn w:val="Normal"/>
    <w:next w:val="Normal"/>
    <w:autoRedefine/>
    <w:uiPriority w:val="39"/>
    <w:rsid w:val="00EE70EE"/>
    <w:pPr>
      <w:tabs>
        <w:tab w:val="left" w:pos="851"/>
        <w:tab w:val="right" w:pos="9027"/>
      </w:tabs>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144295"/>
  </w:style>
  <w:style w:type="numbering" w:customStyle="1" w:styleId="BulletList">
    <w:name w:val="Bullet List"/>
    <w:uiPriority w:val="99"/>
    <w:rsid w:val="00641EAA"/>
    <w:pPr>
      <w:numPr>
        <w:numId w:val="5"/>
      </w:numPr>
    </w:pPr>
  </w:style>
  <w:style w:type="paragraph" w:customStyle="1" w:styleId="PaperTitle">
    <w:name w:val="Paper Title"/>
    <w:next w:val="CoverDate"/>
    <w:uiPriority w:val="31"/>
    <w:rsid w:val="007E7F27"/>
    <w:pPr>
      <w:spacing w:before="2760"/>
      <w:contextualSpacing/>
    </w:pPr>
    <w:rPr>
      <w:rFonts w:ascii="DIN OT Medium" w:eastAsiaTheme="majorEastAsia" w:hAnsi="DIN OT Medium" w:cstheme="majorBidi"/>
      <w:color w:val="012169" w:themeColor="text2"/>
      <w:sz w:val="44"/>
      <w:szCs w:val="52"/>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ttachmentHeading">
    <w:name w:val="Attachment Heading"/>
    <w:basedOn w:val="Heading1"/>
    <w:next w:val="Normal"/>
    <w:uiPriority w:val="10"/>
    <w:qFormat/>
    <w:rsid w:val="003A2733"/>
    <w:pPr>
      <w:numPr>
        <w:numId w:val="7"/>
      </w:numPr>
    </w:pPr>
  </w:style>
  <w:style w:type="paragraph" w:customStyle="1" w:styleId="AttachmentSubHeading">
    <w:name w:val="Attachment Sub Heading"/>
    <w:basedOn w:val="Heading2"/>
    <w:next w:val="Normal"/>
    <w:uiPriority w:val="10"/>
    <w:qFormat/>
    <w:rsid w:val="003A2733"/>
  </w:style>
  <w:style w:type="paragraph" w:customStyle="1" w:styleId="Heading1Numbers">
    <w:name w:val="Heading 1 Numbers"/>
    <w:basedOn w:val="Heading1"/>
    <w:next w:val="Normal"/>
    <w:uiPriority w:val="9"/>
    <w:qFormat/>
    <w:rsid w:val="00BA627A"/>
  </w:style>
  <w:style w:type="paragraph" w:customStyle="1" w:styleId="Heading2Numbers">
    <w:name w:val="Heading 2 Numbers"/>
    <w:basedOn w:val="Heading2"/>
    <w:next w:val="Normal"/>
    <w:uiPriority w:val="9"/>
    <w:qFormat/>
    <w:rsid w:val="00AD393D"/>
    <w:pPr>
      <w:tabs>
        <w:tab w:val="num" w:pos="2268"/>
      </w:tabs>
      <w:ind w:left="851" w:hanging="851"/>
    </w:pPr>
    <w:rPr>
      <w:bCs w:val="0"/>
    </w:rPr>
  </w:style>
  <w:style w:type="paragraph" w:customStyle="1" w:styleId="Heading3Numbers">
    <w:name w:val="Heading 3 Numbers"/>
    <w:basedOn w:val="Heading3"/>
    <w:next w:val="Normal"/>
    <w:uiPriority w:val="9"/>
    <w:qFormat/>
    <w:rsid w:val="00BA627A"/>
    <w:pPr>
      <w:tabs>
        <w:tab w:val="num" w:pos="1276"/>
      </w:tabs>
      <w:ind w:left="851" w:hanging="851"/>
    </w:pPr>
  </w:style>
  <w:style w:type="paragraph" w:customStyle="1" w:styleId="Heading4NoNumber">
    <w:name w:val="Heading 4 No Number"/>
    <w:basedOn w:val="Heading4"/>
    <w:uiPriority w:val="9"/>
    <w:semiHidden/>
    <w:qFormat/>
    <w:rsid w:val="00BA627A"/>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semiHidden/>
    <w:qFormat/>
    <w:rsid w:val="00E910A2"/>
    <w:rPr>
      <w:rFonts w:ascii="DIN Offc Medium" w:hAnsi="DIN Offc Medium"/>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uiPriority w:val="31"/>
    <w:rsid w:val="005113A6"/>
    <w:rPr>
      <w:rFonts w:ascii="DIN OT Medium" w:eastAsiaTheme="majorEastAsia" w:hAnsi="DIN OT Medium" w:cstheme="majorBidi"/>
      <w:color w:val="00A9E0" w:themeColor="background2"/>
      <w:sz w:val="24"/>
      <w:szCs w:val="52"/>
    </w:rPr>
  </w:style>
  <w:style w:type="paragraph" w:customStyle="1" w:styleId="Address">
    <w:name w:val="Address"/>
    <w:basedOn w:val="Normal"/>
    <w:uiPriority w:val="29"/>
    <w:qFormat/>
    <w:rsid w:val="00E910A2"/>
    <w:pPr>
      <w:spacing w:after="840"/>
      <w:contextualSpacing/>
    </w:pPr>
  </w:style>
  <w:style w:type="paragraph" w:customStyle="1" w:styleId="Sincerely">
    <w:name w:val="Sincerely"/>
    <w:basedOn w:val="Normal"/>
    <w:uiPriority w:val="29"/>
    <w:qFormat/>
    <w:rsid w:val="00E910A2"/>
    <w:pPr>
      <w:spacing w:before="720" w:after="600"/>
    </w:pPr>
  </w:style>
  <w:style w:type="paragraph" w:customStyle="1" w:styleId="Subject">
    <w:name w:val="Subject"/>
    <w:basedOn w:val="Normal"/>
    <w:uiPriority w:val="29"/>
    <w:qFormat/>
    <w:rsid w:val="00EE70EE"/>
    <w:pPr>
      <w:spacing w:before="480" w:after="480"/>
    </w:pPr>
    <w:rPr>
      <w:rFonts w:ascii="DIN OT Medium" w:hAnsi="DIN OT Medium"/>
    </w:rPr>
  </w:style>
  <w:style w:type="table" w:customStyle="1" w:styleId="TableOption2">
    <w:name w:val="Table Option 2"/>
    <w:basedOn w:val="TableGrid"/>
    <w:uiPriority w:val="99"/>
    <w:rsid w:val="00B20DFD"/>
    <w:tblPr/>
    <w:tcPr>
      <w:shd w:val="clear" w:color="auto" w:fill="EAECEE" w:themeFill="accent4" w:themeFillTint="33"/>
    </w:tcPr>
    <w:tblStylePr w:type="firstRow">
      <w:rPr>
        <w:rFonts w:ascii="DIN Offc Medium" w:hAnsi="DIN Offc Medium"/>
        <w:b w:val="0"/>
        <w:color w:val="FFFFFF" w:themeColor="background1"/>
      </w:rPr>
      <w:tblPr/>
      <w:trPr>
        <w:cantSplit/>
        <w:tblHeader/>
      </w:trPr>
      <w:tcPr>
        <w:shd w:val="clear" w:color="auto" w:fill="012169" w:themeFill="accent1"/>
      </w:tcPr>
    </w:tblStylePr>
    <w:tblStylePr w:type="lastRow">
      <w:rPr>
        <w:rFonts w:ascii="DIN Offc Medium" w:hAnsi="DIN Offc Medium"/>
        <w:b w:val="0"/>
      </w:rPr>
      <w:tblPr/>
      <w:tcPr>
        <w:shd w:val="clear" w:color="auto" w:fill="EAECEE" w:themeFill="accent4" w:themeFillTint="33"/>
      </w:tcPr>
    </w:tblStylePr>
    <w:tblStylePr w:type="firstCol">
      <w:rPr>
        <w:rFonts w:ascii="DIN Offc Medium" w:hAnsi="DIN Offc Medium"/>
        <w:b w:val="0"/>
        <w:color w:val="auto"/>
      </w:rPr>
      <w:tblPr/>
      <w:tcPr>
        <w:shd w:val="clear" w:color="auto" w:fill="012169" w:themeFill="accent1"/>
      </w:tcPr>
    </w:tblStylePr>
    <w:tblStylePr w:type="lastCol">
      <w:pPr>
        <w:jc w:val="right"/>
      </w:pPr>
      <w:rPr>
        <w:rFonts w:ascii="DIN Offc Medium" w:hAnsi="DIN Offc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0B74CA"/>
    <w:pPr>
      <w:keepNext/>
      <w:spacing w:before="240" w:after="120"/>
    </w:pPr>
    <w:rPr>
      <w:rFonts w:ascii="DIN OT Medium" w:hAnsi="DIN OT Medium"/>
    </w:rPr>
  </w:style>
  <w:style w:type="paragraph" w:customStyle="1" w:styleId="NameTitleDivision">
    <w:name w:val="Name/Title/Division"/>
    <w:basedOn w:val="Normal"/>
    <w:uiPriority w:val="18"/>
    <w:qFormat/>
    <w:rsid w:val="000573E5"/>
    <w:pPr>
      <w:contextualSpacing/>
    </w:pPr>
    <w:rPr>
      <w:i/>
    </w:rPr>
  </w:style>
  <w:style w:type="paragraph" w:customStyle="1" w:styleId="DisclaimerHeading">
    <w:name w:val="Disclaimer Heading"/>
    <w:basedOn w:val="Normal"/>
    <w:next w:val="Normal"/>
    <w:uiPriority w:val="32"/>
    <w:rsid w:val="00EE70EE"/>
    <w:pPr>
      <w:framePr w:w="9027" w:wrap="around" w:hAnchor="text" w:yAlign="bottom"/>
      <w:pBdr>
        <w:top w:val="single" w:sz="48" w:space="1" w:color="D9D9D9" w:themeColor="background1" w:themeShade="D9"/>
        <w:left w:val="single" w:sz="24" w:space="4" w:color="D9D9D9" w:themeColor="background1" w:themeShade="D9"/>
        <w:bottom w:val="single" w:sz="48" w:space="1" w:color="D9D9D9" w:themeColor="background1" w:themeShade="D9"/>
        <w:right w:val="single" w:sz="24" w:space="4" w:color="D9D9D9" w:themeColor="background1" w:themeShade="D9"/>
      </w:pBdr>
      <w:shd w:val="clear" w:color="auto" w:fill="D9D9D9" w:themeFill="background1" w:themeFillShade="D9"/>
      <w:spacing w:before="240"/>
      <w:ind w:left="170" w:right="170"/>
    </w:pPr>
    <w:rPr>
      <w:rFonts w:ascii="DIN OT Medium" w:hAnsi="DIN OT Medium"/>
      <w:sz w:val="28"/>
    </w:rPr>
  </w:style>
  <w:style w:type="paragraph" w:customStyle="1" w:styleId="DisclaimerText">
    <w:name w:val="Disclaimer Text"/>
    <w:basedOn w:val="DisclaimerHeading"/>
    <w:uiPriority w:val="32"/>
    <w:rsid w:val="00EE70EE"/>
    <w:pPr>
      <w:framePr w:wrap="around"/>
    </w:pPr>
    <w:rPr>
      <w:rFonts w:ascii="DIN OT Light" w:hAnsi="DIN OT Light"/>
      <w:sz w:val="22"/>
    </w:rPr>
  </w:style>
  <w:style w:type="character" w:customStyle="1" w:styleId="BoldCharacterDINOTMedium">
    <w:name w:val="Bold Character (DIN OT Medium)"/>
    <w:basedOn w:val="DefaultParagraphFont"/>
    <w:uiPriority w:val="10"/>
    <w:qFormat/>
    <w:rsid w:val="00484BF5"/>
    <w:rPr>
      <w:rFonts w:ascii="DIN OT Medium" w:hAnsi="DIN OT Medium"/>
    </w:rPr>
  </w:style>
  <w:style w:type="paragraph" w:customStyle="1" w:styleId="CoverLine">
    <w:name w:val="Cover Line"/>
    <w:basedOn w:val="Normal"/>
    <w:uiPriority w:val="31"/>
    <w:qFormat/>
    <w:rsid w:val="008B2BF9"/>
    <w:pPr>
      <w:pBdr>
        <w:bottom w:val="single" w:sz="24" w:space="10" w:color="00A9E0" w:themeColor="accent2"/>
      </w:pBdr>
      <w:spacing w:before="2170" w:after="0" w:line="192" w:lineRule="auto"/>
      <w:ind w:left="-1440" w:firstLine="1021"/>
    </w:pPr>
    <w:rPr>
      <w:rFonts w:ascii="DIN OT Medium" w:hAnsi="DIN OT Medium"/>
      <w:caps/>
      <w:color w:val="FFFFFF" w:themeColor="background1"/>
      <w:sz w:val="80"/>
    </w:rPr>
  </w:style>
  <w:style w:type="table" w:customStyle="1" w:styleId="Style1">
    <w:name w:val="Style1"/>
    <w:basedOn w:val="TableNormal"/>
    <w:uiPriority w:val="99"/>
    <w:rsid w:val="00362355"/>
    <w:pPr>
      <w:spacing w:after="0"/>
    </w:pPr>
    <w:rPr>
      <w:sz w:val="20"/>
    </w:rPr>
    <w:tblPr/>
  </w:style>
  <w:style w:type="table" w:styleId="GridTable7Colorful-Accent6">
    <w:name w:val="Grid Table 7 Colorful Accent 6"/>
    <w:basedOn w:val="TableNormal"/>
    <w:uiPriority w:val="52"/>
    <w:locked/>
    <w:rsid w:val="005971F3"/>
    <w:pPr>
      <w:spacing w:after="0"/>
    </w:pPr>
    <w:rPr>
      <w:color w:val="26A6DC" w:themeColor="accent6" w:themeShade="BF"/>
    </w:rPr>
    <w:tblPr>
      <w:tblStyleRowBandSize w:val="1"/>
      <w:tblStyleColBandSize w:val="1"/>
      <w:tblBorders>
        <w:top w:val="single" w:sz="4" w:space="0" w:color="A9DCF1" w:themeColor="accent6" w:themeTint="99"/>
        <w:left w:val="single" w:sz="4" w:space="0" w:color="A9DCF1" w:themeColor="accent6" w:themeTint="99"/>
        <w:bottom w:val="single" w:sz="4" w:space="0" w:color="A9DCF1" w:themeColor="accent6" w:themeTint="99"/>
        <w:right w:val="single" w:sz="4" w:space="0" w:color="A9DCF1" w:themeColor="accent6" w:themeTint="99"/>
        <w:insideH w:val="single" w:sz="4" w:space="0" w:color="A9DCF1" w:themeColor="accent6" w:themeTint="99"/>
        <w:insideV w:val="single" w:sz="4" w:space="0" w:color="A9DC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6" w:themeFillTint="33"/>
      </w:tcPr>
    </w:tblStylePr>
    <w:tblStylePr w:type="band1Horz">
      <w:tblPr/>
      <w:tcPr>
        <w:shd w:val="clear" w:color="auto" w:fill="E2F3FA" w:themeFill="accent6" w:themeFillTint="33"/>
      </w:tcPr>
    </w:tblStylePr>
    <w:tblStylePr w:type="neCell">
      <w:tblPr/>
      <w:tcPr>
        <w:tcBorders>
          <w:bottom w:val="single" w:sz="4" w:space="0" w:color="A9DCF1" w:themeColor="accent6" w:themeTint="99"/>
        </w:tcBorders>
      </w:tcPr>
    </w:tblStylePr>
    <w:tblStylePr w:type="nwCell">
      <w:tblPr/>
      <w:tcPr>
        <w:tcBorders>
          <w:bottom w:val="single" w:sz="4" w:space="0" w:color="A9DCF1" w:themeColor="accent6" w:themeTint="99"/>
        </w:tcBorders>
      </w:tcPr>
    </w:tblStylePr>
    <w:tblStylePr w:type="seCell">
      <w:tblPr/>
      <w:tcPr>
        <w:tcBorders>
          <w:top w:val="single" w:sz="4" w:space="0" w:color="A9DCF1" w:themeColor="accent6" w:themeTint="99"/>
        </w:tcBorders>
      </w:tcPr>
    </w:tblStylePr>
    <w:tblStylePr w:type="swCell">
      <w:tblPr/>
      <w:tcPr>
        <w:tcBorders>
          <w:top w:val="single" w:sz="4" w:space="0" w:color="A9DCF1" w:themeColor="accent6" w:themeTint="99"/>
        </w:tcBorders>
      </w:tcPr>
    </w:tblStylePr>
  </w:style>
  <w:style w:type="character" w:customStyle="1" w:styleId="LightCharacterDINOTLight">
    <w:name w:val="Light Character (DIN OT Light)"/>
    <w:basedOn w:val="DefaultParagraphFont"/>
    <w:uiPriority w:val="10"/>
    <w:qFormat/>
    <w:rsid w:val="00DB34F0"/>
    <w:rPr>
      <w:rFonts w:ascii="DIN OT Light" w:hAnsi="DIN OT Light"/>
    </w:rPr>
  </w:style>
  <w:style w:type="table" w:styleId="GridTable4-Accent3">
    <w:name w:val="Grid Table 4 Accent 3"/>
    <w:basedOn w:val="TableNormal"/>
    <w:uiPriority w:val="49"/>
    <w:locked/>
    <w:rsid w:val="00DD01CB"/>
    <w:pPr>
      <w:spacing w:after="0"/>
    </w:pPr>
    <w:tblPr>
      <w:tblStyleRowBandSize w:val="1"/>
      <w:tblStyleColBandSize w:val="1"/>
      <w:tblBorders>
        <w:top w:val="single" w:sz="4" w:space="0" w:color="48ADFF" w:themeColor="accent3" w:themeTint="99"/>
        <w:left w:val="single" w:sz="4" w:space="0" w:color="48ADFF" w:themeColor="accent3" w:themeTint="99"/>
        <w:bottom w:val="single" w:sz="4" w:space="0" w:color="48ADFF" w:themeColor="accent3" w:themeTint="99"/>
        <w:right w:val="single" w:sz="4" w:space="0" w:color="48ADFF" w:themeColor="accent3" w:themeTint="99"/>
        <w:insideH w:val="single" w:sz="4" w:space="0" w:color="48ADFF" w:themeColor="accent3" w:themeTint="99"/>
        <w:insideV w:val="single" w:sz="4" w:space="0" w:color="48ADFF" w:themeColor="accent3" w:themeTint="99"/>
      </w:tblBorders>
    </w:tblPr>
    <w:tblStylePr w:type="firstRow">
      <w:rPr>
        <w:b/>
        <w:bCs/>
        <w:color w:val="FFFFFF" w:themeColor="background1"/>
      </w:rPr>
      <w:tblPr/>
      <w:tcPr>
        <w:tcBorders>
          <w:top w:val="single" w:sz="4" w:space="0" w:color="0072CE" w:themeColor="accent3"/>
          <w:left w:val="single" w:sz="4" w:space="0" w:color="0072CE" w:themeColor="accent3"/>
          <w:bottom w:val="single" w:sz="4" w:space="0" w:color="0072CE" w:themeColor="accent3"/>
          <w:right w:val="single" w:sz="4" w:space="0" w:color="0072CE" w:themeColor="accent3"/>
          <w:insideH w:val="nil"/>
          <w:insideV w:val="nil"/>
        </w:tcBorders>
        <w:shd w:val="clear" w:color="auto" w:fill="0072CE" w:themeFill="accent3"/>
      </w:tcPr>
    </w:tblStylePr>
    <w:tblStylePr w:type="lastRow">
      <w:rPr>
        <w:b/>
        <w:bCs/>
      </w:rPr>
      <w:tblPr/>
      <w:tcPr>
        <w:tcBorders>
          <w:top w:val="double" w:sz="4" w:space="0" w:color="0072CE" w:themeColor="accent3"/>
        </w:tcBorders>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styleId="GridTable4-Accent1">
    <w:name w:val="Grid Table 4 Accent 1"/>
    <w:basedOn w:val="TableNormal"/>
    <w:uiPriority w:val="49"/>
    <w:locked/>
    <w:rsid w:val="00DD01CB"/>
    <w:pPr>
      <w:spacing w:after="0"/>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color w:val="FFFFFF" w:themeColor="background1"/>
      </w:rPr>
      <w:tblPr/>
      <w:tcPr>
        <w:tcBorders>
          <w:top w:val="single" w:sz="4" w:space="0" w:color="012169" w:themeColor="accent1"/>
          <w:left w:val="single" w:sz="4" w:space="0" w:color="012169" w:themeColor="accent1"/>
          <w:bottom w:val="single" w:sz="4" w:space="0" w:color="012169" w:themeColor="accent1"/>
          <w:right w:val="single" w:sz="4" w:space="0" w:color="012169" w:themeColor="accent1"/>
          <w:insideH w:val="nil"/>
          <w:insideV w:val="nil"/>
        </w:tcBorders>
        <w:shd w:val="clear" w:color="auto" w:fill="012169" w:themeFill="accent1"/>
      </w:tcPr>
    </w:tblStylePr>
    <w:tblStylePr w:type="lastRow">
      <w:rPr>
        <w:b/>
        <w:bCs/>
      </w:rPr>
      <w:tblPr/>
      <w:tcPr>
        <w:tcBorders>
          <w:top w:val="double" w:sz="4" w:space="0" w:color="012169" w:themeColor="accent1"/>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3-Accent1">
    <w:name w:val="List Table 3 Accent 1"/>
    <w:basedOn w:val="TableNormal"/>
    <w:uiPriority w:val="48"/>
    <w:locked/>
    <w:rsid w:val="006157C8"/>
    <w:pPr>
      <w:spacing w:after="0"/>
    </w:pPr>
    <w:tblPr>
      <w:tblStyleRowBandSize w:val="1"/>
      <w:tblStyleColBandSize w:val="1"/>
      <w:tblBorders>
        <w:top w:val="single" w:sz="4" w:space="0" w:color="012169" w:themeColor="accent1"/>
        <w:left w:val="single" w:sz="4" w:space="0" w:color="012169" w:themeColor="accent1"/>
        <w:bottom w:val="single" w:sz="4" w:space="0" w:color="012169" w:themeColor="accent1"/>
        <w:right w:val="single" w:sz="4" w:space="0" w:color="012169" w:themeColor="accent1"/>
      </w:tblBorders>
    </w:tblPr>
    <w:tblStylePr w:type="firstRow">
      <w:rPr>
        <w:b/>
        <w:bCs/>
        <w:color w:val="FFFFFF" w:themeColor="background1"/>
      </w:rPr>
      <w:tblPr/>
      <w:tcPr>
        <w:shd w:val="clear" w:color="auto" w:fill="012169" w:themeFill="accent1"/>
      </w:tcPr>
    </w:tblStylePr>
    <w:tblStylePr w:type="lastRow">
      <w:rPr>
        <w:b/>
        <w:bCs/>
      </w:rPr>
      <w:tblPr/>
      <w:tcPr>
        <w:tcBorders>
          <w:top w:val="double" w:sz="4" w:space="0" w:color="0121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1"/>
          <w:right w:val="single" w:sz="4" w:space="0" w:color="012169" w:themeColor="accent1"/>
        </w:tcBorders>
      </w:tcPr>
    </w:tblStylePr>
    <w:tblStylePr w:type="band1Horz">
      <w:tblPr/>
      <w:tcPr>
        <w:tcBorders>
          <w:top w:val="single" w:sz="4" w:space="0" w:color="012169" w:themeColor="accent1"/>
          <w:bottom w:val="single" w:sz="4" w:space="0" w:color="0121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1"/>
          <w:left w:val="nil"/>
        </w:tcBorders>
      </w:tcPr>
    </w:tblStylePr>
    <w:tblStylePr w:type="swCell">
      <w:tblPr/>
      <w:tcPr>
        <w:tcBorders>
          <w:top w:val="double" w:sz="4" w:space="0" w:color="012169" w:themeColor="accent1"/>
          <w:right w:val="nil"/>
        </w:tcBorders>
      </w:tcPr>
    </w:tblStylePr>
  </w:style>
  <w:style w:type="paragraph" w:customStyle="1" w:styleId="Numberedtableheading">
    <w:name w:val="Numbered table heading"/>
    <w:basedOn w:val="Heading4"/>
    <w:qFormat/>
    <w:rsid w:val="00B11234"/>
    <w:pPr>
      <w:numPr>
        <w:numId w:val="8"/>
      </w:numPr>
      <w:spacing w:before="120"/>
    </w:pPr>
    <w:rPr>
      <w:sz w:val="24"/>
    </w:rPr>
  </w:style>
  <w:style w:type="paragraph" w:customStyle="1" w:styleId="Numberedfigureheading">
    <w:name w:val="Numbered figure heading"/>
    <w:basedOn w:val="Numberedtableheading"/>
    <w:qFormat/>
    <w:rsid w:val="008071C6"/>
    <w:pPr>
      <w:numPr>
        <w:numId w:val="9"/>
      </w:numPr>
      <w:ind w:left="0" w:firstLine="0"/>
    </w:pPr>
  </w:style>
  <w:style w:type="table" w:customStyle="1" w:styleId="GridTable5Dark-Accent13">
    <w:name w:val="Grid Table 5 Dark - Accent 13"/>
    <w:basedOn w:val="TableNormal"/>
    <w:next w:val="GridTable5Dark-Accent1"/>
    <w:uiPriority w:val="50"/>
    <w:rsid w:val="00A1591B"/>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locked/>
    <w:rsid w:val="00A159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1"/>
      </w:tcPr>
    </w:tblStylePr>
    <w:tblStylePr w:type="band1Vert">
      <w:tblPr/>
      <w:tcPr>
        <w:shd w:val="clear" w:color="auto" w:fill="5E8FFD" w:themeFill="accent1" w:themeFillTint="66"/>
      </w:tcPr>
    </w:tblStylePr>
    <w:tblStylePr w:type="band1Horz">
      <w:tblPr/>
      <w:tcPr>
        <w:shd w:val="clear" w:color="auto" w:fill="5E8FFD" w:themeFill="accent1" w:themeFillTint="66"/>
      </w:tcPr>
    </w:tblStylePr>
  </w:style>
  <w:style w:type="table" w:customStyle="1" w:styleId="GridTable5Dark-Accent14">
    <w:name w:val="Grid Table 5 Dark - Accent 14"/>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5">
    <w:name w:val="Grid Table 5 Dark - Accent 15"/>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9">
    <w:name w:val="Grid Table 5 Dark - Accent 19"/>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0">
    <w:name w:val="Grid Table 5 Dark - Accent 110"/>
    <w:basedOn w:val="TableNormal"/>
    <w:next w:val="GridTable5Dark-Accent1"/>
    <w:uiPriority w:val="50"/>
    <w:rsid w:val="0032312F"/>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 Accent 111"/>
    <w:basedOn w:val="TableNormal"/>
    <w:next w:val="GridTable5Dark-Accent1"/>
    <w:uiPriority w:val="50"/>
    <w:rsid w:val="008D2C8D"/>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6">
    <w:name w:val="Grid Table 5 Dark - Accent 16"/>
    <w:basedOn w:val="TableNormal"/>
    <w:next w:val="GridTable5Dark-Accent1"/>
    <w:uiPriority w:val="50"/>
    <w:rsid w:val="008D2C8D"/>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7">
    <w:name w:val="Grid Table 5 Dark - Accent 17"/>
    <w:basedOn w:val="TableNormal"/>
    <w:next w:val="GridTable5Dark-Accent1"/>
    <w:uiPriority w:val="50"/>
    <w:rsid w:val="00616959"/>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8">
    <w:name w:val="Grid Table 5 Dark - Accent 18"/>
    <w:basedOn w:val="TableNormal"/>
    <w:next w:val="GridTable5Dark-Accent1"/>
    <w:uiPriority w:val="50"/>
    <w:rsid w:val="00616959"/>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2">
    <w:name w:val="Grid Table 5 Dark - Accent 112"/>
    <w:basedOn w:val="TableNormal"/>
    <w:next w:val="GridTable5Dark-Accent1"/>
    <w:uiPriority w:val="50"/>
    <w:rsid w:val="00185EFA"/>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3">
    <w:name w:val="Grid Table 5 Dark - Accent 113"/>
    <w:basedOn w:val="TableNormal"/>
    <w:next w:val="GridTable5Dark-Accent1"/>
    <w:uiPriority w:val="50"/>
    <w:rsid w:val="00185EFA"/>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10">
    <w:name w:val="Table Grid1"/>
    <w:basedOn w:val="TableNormal"/>
    <w:next w:val="TableGrid"/>
    <w:uiPriority w:val="59"/>
    <w:rsid w:val="00C0008F"/>
    <w:pPr>
      <w:spacing w:after="120"/>
    </w:pPr>
    <w:rPr>
      <w:rFonts w:ascii="Trebuchet MS" w:eastAsia="Times New Roman" w:hAnsi="Trebuchet MS"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qFormat/>
    <w:rsid w:val="00EB31E2"/>
    <w:pPr>
      <w:numPr>
        <w:numId w:val="11"/>
      </w:numPr>
      <w:jc w:val="both"/>
    </w:pPr>
    <w:rPr>
      <w:rFonts w:ascii="Arial" w:eastAsiaTheme="minorEastAsia" w:hAnsi="Arial"/>
      <w:color w:val="auto"/>
      <w:lang w:eastAsia="en-AU"/>
    </w:rPr>
  </w:style>
  <w:style w:type="character" w:customStyle="1" w:styleId="ListParagraphChar">
    <w:name w:val="List Paragraph Char"/>
    <w:basedOn w:val="DefaultParagraphFont"/>
    <w:link w:val="ListParagraph"/>
    <w:uiPriority w:val="34"/>
    <w:rsid w:val="0039099C"/>
  </w:style>
  <w:style w:type="paragraph" w:customStyle="1" w:styleId="NumberedList">
    <w:name w:val="Numbered List"/>
    <w:basedOn w:val="ListNumber3"/>
    <w:rsid w:val="00551BD0"/>
    <w:pPr>
      <w:numPr>
        <w:ilvl w:val="0"/>
        <w:numId w:val="15"/>
      </w:numPr>
      <w:contextualSpacing/>
    </w:pPr>
  </w:style>
  <w:style w:type="table" w:customStyle="1" w:styleId="TableOption21">
    <w:name w:val="Table Option 21"/>
    <w:basedOn w:val="TableGrid"/>
    <w:uiPriority w:val="99"/>
    <w:rsid w:val="005E7318"/>
    <w:tblPr/>
    <w:tcPr>
      <w:shd w:val="clear" w:color="auto" w:fill="EAECEE" w:themeFill="accent4" w:themeFillTint="33"/>
    </w:tcPr>
    <w:tblStylePr w:type="firstRow">
      <w:rPr>
        <w:rFonts w:ascii="Marlett" w:hAnsi="Marlett"/>
        <w:b w:val="0"/>
        <w:color w:val="FFFFFF" w:themeColor="background1"/>
      </w:rPr>
      <w:tblPr/>
      <w:trPr>
        <w:cantSplit/>
        <w:tblHeader/>
      </w:trPr>
      <w:tcPr>
        <w:shd w:val="clear" w:color="auto" w:fill="012169" w:themeFill="accent1"/>
      </w:tcPr>
    </w:tblStylePr>
    <w:tblStylePr w:type="lastRow">
      <w:rPr>
        <w:rFonts w:ascii="Marlett" w:hAnsi="Marlett"/>
        <w:b w:val="0"/>
      </w:rPr>
      <w:tblPr/>
      <w:tcPr>
        <w:shd w:val="clear" w:color="auto" w:fill="EAECEE" w:themeFill="accent4" w:themeFillTint="33"/>
      </w:tcPr>
    </w:tblStylePr>
    <w:tblStylePr w:type="firstCol">
      <w:rPr>
        <w:rFonts w:ascii="Marlett" w:hAnsi="Marlett"/>
        <w:b w:val="0"/>
        <w:color w:val="auto"/>
      </w:rPr>
      <w:tblPr/>
      <w:tcPr>
        <w:shd w:val="clear" w:color="auto" w:fill="012169" w:themeFill="accent1"/>
      </w:tcPr>
    </w:tblStylePr>
    <w:tblStylePr w:type="lastCol">
      <w:pPr>
        <w:jc w:val="right"/>
      </w:pPr>
      <w:rPr>
        <w:rFonts w:ascii="Marlett" w:hAnsi="Marlett"/>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Heading1Numbered">
    <w:name w:val="Heading 1 Numbered"/>
    <w:basedOn w:val="Heading1"/>
    <w:next w:val="BodyText"/>
    <w:uiPriority w:val="1"/>
    <w:qFormat/>
    <w:rsid w:val="00AD4A78"/>
    <w:pPr>
      <w:keepLines w:val="0"/>
      <w:pageBreakBefore w:val="0"/>
      <w:numPr>
        <w:numId w:val="17"/>
      </w:numPr>
      <w:pBdr>
        <w:bottom w:val="none" w:sz="0" w:space="0" w:color="auto"/>
      </w:pBdr>
      <w:tabs>
        <w:tab w:val="left" w:pos="709"/>
        <w:tab w:val="left" w:pos="1418"/>
        <w:tab w:val="left" w:pos="2126"/>
        <w:tab w:val="left" w:pos="2835"/>
        <w:tab w:val="right" w:pos="7876"/>
      </w:tabs>
      <w:spacing w:before="240" w:after="120" w:line="240" w:lineRule="atLeast"/>
    </w:pPr>
    <w:rPr>
      <w:rFonts w:ascii="Arial" w:eastAsiaTheme="minorHAnsi" w:hAnsi="Arial" w:cstheme="minorBidi"/>
      <w:bCs w:val="0"/>
      <w:color w:val="012169" w:themeColor="accent1"/>
      <w:sz w:val="32"/>
      <w:szCs w:val="21"/>
      <w:lang w:eastAsia="zh-CN"/>
    </w:rPr>
  </w:style>
  <w:style w:type="paragraph" w:customStyle="1" w:styleId="Heading2Numbered">
    <w:name w:val="Heading 2 Numbered"/>
    <w:basedOn w:val="Heading2"/>
    <w:next w:val="BodyText"/>
    <w:uiPriority w:val="1"/>
    <w:qFormat/>
    <w:rsid w:val="00AD4A78"/>
    <w:pPr>
      <w:keepLines w:val="0"/>
      <w:numPr>
        <w:ilvl w:val="1"/>
        <w:numId w:val="17"/>
      </w:numPr>
      <w:tabs>
        <w:tab w:val="left" w:pos="1418"/>
        <w:tab w:val="left" w:pos="2126"/>
        <w:tab w:val="left" w:pos="2835"/>
        <w:tab w:val="right" w:pos="7876"/>
      </w:tabs>
      <w:spacing w:before="240" w:after="120" w:line="240" w:lineRule="atLeast"/>
    </w:pPr>
    <w:rPr>
      <w:rFonts w:ascii="Arial" w:eastAsiaTheme="minorHAnsi" w:hAnsi="Arial" w:cstheme="minorBidi"/>
      <w:bCs w:val="0"/>
      <w:color w:val="012169" w:themeColor="accent1"/>
      <w:sz w:val="28"/>
      <w:szCs w:val="21"/>
      <w:lang w:eastAsia="zh-CN"/>
    </w:rPr>
  </w:style>
  <w:style w:type="paragraph" w:customStyle="1" w:styleId="Heading3Numbered">
    <w:name w:val="Heading 3 Numbered"/>
    <w:basedOn w:val="Heading3"/>
    <w:next w:val="BodyText"/>
    <w:uiPriority w:val="1"/>
    <w:qFormat/>
    <w:rsid w:val="00AD4A78"/>
    <w:pPr>
      <w:keepNext w:val="0"/>
      <w:keepLines w:val="0"/>
      <w:numPr>
        <w:ilvl w:val="2"/>
        <w:numId w:val="17"/>
      </w:numPr>
      <w:tabs>
        <w:tab w:val="right" w:pos="7876"/>
      </w:tabs>
      <w:spacing w:before="240" w:line="240" w:lineRule="atLeast"/>
      <w:outlineLvl w:val="9"/>
    </w:pPr>
    <w:rPr>
      <w:rFonts w:ascii="Arial" w:eastAsiaTheme="minorHAnsi" w:hAnsi="Arial" w:cstheme="minorBidi"/>
      <w:bCs w:val="0"/>
      <w:color w:val="012169" w:themeColor="accent1"/>
      <w:sz w:val="24"/>
      <w:szCs w:val="21"/>
      <w:lang w:eastAsia="zh-CN"/>
    </w:rPr>
  </w:style>
  <w:style w:type="paragraph" w:customStyle="1" w:styleId="Heading4Numbered">
    <w:name w:val="Heading 4 Numbered"/>
    <w:basedOn w:val="Heading4"/>
    <w:next w:val="BodyTextIndent2"/>
    <w:uiPriority w:val="1"/>
    <w:semiHidden/>
    <w:rsid w:val="00AD4A78"/>
    <w:pPr>
      <w:keepNext w:val="0"/>
      <w:keepLines w:val="0"/>
      <w:numPr>
        <w:ilvl w:val="3"/>
        <w:numId w:val="17"/>
      </w:numPr>
      <w:tabs>
        <w:tab w:val="left" w:pos="709"/>
        <w:tab w:val="right" w:pos="7876"/>
      </w:tabs>
      <w:spacing w:line="240" w:lineRule="atLeast"/>
      <w:outlineLvl w:val="9"/>
    </w:pPr>
    <w:rPr>
      <w:rFonts w:ascii="Arial" w:eastAsiaTheme="minorHAnsi" w:hAnsi="Arial" w:cstheme="minorBidi"/>
      <w:b/>
      <w:bCs w:val="0"/>
      <w:i w:val="0"/>
      <w:iCs w:val="0"/>
      <w:color w:val="auto"/>
      <w:sz w:val="21"/>
      <w:szCs w:val="21"/>
      <w:lang w:eastAsia="zh-CN"/>
    </w:rPr>
  </w:style>
  <w:style w:type="numbering" w:customStyle="1" w:styleId="ListNumbers">
    <w:name w:val="List Numbers"/>
    <w:uiPriority w:val="99"/>
    <w:rsid w:val="00AD4A78"/>
    <w:pPr>
      <w:numPr>
        <w:numId w:val="16"/>
      </w:numPr>
    </w:pPr>
  </w:style>
  <w:style w:type="paragraph" w:styleId="Revision">
    <w:name w:val="Revision"/>
    <w:hidden/>
    <w:uiPriority w:val="99"/>
    <w:semiHidden/>
    <w:rsid w:val="00E4024F"/>
    <w:pPr>
      <w:spacing w:after="0"/>
    </w:pPr>
    <w:rPr>
      <w:rFonts w:ascii="DIN OT Light" w:hAnsi="DIN OT Light"/>
    </w:rPr>
  </w:style>
  <w:style w:type="paragraph" w:customStyle="1" w:styleId="APRANORMAL">
    <w:name w:val="APRA NORMAL"/>
    <w:basedOn w:val="Normal"/>
    <w:link w:val="APRANORMALChar"/>
    <w:qFormat/>
    <w:rsid w:val="007A688F"/>
    <w:rPr>
      <w:rFonts w:cs="Times New Roman"/>
      <w:color w:val="000000" w:themeColor="text1"/>
      <w:lang w:val="en-GB"/>
    </w:rPr>
  </w:style>
  <w:style w:type="character" w:customStyle="1" w:styleId="APRANORMALChar">
    <w:name w:val="APRA NORMAL Char"/>
    <w:basedOn w:val="DefaultParagraphFont"/>
    <w:link w:val="APRANORMAL"/>
    <w:rsid w:val="007A688F"/>
    <w:rPr>
      <w:rFonts w:ascii="DIN OT Light" w:hAnsi="DIN OT Light" w:cs="Times New Roman"/>
      <w:color w:val="000000" w:themeColor="text1"/>
      <w:lang w:val="en-GB"/>
    </w:rPr>
  </w:style>
  <w:style w:type="paragraph" w:customStyle="1" w:styleId="BodyText4">
    <w:name w:val="Body Text 4"/>
    <w:basedOn w:val="Normal"/>
    <w:qFormat/>
    <w:rsid w:val="008D7AD2"/>
    <w:pPr>
      <w:tabs>
        <w:tab w:val="num" w:pos="2268"/>
      </w:tabs>
      <w:ind w:left="2268" w:hanging="567"/>
    </w:pPr>
    <w:rPr>
      <w:rFonts w:ascii="Times New Roman" w:eastAsia="Calibri"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07">
      <w:bodyDiv w:val="1"/>
      <w:marLeft w:val="0"/>
      <w:marRight w:val="0"/>
      <w:marTop w:val="0"/>
      <w:marBottom w:val="0"/>
      <w:divBdr>
        <w:top w:val="none" w:sz="0" w:space="0" w:color="auto"/>
        <w:left w:val="none" w:sz="0" w:space="0" w:color="auto"/>
        <w:bottom w:val="none" w:sz="0" w:space="0" w:color="auto"/>
        <w:right w:val="none" w:sz="0" w:space="0" w:color="auto"/>
      </w:divBdr>
    </w:div>
    <w:div w:id="34232173">
      <w:bodyDiv w:val="1"/>
      <w:marLeft w:val="0"/>
      <w:marRight w:val="0"/>
      <w:marTop w:val="0"/>
      <w:marBottom w:val="0"/>
      <w:divBdr>
        <w:top w:val="none" w:sz="0" w:space="0" w:color="auto"/>
        <w:left w:val="none" w:sz="0" w:space="0" w:color="auto"/>
        <w:bottom w:val="none" w:sz="0" w:space="0" w:color="auto"/>
        <w:right w:val="none" w:sz="0" w:space="0" w:color="auto"/>
      </w:divBdr>
      <w:divsChild>
        <w:div w:id="1764035995">
          <w:marLeft w:val="274"/>
          <w:marRight w:val="0"/>
          <w:marTop w:val="0"/>
          <w:marBottom w:val="0"/>
          <w:divBdr>
            <w:top w:val="none" w:sz="0" w:space="0" w:color="auto"/>
            <w:left w:val="none" w:sz="0" w:space="0" w:color="auto"/>
            <w:bottom w:val="none" w:sz="0" w:space="0" w:color="auto"/>
            <w:right w:val="none" w:sz="0" w:space="0" w:color="auto"/>
          </w:divBdr>
        </w:div>
      </w:divsChild>
    </w:div>
    <w:div w:id="80180045">
      <w:bodyDiv w:val="1"/>
      <w:marLeft w:val="0"/>
      <w:marRight w:val="0"/>
      <w:marTop w:val="0"/>
      <w:marBottom w:val="0"/>
      <w:divBdr>
        <w:top w:val="none" w:sz="0" w:space="0" w:color="auto"/>
        <w:left w:val="none" w:sz="0" w:space="0" w:color="auto"/>
        <w:bottom w:val="none" w:sz="0" w:space="0" w:color="auto"/>
        <w:right w:val="none" w:sz="0" w:space="0" w:color="auto"/>
      </w:divBdr>
    </w:div>
    <w:div w:id="80299447">
      <w:bodyDiv w:val="1"/>
      <w:marLeft w:val="0"/>
      <w:marRight w:val="0"/>
      <w:marTop w:val="0"/>
      <w:marBottom w:val="0"/>
      <w:divBdr>
        <w:top w:val="none" w:sz="0" w:space="0" w:color="auto"/>
        <w:left w:val="none" w:sz="0" w:space="0" w:color="auto"/>
        <w:bottom w:val="none" w:sz="0" w:space="0" w:color="auto"/>
        <w:right w:val="none" w:sz="0" w:space="0" w:color="auto"/>
      </w:divBdr>
    </w:div>
    <w:div w:id="82798012">
      <w:bodyDiv w:val="1"/>
      <w:marLeft w:val="0"/>
      <w:marRight w:val="0"/>
      <w:marTop w:val="0"/>
      <w:marBottom w:val="0"/>
      <w:divBdr>
        <w:top w:val="none" w:sz="0" w:space="0" w:color="auto"/>
        <w:left w:val="none" w:sz="0" w:space="0" w:color="auto"/>
        <w:bottom w:val="none" w:sz="0" w:space="0" w:color="auto"/>
        <w:right w:val="none" w:sz="0" w:space="0" w:color="auto"/>
      </w:divBdr>
    </w:div>
    <w:div w:id="83304035">
      <w:bodyDiv w:val="1"/>
      <w:marLeft w:val="0"/>
      <w:marRight w:val="0"/>
      <w:marTop w:val="0"/>
      <w:marBottom w:val="0"/>
      <w:divBdr>
        <w:top w:val="none" w:sz="0" w:space="0" w:color="auto"/>
        <w:left w:val="none" w:sz="0" w:space="0" w:color="auto"/>
        <w:bottom w:val="none" w:sz="0" w:space="0" w:color="auto"/>
        <w:right w:val="none" w:sz="0" w:space="0" w:color="auto"/>
      </w:divBdr>
    </w:div>
    <w:div w:id="93206042">
      <w:bodyDiv w:val="1"/>
      <w:marLeft w:val="0"/>
      <w:marRight w:val="0"/>
      <w:marTop w:val="0"/>
      <w:marBottom w:val="0"/>
      <w:divBdr>
        <w:top w:val="none" w:sz="0" w:space="0" w:color="auto"/>
        <w:left w:val="none" w:sz="0" w:space="0" w:color="auto"/>
        <w:bottom w:val="none" w:sz="0" w:space="0" w:color="auto"/>
        <w:right w:val="none" w:sz="0" w:space="0" w:color="auto"/>
      </w:divBdr>
      <w:divsChild>
        <w:div w:id="2029984529">
          <w:marLeft w:val="274"/>
          <w:marRight w:val="0"/>
          <w:marTop w:val="0"/>
          <w:marBottom w:val="0"/>
          <w:divBdr>
            <w:top w:val="none" w:sz="0" w:space="0" w:color="auto"/>
            <w:left w:val="none" w:sz="0" w:space="0" w:color="auto"/>
            <w:bottom w:val="none" w:sz="0" w:space="0" w:color="auto"/>
            <w:right w:val="none" w:sz="0" w:space="0" w:color="auto"/>
          </w:divBdr>
        </w:div>
        <w:div w:id="403337035">
          <w:marLeft w:val="274"/>
          <w:marRight w:val="0"/>
          <w:marTop w:val="0"/>
          <w:marBottom w:val="0"/>
          <w:divBdr>
            <w:top w:val="none" w:sz="0" w:space="0" w:color="auto"/>
            <w:left w:val="none" w:sz="0" w:space="0" w:color="auto"/>
            <w:bottom w:val="none" w:sz="0" w:space="0" w:color="auto"/>
            <w:right w:val="none" w:sz="0" w:space="0" w:color="auto"/>
          </w:divBdr>
        </w:div>
        <w:div w:id="1806658284">
          <w:marLeft w:val="274"/>
          <w:marRight w:val="0"/>
          <w:marTop w:val="0"/>
          <w:marBottom w:val="0"/>
          <w:divBdr>
            <w:top w:val="none" w:sz="0" w:space="0" w:color="auto"/>
            <w:left w:val="none" w:sz="0" w:space="0" w:color="auto"/>
            <w:bottom w:val="none" w:sz="0" w:space="0" w:color="auto"/>
            <w:right w:val="none" w:sz="0" w:space="0" w:color="auto"/>
          </w:divBdr>
        </w:div>
      </w:divsChild>
    </w:div>
    <w:div w:id="99182661">
      <w:bodyDiv w:val="1"/>
      <w:marLeft w:val="0"/>
      <w:marRight w:val="0"/>
      <w:marTop w:val="0"/>
      <w:marBottom w:val="0"/>
      <w:divBdr>
        <w:top w:val="none" w:sz="0" w:space="0" w:color="auto"/>
        <w:left w:val="none" w:sz="0" w:space="0" w:color="auto"/>
        <w:bottom w:val="none" w:sz="0" w:space="0" w:color="auto"/>
        <w:right w:val="none" w:sz="0" w:space="0" w:color="auto"/>
      </w:divBdr>
      <w:divsChild>
        <w:div w:id="1874920869">
          <w:marLeft w:val="274"/>
          <w:marRight w:val="0"/>
          <w:marTop w:val="0"/>
          <w:marBottom w:val="0"/>
          <w:divBdr>
            <w:top w:val="none" w:sz="0" w:space="0" w:color="auto"/>
            <w:left w:val="none" w:sz="0" w:space="0" w:color="auto"/>
            <w:bottom w:val="none" w:sz="0" w:space="0" w:color="auto"/>
            <w:right w:val="none" w:sz="0" w:space="0" w:color="auto"/>
          </w:divBdr>
        </w:div>
        <w:div w:id="948395975">
          <w:marLeft w:val="274"/>
          <w:marRight w:val="0"/>
          <w:marTop w:val="0"/>
          <w:marBottom w:val="0"/>
          <w:divBdr>
            <w:top w:val="none" w:sz="0" w:space="0" w:color="auto"/>
            <w:left w:val="none" w:sz="0" w:space="0" w:color="auto"/>
            <w:bottom w:val="none" w:sz="0" w:space="0" w:color="auto"/>
            <w:right w:val="none" w:sz="0" w:space="0" w:color="auto"/>
          </w:divBdr>
        </w:div>
      </w:divsChild>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69688683">
      <w:bodyDiv w:val="1"/>
      <w:marLeft w:val="0"/>
      <w:marRight w:val="0"/>
      <w:marTop w:val="0"/>
      <w:marBottom w:val="0"/>
      <w:divBdr>
        <w:top w:val="none" w:sz="0" w:space="0" w:color="auto"/>
        <w:left w:val="none" w:sz="0" w:space="0" w:color="auto"/>
        <w:bottom w:val="none" w:sz="0" w:space="0" w:color="auto"/>
        <w:right w:val="none" w:sz="0" w:space="0" w:color="auto"/>
      </w:divBdr>
    </w:div>
    <w:div w:id="201595920">
      <w:bodyDiv w:val="1"/>
      <w:marLeft w:val="0"/>
      <w:marRight w:val="0"/>
      <w:marTop w:val="0"/>
      <w:marBottom w:val="0"/>
      <w:divBdr>
        <w:top w:val="none" w:sz="0" w:space="0" w:color="auto"/>
        <w:left w:val="none" w:sz="0" w:space="0" w:color="auto"/>
        <w:bottom w:val="none" w:sz="0" w:space="0" w:color="auto"/>
        <w:right w:val="none" w:sz="0" w:space="0" w:color="auto"/>
      </w:divBdr>
      <w:divsChild>
        <w:div w:id="1459490651">
          <w:marLeft w:val="274"/>
          <w:marRight w:val="0"/>
          <w:marTop w:val="0"/>
          <w:marBottom w:val="0"/>
          <w:divBdr>
            <w:top w:val="none" w:sz="0" w:space="0" w:color="auto"/>
            <w:left w:val="none" w:sz="0" w:space="0" w:color="auto"/>
            <w:bottom w:val="none" w:sz="0" w:space="0" w:color="auto"/>
            <w:right w:val="none" w:sz="0" w:space="0" w:color="auto"/>
          </w:divBdr>
        </w:div>
        <w:div w:id="1447500740">
          <w:marLeft w:val="274"/>
          <w:marRight w:val="0"/>
          <w:marTop w:val="0"/>
          <w:marBottom w:val="0"/>
          <w:divBdr>
            <w:top w:val="none" w:sz="0" w:space="0" w:color="auto"/>
            <w:left w:val="none" w:sz="0" w:space="0" w:color="auto"/>
            <w:bottom w:val="none" w:sz="0" w:space="0" w:color="auto"/>
            <w:right w:val="none" w:sz="0" w:space="0" w:color="auto"/>
          </w:divBdr>
        </w:div>
        <w:div w:id="1407680351">
          <w:marLeft w:val="274"/>
          <w:marRight w:val="0"/>
          <w:marTop w:val="0"/>
          <w:marBottom w:val="0"/>
          <w:divBdr>
            <w:top w:val="none" w:sz="0" w:space="0" w:color="auto"/>
            <w:left w:val="none" w:sz="0" w:space="0" w:color="auto"/>
            <w:bottom w:val="none" w:sz="0" w:space="0" w:color="auto"/>
            <w:right w:val="none" w:sz="0" w:space="0" w:color="auto"/>
          </w:divBdr>
        </w:div>
      </w:divsChild>
    </w:div>
    <w:div w:id="239363856">
      <w:bodyDiv w:val="1"/>
      <w:marLeft w:val="0"/>
      <w:marRight w:val="0"/>
      <w:marTop w:val="0"/>
      <w:marBottom w:val="0"/>
      <w:divBdr>
        <w:top w:val="none" w:sz="0" w:space="0" w:color="auto"/>
        <w:left w:val="none" w:sz="0" w:space="0" w:color="auto"/>
        <w:bottom w:val="none" w:sz="0" w:space="0" w:color="auto"/>
        <w:right w:val="none" w:sz="0" w:space="0" w:color="auto"/>
      </w:divBdr>
    </w:div>
    <w:div w:id="283198264">
      <w:bodyDiv w:val="1"/>
      <w:marLeft w:val="0"/>
      <w:marRight w:val="0"/>
      <w:marTop w:val="0"/>
      <w:marBottom w:val="0"/>
      <w:divBdr>
        <w:top w:val="none" w:sz="0" w:space="0" w:color="auto"/>
        <w:left w:val="none" w:sz="0" w:space="0" w:color="auto"/>
        <w:bottom w:val="none" w:sz="0" w:space="0" w:color="auto"/>
        <w:right w:val="none" w:sz="0" w:space="0" w:color="auto"/>
      </w:divBdr>
    </w:div>
    <w:div w:id="300112280">
      <w:bodyDiv w:val="1"/>
      <w:marLeft w:val="0"/>
      <w:marRight w:val="0"/>
      <w:marTop w:val="0"/>
      <w:marBottom w:val="0"/>
      <w:divBdr>
        <w:top w:val="none" w:sz="0" w:space="0" w:color="auto"/>
        <w:left w:val="none" w:sz="0" w:space="0" w:color="auto"/>
        <w:bottom w:val="none" w:sz="0" w:space="0" w:color="auto"/>
        <w:right w:val="none" w:sz="0" w:space="0" w:color="auto"/>
      </w:divBdr>
    </w:div>
    <w:div w:id="319625694">
      <w:bodyDiv w:val="1"/>
      <w:marLeft w:val="0"/>
      <w:marRight w:val="0"/>
      <w:marTop w:val="0"/>
      <w:marBottom w:val="0"/>
      <w:divBdr>
        <w:top w:val="none" w:sz="0" w:space="0" w:color="auto"/>
        <w:left w:val="none" w:sz="0" w:space="0" w:color="auto"/>
        <w:bottom w:val="none" w:sz="0" w:space="0" w:color="auto"/>
        <w:right w:val="none" w:sz="0" w:space="0" w:color="auto"/>
      </w:divBdr>
    </w:div>
    <w:div w:id="384565968">
      <w:bodyDiv w:val="1"/>
      <w:marLeft w:val="0"/>
      <w:marRight w:val="0"/>
      <w:marTop w:val="0"/>
      <w:marBottom w:val="0"/>
      <w:divBdr>
        <w:top w:val="none" w:sz="0" w:space="0" w:color="auto"/>
        <w:left w:val="none" w:sz="0" w:space="0" w:color="auto"/>
        <w:bottom w:val="none" w:sz="0" w:space="0" w:color="auto"/>
        <w:right w:val="none" w:sz="0" w:space="0" w:color="auto"/>
      </w:divBdr>
    </w:div>
    <w:div w:id="397898260">
      <w:bodyDiv w:val="1"/>
      <w:marLeft w:val="0"/>
      <w:marRight w:val="0"/>
      <w:marTop w:val="0"/>
      <w:marBottom w:val="0"/>
      <w:divBdr>
        <w:top w:val="none" w:sz="0" w:space="0" w:color="auto"/>
        <w:left w:val="none" w:sz="0" w:space="0" w:color="auto"/>
        <w:bottom w:val="none" w:sz="0" w:space="0" w:color="auto"/>
        <w:right w:val="none" w:sz="0" w:space="0" w:color="auto"/>
      </w:divBdr>
    </w:div>
    <w:div w:id="465050689">
      <w:bodyDiv w:val="1"/>
      <w:marLeft w:val="0"/>
      <w:marRight w:val="0"/>
      <w:marTop w:val="0"/>
      <w:marBottom w:val="0"/>
      <w:divBdr>
        <w:top w:val="none" w:sz="0" w:space="0" w:color="auto"/>
        <w:left w:val="none" w:sz="0" w:space="0" w:color="auto"/>
        <w:bottom w:val="none" w:sz="0" w:space="0" w:color="auto"/>
        <w:right w:val="none" w:sz="0" w:space="0" w:color="auto"/>
      </w:divBdr>
      <w:divsChild>
        <w:div w:id="1505627923">
          <w:marLeft w:val="274"/>
          <w:marRight w:val="0"/>
          <w:marTop w:val="0"/>
          <w:marBottom w:val="0"/>
          <w:divBdr>
            <w:top w:val="none" w:sz="0" w:space="0" w:color="auto"/>
            <w:left w:val="none" w:sz="0" w:space="0" w:color="auto"/>
            <w:bottom w:val="none" w:sz="0" w:space="0" w:color="auto"/>
            <w:right w:val="none" w:sz="0" w:space="0" w:color="auto"/>
          </w:divBdr>
        </w:div>
        <w:div w:id="1803110552">
          <w:marLeft w:val="274"/>
          <w:marRight w:val="0"/>
          <w:marTop w:val="0"/>
          <w:marBottom w:val="0"/>
          <w:divBdr>
            <w:top w:val="none" w:sz="0" w:space="0" w:color="auto"/>
            <w:left w:val="none" w:sz="0" w:space="0" w:color="auto"/>
            <w:bottom w:val="none" w:sz="0" w:space="0" w:color="auto"/>
            <w:right w:val="none" w:sz="0" w:space="0" w:color="auto"/>
          </w:divBdr>
        </w:div>
      </w:divsChild>
    </w:div>
    <w:div w:id="466240347">
      <w:bodyDiv w:val="1"/>
      <w:marLeft w:val="0"/>
      <w:marRight w:val="0"/>
      <w:marTop w:val="0"/>
      <w:marBottom w:val="0"/>
      <w:divBdr>
        <w:top w:val="none" w:sz="0" w:space="0" w:color="auto"/>
        <w:left w:val="none" w:sz="0" w:space="0" w:color="auto"/>
        <w:bottom w:val="none" w:sz="0" w:space="0" w:color="auto"/>
        <w:right w:val="none" w:sz="0" w:space="0" w:color="auto"/>
      </w:divBdr>
    </w:div>
    <w:div w:id="480583342">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581449591">
      <w:bodyDiv w:val="1"/>
      <w:marLeft w:val="0"/>
      <w:marRight w:val="0"/>
      <w:marTop w:val="0"/>
      <w:marBottom w:val="0"/>
      <w:divBdr>
        <w:top w:val="none" w:sz="0" w:space="0" w:color="auto"/>
        <w:left w:val="none" w:sz="0" w:space="0" w:color="auto"/>
        <w:bottom w:val="none" w:sz="0" w:space="0" w:color="auto"/>
        <w:right w:val="none" w:sz="0" w:space="0" w:color="auto"/>
      </w:divBdr>
      <w:divsChild>
        <w:div w:id="207648564">
          <w:marLeft w:val="288"/>
          <w:marRight w:val="0"/>
          <w:marTop w:val="0"/>
          <w:marBottom w:val="0"/>
          <w:divBdr>
            <w:top w:val="none" w:sz="0" w:space="0" w:color="auto"/>
            <w:left w:val="none" w:sz="0" w:space="0" w:color="auto"/>
            <w:bottom w:val="none" w:sz="0" w:space="0" w:color="auto"/>
            <w:right w:val="none" w:sz="0" w:space="0" w:color="auto"/>
          </w:divBdr>
        </w:div>
        <w:div w:id="483206620">
          <w:marLeft w:val="288"/>
          <w:marRight w:val="0"/>
          <w:marTop w:val="0"/>
          <w:marBottom w:val="0"/>
          <w:divBdr>
            <w:top w:val="none" w:sz="0" w:space="0" w:color="auto"/>
            <w:left w:val="none" w:sz="0" w:space="0" w:color="auto"/>
            <w:bottom w:val="none" w:sz="0" w:space="0" w:color="auto"/>
            <w:right w:val="none" w:sz="0" w:space="0" w:color="auto"/>
          </w:divBdr>
        </w:div>
        <w:div w:id="563181703">
          <w:marLeft w:val="288"/>
          <w:marRight w:val="0"/>
          <w:marTop w:val="0"/>
          <w:marBottom w:val="0"/>
          <w:divBdr>
            <w:top w:val="none" w:sz="0" w:space="0" w:color="auto"/>
            <w:left w:val="none" w:sz="0" w:space="0" w:color="auto"/>
            <w:bottom w:val="none" w:sz="0" w:space="0" w:color="auto"/>
            <w:right w:val="none" w:sz="0" w:space="0" w:color="auto"/>
          </w:divBdr>
        </w:div>
        <w:div w:id="600770463">
          <w:marLeft w:val="288"/>
          <w:marRight w:val="0"/>
          <w:marTop w:val="0"/>
          <w:marBottom w:val="0"/>
          <w:divBdr>
            <w:top w:val="none" w:sz="0" w:space="0" w:color="auto"/>
            <w:left w:val="none" w:sz="0" w:space="0" w:color="auto"/>
            <w:bottom w:val="none" w:sz="0" w:space="0" w:color="auto"/>
            <w:right w:val="none" w:sz="0" w:space="0" w:color="auto"/>
          </w:divBdr>
        </w:div>
        <w:div w:id="892079900">
          <w:marLeft w:val="274"/>
          <w:marRight w:val="0"/>
          <w:marTop w:val="0"/>
          <w:marBottom w:val="0"/>
          <w:divBdr>
            <w:top w:val="none" w:sz="0" w:space="0" w:color="auto"/>
            <w:left w:val="none" w:sz="0" w:space="0" w:color="auto"/>
            <w:bottom w:val="none" w:sz="0" w:space="0" w:color="auto"/>
            <w:right w:val="none" w:sz="0" w:space="0" w:color="auto"/>
          </w:divBdr>
        </w:div>
        <w:div w:id="1255438170">
          <w:marLeft w:val="274"/>
          <w:marRight w:val="0"/>
          <w:marTop w:val="0"/>
          <w:marBottom w:val="0"/>
          <w:divBdr>
            <w:top w:val="none" w:sz="0" w:space="0" w:color="auto"/>
            <w:left w:val="none" w:sz="0" w:space="0" w:color="auto"/>
            <w:bottom w:val="none" w:sz="0" w:space="0" w:color="auto"/>
            <w:right w:val="none" w:sz="0" w:space="0" w:color="auto"/>
          </w:divBdr>
        </w:div>
        <w:div w:id="1388800495">
          <w:marLeft w:val="288"/>
          <w:marRight w:val="0"/>
          <w:marTop w:val="0"/>
          <w:marBottom w:val="0"/>
          <w:divBdr>
            <w:top w:val="none" w:sz="0" w:space="0" w:color="auto"/>
            <w:left w:val="none" w:sz="0" w:space="0" w:color="auto"/>
            <w:bottom w:val="none" w:sz="0" w:space="0" w:color="auto"/>
            <w:right w:val="none" w:sz="0" w:space="0" w:color="auto"/>
          </w:divBdr>
        </w:div>
        <w:div w:id="1458254566">
          <w:marLeft w:val="288"/>
          <w:marRight w:val="0"/>
          <w:marTop w:val="0"/>
          <w:marBottom w:val="0"/>
          <w:divBdr>
            <w:top w:val="none" w:sz="0" w:space="0" w:color="auto"/>
            <w:left w:val="none" w:sz="0" w:space="0" w:color="auto"/>
            <w:bottom w:val="none" w:sz="0" w:space="0" w:color="auto"/>
            <w:right w:val="none" w:sz="0" w:space="0" w:color="auto"/>
          </w:divBdr>
        </w:div>
        <w:div w:id="1820536445">
          <w:marLeft w:val="274"/>
          <w:marRight w:val="0"/>
          <w:marTop w:val="0"/>
          <w:marBottom w:val="0"/>
          <w:divBdr>
            <w:top w:val="none" w:sz="0" w:space="0" w:color="auto"/>
            <w:left w:val="none" w:sz="0" w:space="0" w:color="auto"/>
            <w:bottom w:val="none" w:sz="0" w:space="0" w:color="auto"/>
            <w:right w:val="none" w:sz="0" w:space="0" w:color="auto"/>
          </w:divBdr>
        </w:div>
        <w:div w:id="2072994503">
          <w:marLeft w:val="288"/>
          <w:marRight w:val="0"/>
          <w:marTop w:val="0"/>
          <w:marBottom w:val="0"/>
          <w:divBdr>
            <w:top w:val="none" w:sz="0" w:space="0" w:color="auto"/>
            <w:left w:val="none" w:sz="0" w:space="0" w:color="auto"/>
            <w:bottom w:val="none" w:sz="0" w:space="0" w:color="auto"/>
            <w:right w:val="none" w:sz="0" w:space="0" w:color="auto"/>
          </w:divBdr>
        </w:div>
      </w:divsChild>
    </w:div>
    <w:div w:id="588543031">
      <w:bodyDiv w:val="1"/>
      <w:marLeft w:val="0"/>
      <w:marRight w:val="0"/>
      <w:marTop w:val="0"/>
      <w:marBottom w:val="0"/>
      <w:divBdr>
        <w:top w:val="none" w:sz="0" w:space="0" w:color="auto"/>
        <w:left w:val="none" w:sz="0" w:space="0" w:color="auto"/>
        <w:bottom w:val="none" w:sz="0" w:space="0" w:color="auto"/>
        <w:right w:val="none" w:sz="0" w:space="0" w:color="auto"/>
      </w:divBdr>
    </w:div>
    <w:div w:id="606084795">
      <w:bodyDiv w:val="1"/>
      <w:marLeft w:val="0"/>
      <w:marRight w:val="0"/>
      <w:marTop w:val="0"/>
      <w:marBottom w:val="0"/>
      <w:divBdr>
        <w:top w:val="none" w:sz="0" w:space="0" w:color="auto"/>
        <w:left w:val="none" w:sz="0" w:space="0" w:color="auto"/>
        <w:bottom w:val="none" w:sz="0" w:space="0" w:color="auto"/>
        <w:right w:val="none" w:sz="0" w:space="0" w:color="auto"/>
      </w:divBdr>
    </w:div>
    <w:div w:id="611015867">
      <w:bodyDiv w:val="1"/>
      <w:marLeft w:val="0"/>
      <w:marRight w:val="0"/>
      <w:marTop w:val="0"/>
      <w:marBottom w:val="0"/>
      <w:divBdr>
        <w:top w:val="none" w:sz="0" w:space="0" w:color="auto"/>
        <w:left w:val="none" w:sz="0" w:space="0" w:color="auto"/>
        <w:bottom w:val="none" w:sz="0" w:space="0" w:color="auto"/>
        <w:right w:val="none" w:sz="0" w:space="0" w:color="auto"/>
      </w:divBdr>
    </w:div>
    <w:div w:id="630669556">
      <w:bodyDiv w:val="1"/>
      <w:marLeft w:val="0"/>
      <w:marRight w:val="0"/>
      <w:marTop w:val="0"/>
      <w:marBottom w:val="0"/>
      <w:divBdr>
        <w:top w:val="none" w:sz="0" w:space="0" w:color="auto"/>
        <w:left w:val="none" w:sz="0" w:space="0" w:color="auto"/>
        <w:bottom w:val="none" w:sz="0" w:space="0" w:color="auto"/>
        <w:right w:val="none" w:sz="0" w:space="0" w:color="auto"/>
      </w:divBdr>
      <w:divsChild>
        <w:div w:id="997151838">
          <w:marLeft w:val="274"/>
          <w:marRight w:val="0"/>
          <w:marTop w:val="0"/>
          <w:marBottom w:val="0"/>
          <w:divBdr>
            <w:top w:val="none" w:sz="0" w:space="0" w:color="auto"/>
            <w:left w:val="none" w:sz="0" w:space="0" w:color="auto"/>
            <w:bottom w:val="none" w:sz="0" w:space="0" w:color="auto"/>
            <w:right w:val="none" w:sz="0" w:space="0" w:color="auto"/>
          </w:divBdr>
        </w:div>
        <w:div w:id="1663697375">
          <w:marLeft w:val="274"/>
          <w:marRight w:val="0"/>
          <w:marTop w:val="0"/>
          <w:marBottom w:val="0"/>
          <w:divBdr>
            <w:top w:val="none" w:sz="0" w:space="0" w:color="auto"/>
            <w:left w:val="none" w:sz="0" w:space="0" w:color="auto"/>
            <w:bottom w:val="none" w:sz="0" w:space="0" w:color="auto"/>
            <w:right w:val="none" w:sz="0" w:space="0" w:color="auto"/>
          </w:divBdr>
        </w:div>
        <w:div w:id="590092844">
          <w:marLeft w:val="274"/>
          <w:marRight w:val="0"/>
          <w:marTop w:val="0"/>
          <w:marBottom w:val="0"/>
          <w:divBdr>
            <w:top w:val="none" w:sz="0" w:space="0" w:color="auto"/>
            <w:left w:val="none" w:sz="0" w:space="0" w:color="auto"/>
            <w:bottom w:val="none" w:sz="0" w:space="0" w:color="auto"/>
            <w:right w:val="none" w:sz="0" w:space="0" w:color="auto"/>
          </w:divBdr>
        </w:div>
      </w:divsChild>
    </w:div>
    <w:div w:id="649333326">
      <w:bodyDiv w:val="1"/>
      <w:marLeft w:val="0"/>
      <w:marRight w:val="0"/>
      <w:marTop w:val="0"/>
      <w:marBottom w:val="0"/>
      <w:divBdr>
        <w:top w:val="none" w:sz="0" w:space="0" w:color="auto"/>
        <w:left w:val="none" w:sz="0" w:space="0" w:color="auto"/>
        <w:bottom w:val="none" w:sz="0" w:space="0" w:color="auto"/>
        <w:right w:val="none" w:sz="0" w:space="0" w:color="auto"/>
      </w:divBdr>
    </w:div>
    <w:div w:id="684790524">
      <w:bodyDiv w:val="1"/>
      <w:marLeft w:val="0"/>
      <w:marRight w:val="0"/>
      <w:marTop w:val="0"/>
      <w:marBottom w:val="0"/>
      <w:divBdr>
        <w:top w:val="none" w:sz="0" w:space="0" w:color="auto"/>
        <w:left w:val="none" w:sz="0" w:space="0" w:color="auto"/>
        <w:bottom w:val="none" w:sz="0" w:space="0" w:color="auto"/>
        <w:right w:val="none" w:sz="0" w:space="0" w:color="auto"/>
      </w:divBdr>
      <w:divsChild>
        <w:div w:id="2034919355">
          <w:marLeft w:val="274"/>
          <w:marRight w:val="0"/>
          <w:marTop w:val="0"/>
          <w:marBottom w:val="0"/>
          <w:divBdr>
            <w:top w:val="none" w:sz="0" w:space="0" w:color="auto"/>
            <w:left w:val="none" w:sz="0" w:space="0" w:color="auto"/>
            <w:bottom w:val="none" w:sz="0" w:space="0" w:color="auto"/>
            <w:right w:val="none" w:sz="0" w:space="0" w:color="auto"/>
          </w:divBdr>
        </w:div>
        <w:div w:id="1374161201">
          <w:marLeft w:val="274"/>
          <w:marRight w:val="0"/>
          <w:marTop w:val="0"/>
          <w:marBottom w:val="0"/>
          <w:divBdr>
            <w:top w:val="none" w:sz="0" w:space="0" w:color="auto"/>
            <w:left w:val="none" w:sz="0" w:space="0" w:color="auto"/>
            <w:bottom w:val="none" w:sz="0" w:space="0" w:color="auto"/>
            <w:right w:val="none" w:sz="0" w:space="0" w:color="auto"/>
          </w:divBdr>
        </w:div>
      </w:divsChild>
    </w:div>
    <w:div w:id="701174723">
      <w:bodyDiv w:val="1"/>
      <w:marLeft w:val="0"/>
      <w:marRight w:val="0"/>
      <w:marTop w:val="0"/>
      <w:marBottom w:val="0"/>
      <w:divBdr>
        <w:top w:val="none" w:sz="0" w:space="0" w:color="auto"/>
        <w:left w:val="none" w:sz="0" w:space="0" w:color="auto"/>
        <w:bottom w:val="none" w:sz="0" w:space="0" w:color="auto"/>
        <w:right w:val="none" w:sz="0" w:space="0" w:color="auto"/>
      </w:divBdr>
      <w:divsChild>
        <w:div w:id="127743702">
          <w:marLeft w:val="274"/>
          <w:marRight w:val="0"/>
          <w:marTop w:val="0"/>
          <w:marBottom w:val="0"/>
          <w:divBdr>
            <w:top w:val="none" w:sz="0" w:space="0" w:color="auto"/>
            <w:left w:val="none" w:sz="0" w:space="0" w:color="auto"/>
            <w:bottom w:val="none" w:sz="0" w:space="0" w:color="auto"/>
            <w:right w:val="none" w:sz="0" w:space="0" w:color="auto"/>
          </w:divBdr>
        </w:div>
        <w:div w:id="324824249">
          <w:marLeft w:val="274"/>
          <w:marRight w:val="0"/>
          <w:marTop w:val="0"/>
          <w:marBottom w:val="0"/>
          <w:divBdr>
            <w:top w:val="none" w:sz="0" w:space="0" w:color="auto"/>
            <w:left w:val="none" w:sz="0" w:space="0" w:color="auto"/>
            <w:bottom w:val="none" w:sz="0" w:space="0" w:color="auto"/>
            <w:right w:val="none" w:sz="0" w:space="0" w:color="auto"/>
          </w:divBdr>
        </w:div>
      </w:divsChild>
    </w:div>
    <w:div w:id="702442170">
      <w:bodyDiv w:val="1"/>
      <w:marLeft w:val="0"/>
      <w:marRight w:val="0"/>
      <w:marTop w:val="0"/>
      <w:marBottom w:val="0"/>
      <w:divBdr>
        <w:top w:val="none" w:sz="0" w:space="0" w:color="auto"/>
        <w:left w:val="none" w:sz="0" w:space="0" w:color="auto"/>
        <w:bottom w:val="none" w:sz="0" w:space="0" w:color="auto"/>
        <w:right w:val="none" w:sz="0" w:space="0" w:color="auto"/>
      </w:divBdr>
      <w:divsChild>
        <w:div w:id="705984098">
          <w:marLeft w:val="274"/>
          <w:marRight w:val="0"/>
          <w:marTop w:val="0"/>
          <w:marBottom w:val="0"/>
          <w:divBdr>
            <w:top w:val="none" w:sz="0" w:space="0" w:color="auto"/>
            <w:left w:val="none" w:sz="0" w:space="0" w:color="auto"/>
            <w:bottom w:val="none" w:sz="0" w:space="0" w:color="auto"/>
            <w:right w:val="none" w:sz="0" w:space="0" w:color="auto"/>
          </w:divBdr>
        </w:div>
      </w:divsChild>
    </w:div>
    <w:div w:id="740100213">
      <w:bodyDiv w:val="1"/>
      <w:marLeft w:val="0"/>
      <w:marRight w:val="0"/>
      <w:marTop w:val="0"/>
      <w:marBottom w:val="0"/>
      <w:divBdr>
        <w:top w:val="none" w:sz="0" w:space="0" w:color="auto"/>
        <w:left w:val="none" w:sz="0" w:space="0" w:color="auto"/>
        <w:bottom w:val="none" w:sz="0" w:space="0" w:color="auto"/>
        <w:right w:val="none" w:sz="0" w:space="0" w:color="auto"/>
      </w:divBdr>
    </w:div>
    <w:div w:id="741606343">
      <w:bodyDiv w:val="1"/>
      <w:marLeft w:val="0"/>
      <w:marRight w:val="0"/>
      <w:marTop w:val="0"/>
      <w:marBottom w:val="0"/>
      <w:divBdr>
        <w:top w:val="none" w:sz="0" w:space="0" w:color="auto"/>
        <w:left w:val="none" w:sz="0" w:space="0" w:color="auto"/>
        <w:bottom w:val="none" w:sz="0" w:space="0" w:color="auto"/>
        <w:right w:val="none" w:sz="0" w:space="0" w:color="auto"/>
      </w:divBdr>
      <w:divsChild>
        <w:div w:id="1751198691">
          <w:marLeft w:val="274"/>
          <w:marRight w:val="0"/>
          <w:marTop w:val="0"/>
          <w:marBottom w:val="0"/>
          <w:divBdr>
            <w:top w:val="none" w:sz="0" w:space="0" w:color="auto"/>
            <w:left w:val="none" w:sz="0" w:space="0" w:color="auto"/>
            <w:bottom w:val="none" w:sz="0" w:space="0" w:color="auto"/>
            <w:right w:val="none" w:sz="0" w:space="0" w:color="auto"/>
          </w:divBdr>
        </w:div>
      </w:divsChild>
    </w:div>
    <w:div w:id="741948786">
      <w:bodyDiv w:val="1"/>
      <w:marLeft w:val="0"/>
      <w:marRight w:val="0"/>
      <w:marTop w:val="0"/>
      <w:marBottom w:val="0"/>
      <w:divBdr>
        <w:top w:val="none" w:sz="0" w:space="0" w:color="auto"/>
        <w:left w:val="none" w:sz="0" w:space="0" w:color="auto"/>
        <w:bottom w:val="none" w:sz="0" w:space="0" w:color="auto"/>
        <w:right w:val="none" w:sz="0" w:space="0" w:color="auto"/>
      </w:divBdr>
      <w:divsChild>
        <w:div w:id="2120098415">
          <w:marLeft w:val="274"/>
          <w:marRight w:val="0"/>
          <w:marTop w:val="0"/>
          <w:marBottom w:val="0"/>
          <w:divBdr>
            <w:top w:val="none" w:sz="0" w:space="0" w:color="auto"/>
            <w:left w:val="none" w:sz="0" w:space="0" w:color="auto"/>
            <w:bottom w:val="none" w:sz="0" w:space="0" w:color="auto"/>
            <w:right w:val="none" w:sz="0" w:space="0" w:color="auto"/>
          </w:divBdr>
        </w:div>
        <w:div w:id="338431585">
          <w:marLeft w:val="274"/>
          <w:marRight w:val="0"/>
          <w:marTop w:val="0"/>
          <w:marBottom w:val="0"/>
          <w:divBdr>
            <w:top w:val="none" w:sz="0" w:space="0" w:color="auto"/>
            <w:left w:val="none" w:sz="0" w:space="0" w:color="auto"/>
            <w:bottom w:val="none" w:sz="0" w:space="0" w:color="auto"/>
            <w:right w:val="none" w:sz="0" w:space="0" w:color="auto"/>
          </w:divBdr>
        </w:div>
        <w:div w:id="535967265">
          <w:marLeft w:val="274"/>
          <w:marRight w:val="0"/>
          <w:marTop w:val="0"/>
          <w:marBottom w:val="0"/>
          <w:divBdr>
            <w:top w:val="none" w:sz="0" w:space="0" w:color="auto"/>
            <w:left w:val="none" w:sz="0" w:space="0" w:color="auto"/>
            <w:bottom w:val="none" w:sz="0" w:space="0" w:color="auto"/>
            <w:right w:val="none" w:sz="0" w:space="0" w:color="auto"/>
          </w:divBdr>
        </w:div>
      </w:divsChild>
    </w:div>
    <w:div w:id="741953750">
      <w:bodyDiv w:val="1"/>
      <w:marLeft w:val="0"/>
      <w:marRight w:val="0"/>
      <w:marTop w:val="0"/>
      <w:marBottom w:val="0"/>
      <w:divBdr>
        <w:top w:val="none" w:sz="0" w:space="0" w:color="auto"/>
        <w:left w:val="none" w:sz="0" w:space="0" w:color="auto"/>
        <w:bottom w:val="none" w:sz="0" w:space="0" w:color="auto"/>
        <w:right w:val="none" w:sz="0" w:space="0" w:color="auto"/>
      </w:divBdr>
      <w:divsChild>
        <w:div w:id="1286157622">
          <w:marLeft w:val="274"/>
          <w:marRight w:val="0"/>
          <w:marTop w:val="0"/>
          <w:marBottom w:val="0"/>
          <w:divBdr>
            <w:top w:val="none" w:sz="0" w:space="0" w:color="auto"/>
            <w:left w:val="none" w:sz="0" w:space="0" w:color="auto"/>
            <w:bottom w:val="none" w:sz="0" w:space="0" w:color="auto"/>
            <w:right w:val="none" w:sz="0" w:space="0" w:color="auto"/>
          </w:divBdr>
        </w:div>
        <w:div w:id="1786383192">
          <w:marLeft w:val="274"/>
          <w:marRight w:val="0"/>
          <w:marTop w:val="0"/>
          <w:marBottom w:val="0"/>
          <w:divBdr>
            <w:top w:val="none" w:sz="0" w:space="0" w:color="auto"/>
            <w:left w:val="none" w:sz="0" w:space="0" w:color="auto"/>
            <w:bottom w:val="none" w:sz="0" w:space="0" w:color="auto"/>
            <w:right w:val="none" w:sz="0" w:space="0" w:color="auto"/>
          </w:divBdr>
        </w:div>
        <w:div w:id="191000151">
          <w:marLeft w:val="274"/>
          <w:marRight w:val="0"/>
          <w:marTop w:val="0"/>
          <w:marBottom w:val="0"/>
          <w:divBdr>
            <w:top w:val="none" w:sz="0" w:space="0" w:color="auto"/>
            <w:left w:val="none" w:sz="0" w:space="0" w:color="auto"/>
            <w:bottom w:val="none" w:sz="0" w:space="0" w:color="auto"/>
            <w:right w:val="none" w:sz="0" w:space="0" w:color="auto"/>
          </w:divBdr>
        </w:div>
        <w:div w:id="1672676200">
          <w:marLeft w:val="274"/>
          <w:marRight w:val="0"/>
          <w:marTop w:val="0"/>
          <w:marBottom w:val="0"/>
          <w:divBdr>
            <w:top w:val="none" w:sz="0" w:space="0" w:color="auto"/>
            <w:left w:val="none" w:sz="0" w:space="0" w:color="auto"/>
            <w:bottom w:val="none" w:sz="0" w:space="0" w:color="auto"/>
            <w:right w:val="none" w:sz="0" w:space="0" w:color="auto"/>
          </w:divBdr>
        </w:div>
      </w:divsChild>
    </w:div>
    <w:div w:id="743726242">
      <w:bodyDiv w:val="1"/>
      <w:marLeft w:val="0"/>
      <w:marRight w:val="0"/>
      <w:marTop w:val="0"/>
      <w:marBottom w:val="0"/>
      <w:divBdr>
        <w:top w:val="none" w:sz="0" w:space="0" w:color="auto"/>
        <w:left w:val="none" w:sz="0" w:space="0" w:color="auto"/>
        <w:bottom w:val="none" w:sz="0" w:space="0" w:color="auto"/>
        <w:right w:val="none" w:sz="0" w:space="0" w:color="auto"/>
      </w:divBdr>
      <w:divsChild>
        <w:div w:id="1810171862">
          <w:marLeft w:val="274"/>
          <w:marRight w:val="0"/>
          <w:marTop w:val="0"/>
          <w:marBottom w:val="0"/>
          <w:divBdr>
            <w:top w:val="none" w:sz="0" w:space="0" w:color="auto"/>
            <w:left w:val="none" w:sz="0" w:space="0" w:color="auto"/>
            <w:bottom w:val="none" w:sz="0" w:space="0" w:color="auto"/>
            <w:right w:val="none" w:sz="0" w:space="0" w:color="auto"/>
          </w:divBdr>
        </w:div>
        <w:div w:id="1251234212">
          <w:marLeft w:val="274"/>
          <w:marRight w:val="0"/>
          <w:marTop w:val="0"/>
          <w:marBottom w:val="0"/>
          <w:divBdr>
            <w:top w:val="none" w:sz="0" w:space="0" w:color="auto"/>
            <w:left w:val="none" w:sz="0" w:space="0" w:color="auto"/>
            <w:bottom w:val="none" w:sz="0" w:space="0" w:color="auto"/>
            <w:right w:val="none" w:sz="0" w:space="0" w:color="auto"/>
          </w:divBdr>
        </w:div>
        <w:div w:id="656147861">
          <w:marLeft w:val="274"/>
          <w:marRight w:val="0"/>
          <w:marTop w:val="0"/>
          <w:marBottom w:val="0"/>
          <w:divBdr>
            <w:top w:val="none" w:sz="0" w:space="0" w:color="auto"/>
            <w:left w:val="none" w:sz="0" w:space="0" w:color="auto"/>
            <w:bottom w:val="none" w:sz="0" w:space="0" w:color="auto"/>
            <w:right w:val="none" w:sz="0" w:space="0" w:color="auto"/>
          </w:divBdr>
        </w:div>
      </w:divsChild>
    </w:div>
    <w:div w:id="788550609">
      <w:bodyDiv w:val="1"/>
      <w:marLeft w:val="0"/>
      <w:marRight w:val="0"/>
      <w:marTop w:val="0"/>
      <w:marBottom w:val="0"/>
      <w:divBdr>
        <w:top w:val="none" w:sz="0" w:space="0" w:color="auto"/>
        <w:left w:val="none" w:sz="0" w:space="0" w:color="auto"/>
        <w:bottom w:val="none" w:sz="0" w:space="0" w:color="auto"/>
        <w:right w:val="none" w:sz="0" w:space="0" w:color="auto"/>
      </w:divBdr>
    </w:div>
    <w:div w:id="79930224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7723791">
      <w:bodyDiv w:val="1"/>
      <w:marLeft w:val="0"/>
      <w:marRight w:val="0"/>
      <w:marTop w:val="0"/>
      <w:marBottom w:val="0"/>
      <w:divBdr>
        <w:top w:val="none" w:sz="0" w:space="0" w:color="auto"/>
        <w:left w:val="none" w:sz="0" w:space="0" w:color="auto"/>
        <w:bottom w:val="none" w:sz="0" w:space="0" w:color="auto"/>
        <w:right w:val="none" w:sz="0" w:space="0" w:color="auto"/>
      </w:divBdr>
    </w:div>
    <w:div w:id="888612821">
      <w:bodyDiv w:val="1"/>
      <w:marLeft w:val="0"/>
      <w:marRight w:val="0"/>
      <w:marTop w:val="0"/>
      <w:marBottom w:val="0"/>
      <w:divBdr>
        <w:top w:val="none" w:sz="0" w:space="0" w:color="auto"/>
        <w:left w:val="none" w:sz="0" w:space="0" w:color="auto"/>
        <w:bottom w:val="none" w:sz="0" w:space="0" w:color="auto"/>
        <w:right w:val="none" w:sz="0" w:space="0" w:color="auto"/>
      </w:divBdr>
    </w:div>
    <w:div w:id="909387365">
      <w:bodyDiv w:val="1"/>
      <w:marLeft w:val="0"/>
      <w:marRight w:val="0"/>
      <w:marTop w:val="0"/>
      <w:marBottom w:val="0"/>
      <w:divBdr>
        <w:top w:val="none" w:sz="0" w:space="0" w:color="auto"/>
        <w:left w:val="none" w:sz="0" w:space="0" w:color="auto"/>
        <w:bottom w:val="none" w:sz="0" w:space="0" w:color="auto"/>
        <w:right w:val="none" w:sz="0" w:space="0" w:color="auto"/>
      </w:divBdr>
      <w:divsChild>
        <w:div w:id="865294747">
          <w:marLeft w:val="274"/>
          <w:marRight w:val="0"/>
          <w:marTop w:val="0"/>
          <w:marBottom w:val="0"/>
          <w:divBdr>
            <w:top w:val="none" w:sz="0" w:space="0" w:color="auto"/>
            <w:left w:val="none" w:sz="0" w:space="0" w:color="auto"/>
            <w:bottom w:val="none" w:sz="0" w:space="0" w:color="auto"/>
            <w:right w:val="none" w:sz="0" w:space="0" w:color="auto"/>
          </w:divBdr>
        </w:div>
        <w:div w:id="147291531">
          <w:marLeft w:val="274"/>
          <w:marRight w:val="0"/>
          <w:marTop w:val="0"/>
          <w:marBottom w:val="0"/>
          <w:divBdr>
            <w:top w:val="none" w:sz="0" w:space="0" w:color="auto"/>
            <w:left w:val="none" w:sz="0" w:space="0" w:color="auto"/>
            <w:bottom w:val="none" w:sz="0" w:space="0" w:color="auto"/>
            <w:right w:val="none" w:sz="0" w:space="0" w:color="auto"/>
          </w:divBdr>
        </w:div>
        <w:div w:id="1675304365">
          <w:marLeft w:val="274"/>
          <w:marRight w:val="0"/>
          <w:marTop w:val="0"/>
          <w:marBottom w:val="0"/>
          <w:divBdr>
            <w:top w:val="none" w:sz="0" w:space="0" w:color="auto"/>
            <w:left w:val="none" w:sz="0" w:space="0" w:color="auto"/>
            <w:bottom w:val="none" w:sz="0" w:space="0" w:color="auto"/>
            <w:right w:val="none" w:sz="0" w:space="0" w:color="auto"/>
          </w:divBdr>
        </w:div>
        <w:div w:id="1719620175">
          <w:marLeft w:val="274"/>
          <w:marRight w:val="0"/>
          <w:marTop w:val="0"/>
          <w:marBottom w:val="0"/>
          <w:divBdr>
            <w:top w:val="none" w:sz="0" w:space="0" w:color="auto"/>
            <w:left w:val="none" w:sz="0" w:space="0" w:color="auto"/>
            <w:bottom w:val="none" w:sz="0" w:space="0" w:color="auto"/>
            <w:right w:val="none" w:sz="0" w:space="0" w:color="auto"/>
          </w:divBdr>
        </w:div>
      </w:divsChild>
    </w:div>
    <w:div w:id="930358020">
      <w:bodyDiv w:val="1"/>
      <w:marLeft w:val="0"/>
      <w:marRight w:val="0"/>
      <w:marTop w:val="0"/>
      <w:marBottom w:val="0"/>
      <w:divBdr>
        <w:top w:val="none" w:sz="0" w:space="0" w:color="auto"/>
        <w:left w:val="none" w:sz="0" w:space="0" w:color="auto"/>
        <w:bottom w:val="none" w:sz="0" w:space="0" w:color="auto"/>
        <w:right w:val="none" w:sz="0" w:space="0" w:color="auto"/>
      </w:divBdr>
      <w:divsChild>
        <w:div w:id="1777630634">
          <w:marLeft w:val="274"/>
          <w:marRight w:val="0"/>
          <w:marTop w:val="0"/>
          <w:marBottom w:val="0"/>
          <w:divBdr>
            <w:top w:val="none" w:sz="0" w:space="0" w:color="auto"/>
            <w:left w:val="none" w:sz="0" w:space="0" w:color="auto"/>
            <w:bottom w:val="none" w:sz="0" w:space="0" w:color="auto"/>
            <w:right w:val="none" w:sz="0" w:space="0" w:color="auto"/>
          </w:divBdr>
        </w:div>
        <w:div w:id="727413289">
          <w:marLeft w:val="274"/>
          <w:marRight w:val="0"/>
          <w:marTop w:val="0"/>
          <w:marBottom w:val="0"/>
          <w:divBdr>
            <w:top w:val="none" w:sz="0" w:space="0" w:color="auto"/>
            <w:left w:val="none" w:sz="0" w:space="0" w:color="auto"/>
            <w:bottom w:val="none" w:sz="0" w:space="0" w:color="auto"/>
            <w:right w:val="none" w:sz="0" w:space="0" w:color="auto"/>
          </w:divBdr>
        </w:div>
      </w:divsChild>
    </w:div>
    <w:div w:id="996542441">
      <w:bodyDiv w:val="1"/>
      <w:marLeft w:val="0"/>
      <w:marRight w:val="0"/>
      <w:marTop w:val="0"/>
      <w:marBottom w:val="0"/>
      <w:divBdr>
        <w:top w:val="none" w:sz="0" w:space="0" w:color="auto"/>
        <w:left w:val="none" w:sz="0" w:space="0" w:color="auto"/>
        <w:bottom w:val="none" w:sz="0" w:space="0" w:color="auto"/>
        <w:right w:val="none" w:sz="0" w:space="0" w:color="auto"/>
      </w:divBdr>
    </w:div>
    <w:div w:id="999771511">
      <w:bodyDiv w:val="1"/>
      <w:marLeft w:val="0"/>
      <w:marRight w:val="0"/>
      <w:marTop w:val="0"/>
      <w:marBottom w:val="0"/>
      <w:divBdr>
        <w:top w:val="none" w:sz="0" w:space="0" w:color="auto"/>
        <w:left w:val="none" w:sz="0" w:space="0" w:color="auto"/>
        <w:bottom w:val="none" w:sz="0" w:space="0" w:color="auto"/>
        <w:right w:val="none" w:sz="0" w:space="0" w:color="auto"/>
      </w:divBdr>
    </w:div>
    <w:div w:id="1016231085">
      <w:bodyDiv w:val="1"/>
      <w:marLeft w:val="0"/>
      <w:marRight w:val="0"/>
      <w:marTop w:val="0"/>
      <w:marBottom w:val="0"/>
      <w:divBdr>
        <w:top w:val="none" w:sz="0" w:space="0" w:color="auto"/>
        <w:left w:val="none" w:sz="0" w:space="0" w:color="auto"/>
        <w:bottom w:val="none" w:sz="0" w:space="0" w:color="auto"/>
        <w:right w:val="none" w:sz="0" w:space="0" w:color="auto"/>
      </w:divBdr>
    </w:div>
    <w:div w:id="1036735279">
      <w:bodyDiv w:val="1"/>
      <w:marLeft w:val="0"/>
      <w:marRight w:val="0"/>
      <w:marTop w:val="0"/>
      <w:marBottom w:val="0"/>
      <w:divBdr>
        <w:top w:val="none" w:sz="0" w:space="0" w:color="auto"/>
        <w:left w:val="none" w:sz="0" w:space="0" w:color="auto"/>
        <w:bottom w:val="none" w:sz="0" w:space="0" w:color="auto"/>
        <w:right w:val="none" w:sz="0" w:space="0" w:color="auto"/>
      </w:divBdr>
    </w:div>
    <w:div w:id="1075123580">
      <w:bodyDiv w:val="1"/>
      <w:marLeft w:val="0"/>
      <w:marRight w:val="0"/>
      <w:marTop w:val="0"/>
      <w:marBottom w:val="0"/>
      <w:divBdr>
        <w:top w:val="none" w:sz="0" w:space="0" w:color="auto"/>
        <w:left w:val="none" w:sz="0" w:space="0" w:color="auto"/>
        <w:bottom w:val="none" w:sz="0" w:space="0" w:color="auto"/>
        <w:right w:val="none" w:sz="0" w:space="0" w:color="auto"/>
      </w:divBdr>
      <w:divsChild>
        <w:div w:id="1484732905">
          <w:marLeft w:val="0"/>
          <w:marRight w:val="0"/>
          <w:marTop w:val="0"/>
          <w:marBottom w:val="0"/>
          <w:divBdr>
            <w:top w:val="none" w:sz="0" w:space="0" w:color="auto"/>
            <w:left w:val="none" w:sz="0" w:space="0" w:color="auto"/>
            <w:bottom w:val="none" w:sz="0" w:space="0" w:color="auto"/>
            <w:right w:val="none" w:sz="0" w:space="0" w:color="auto"/>
          </w:divBdr>
        </w:div>
      </w:divsChild>
    </w:div>
    <w:div w:id="1143235841">
      <w:bodyDiv w:val="1"/>
      <w:marLeft w:val="0"/>
      <w:marRight w:val="0"/>
      <w:marTop w:val="0"/>
      <w:marBottom w:val="0"/>
      <w:divBdr>
        <w:top w:val="none" w:sz="0" w:space="0" w:color="auto"/>
        <w:left w:val="none" w:sz="0" w:space="0" w:color="auto"/>
        <w:bottom w:val="none" w:sz="0" w:space="0" w:color="auto"/>
        <w:right w:val="none" w:sz="0" w:space="0" w:color="auto"/>
      </w:divBdr>
    </w:div>
    <w:div w:id="1201357315">
      <w:bodyDiv w:val="1"/>
      <w:marLeft w:val="0"/>
      <w:marRight w:val="0"/>
      <w:marTop w:val="0"/>
      <w:marBottom w:val="0"/>
      <w:divBdr>
        <w:top w:val="none" w:sz="0" w:space="0" w:color="auto"/>
        <w:left w:val="none" w:sz="0" w:space="0" w:color="auto"/>
        <w:bottom w:val="none" w:sz="0" w:space="0" w:color="auto"/>
        <w:right w:val="none" w:sz="0" w:space="0" w:color="auto"/>
      </w:divBdr>
    </w:div>
    <w:div w:id="1278483673">
      <w:bodyDiv w:val="1"/>
      <w:marLeft w:val="0"/>
      <w:marRight w:val="0"/>
      <w:marTop w:val="0"/>
      <w:marBottom w:val="0"/>
      <w:divBdr>
        <w:top w:val="none" w:sz="0" w:space="0" w:color="auto"/>
        <w:left w:val="none" w:sz="0" w:space="0" w:color="auto"/>
        <w:bottom w:val="none" w:sz="0" w:space="0" w:color="auto"/>
        <w:right w:val="none" w:sz="0" w:space="0" w:color="auto"/>
      </w:divBdr>
      <w:divsChild>
        <w:div w:id="91361493">
          <w:marLeft w:val="288"/>
          <w:marRight w:val="0"/>
          <w:marTop w:val="0"/>
          <w:marBottom w:val="0"/>
          <w:divBdr>
            <w:top w:val="none" w:sz="0" w:space="0" w:color="auto"/>
            <w:left w:val="none" w:sz="0" w:space="0" w:color="auto"/>
            <w:bottom w:val="none" w:sz="0" w:space="0" w:color="auto"/>
            <w:right w:val="none" w:sz="0" w:space="0" w:color="auto"/>
          </w:divBdr>
        </w:div>
        <w:div w:id="423500493">
          <w:marLeft w:val="288"/>
          <w:marRight w:val="0"/>
          <w:marTop w:val="0"/>
          <w:marBottom w:val="0"/>
          <w:divBdr>
            <w:top w:val="none" w:sz="0" w:space="0" w:color="auto"/>
            <w:left w:val="none" w:sz="0" w:space="0" w:color="auto"/>
            <w:bottom w:val="none" w:sz="0" w:space="0" w:color="auto"/>
            <w:right w:val="none" w:sz="0" w:space="0" w:color="auto"/>
          </w:divBdr>
        </w:div>
        <w:div w:id="755397787">
          <w:marLeft w:val="274"/>
          <w:marRight w:val="0"/>
          <w:marTop w:val="0"/>
          <w:marBottom w:val="0"/>
          <w:divBdr>
            <w:top w:val="none" w:sz="0" w:space="0" w:color="auto"/>
            <w:left w:val="none" w:sz="0" w:space="0" w:color="auto"/>
            <w:bottom w:val="none" w:sz="0" w:space="0" w:color="auto"/>
            <w:right w:val="none" w:sz="0" w:space="0" w:color="auto"/>
          </w:divBdr>
        </w:div>
        <w:div w:id="850606294">
          <w:marLeft w:val="274"/>
          <w:marRight w:val="0"/>
          <w:marTop w:val="0"/>
          <w:marBottom w:val="0"/>
          <w:divBdr>
            <w:top w:val="none" w:sz="0" w:space="0" w:color="auto"/>
            <w:left w:val="none" w:sz="0" w:space="0" w:color="auto"/>
            <w:bottom w:val="none" w:sz="0" w:space="0" w:color="auto"/>
            <w:right w:val="none" w:sz="0" w:space="0" w:color="auto"/>
          </w:divBdr>
        </w:div>
        <w:div w:id="1293050628">
          <w:marLeft w:val="288"/>
          <w:marRight w:val="0"/>
          <w:marTop w:val="0"/>
          <w:marBottom w:val="0"/>
          <w:divBdr>
            <w:top w:val="none" w:sz="0" w:space="0" w:color="auto"/>
            <w:left w:val="none" w:sz="0" w:space="0" w:color="auto"/>
            <w:bottom w:val="none" w:sz="0" w:space="0" w:color="auto"/>
            <w:right w:val="none" w:sz="0" w:space="0" w:color="auto"/>
          </w:divBdr>
        </w:div>
        <w:div w:id="1587227370">
          <w:marLeft w:val="288"/>
          <w:marRight w:val="0"/>
          <w:marTop w:val="0"/>
          <w:marBottom w:val="0"/>
          <w:divBdr>
            <w:top w:val="none" w:sz="0" w:space="0" w:color="auto"/>
            <w:left w:val="none" w:sz="0" w:space="0" w:color="auto"/>
            <w:bottom w:val="none" w:sz="0" w:space="0" w:color="auto"/>
            <w:right w:val="none" w:sz="0" w:space="0" w:color="auto"/>
          </w:divBdr>
        </w:div>
        <w:div w:id="1793550907">
          <w:marLeft w:val="288"/>
          <w:marRight w:val="0"/>
          <w:marTop w:val="0"/>
          <w:marBottom w:val="0"/>
          <w:divBdr>
            <w:top w:val="none" w:sz="0" w:space="0" w:color="auto"/>
            <w:left w:val="none" w:sz="0" w:space="0" w:color="auto"/>
            <w:bottom w:val="none" w:sz="0" w:space="0" w:color="auto"/>
            <w:right w:val="none" w:sz="0" w:space="0" w:color="auto"/>
          </w:divBdr>
        </w:div>
        <w:div w:id="1865707080">
          <w:marLeft w:val="274"/>
          <w:marRight w:val="0"/>
          <w:marTop w:val="0"/>
          <w:marBottom w:val="0"/>
          <w:divBdr>
            <w:top w:val="none" w:sz="0" w:space="0" w:color="auto"/>
            <w:left w:val="none" w:sz="0" w:space="0" w:color="auto"/>
            <w:bottom w:val="none" w:sz="0" w:space="0" w:color="auto"/>
            <w:right w:val="none" w:sz="0" w:space="0" w:color="auto"/>
          </w:divBdr>
        </w:div>
        <w:div w:id="2005888284">
          <w:marLeft w:val="288"/>
          <w:marRight w:val="0"/>
          <w:marTop w:val="0"/>
          <w:marBottom w:val="0"/>
          <w:divBdr>
            <w:top w:val="none" w:sz="0" w:space="0" w:color="auto"/>
            <w:left w:val="none" w:sz="0" w:space="0" w:color="auto"/>
            <w:bottom w:val="none" w:sz="0" w:space="0" w:color="auto"/>
            <w:right w:val="none" w:sz="0" w:space="0" w:color="auto"/>
          </w:divBdr>
        </w:div>
        <w:div w:id="2134133394">
          <w:marLeft w:val="288"/>
          <w:marRight w:val="0"/>
          <w:marTop w:val="0"/>
          <w:marBottom w:val="0"/>
          <w:divBdr>
            <w:top w:val="none" w:sz="0" w:space="0" w:color="auto"/>
            <w:left w:val="none" w:sz="0" w:space="0" w:color="auto"/>
            <w:bottom w:val="none" w:sz="0" w:space="0" w:color="auto"/>
            <w:right w:val="none" w:sz="0" w:space="0" w:color="auto"/>
          </w:divBdr>
        </w:div>
      </w:divsChild>
    </w:div>
    <w:div w:id="1300070100">
      <w:bodyDiv w:val="1"/>
      <w:marLeft w:val="0"/>
      <w:marRight w:val="0"/>
      <w:marTop w:val="0"/>
      <w:marBottom w:val="0"/>
      <w:divBdr>
        <w:top w:val="none" w:sz="0" w:space="0" w:color="auto"/>
        <w:left w:val="none" w:sz="0" w:space="0" w:color="auto"/>
        <w:bottom w:val="none" w:sz="0" w:space="0" w:color="auto"/>
        <w:right w:val="none" w:sz="0" w:space="0" w:color="auto"/>
      </w:divBdr>
      <w:divsChild>
        <w:div w:id="1818260269">
          <w:marLeft w:val="274"/>
          <w:marRight w:val="0"/>
          <w:marTop w:val="0"/>
          <w:marBottom w:val="0"/>
          <w:divBdr>
            <w:top w:val="none" w:sz="0" w:space="0" w:color="auto"/>
            <w:left w:val="none" w:sz="0" w:space="0" w:color="auto"/>
            <w:bottom w:val="none" w:sz="0" w:space="0" w:color="auto"/>
            <w:right w:val="none" w:sz="0" w:space="0" w:color="auto"/>
          </w:divBdr>
        </w:div>
        <w:div w:id="480196422">
          <w:marLeft w:val="274"/>
          <w:marRight w:val="0"/>
          <w:marTop w:val="0"/>
          <w:marBottom w:val="0"/>
          <w:divBdr>
            <w:top w:val="none" w:sz="0" w:space="0" w:color="auto"/>
            <w:left w:val="none" w:sz="0" w:space="0" w:color="auto"/>
            <w:bottom w:val="none" w:sz="0" w:space="0" w:color="auto"/>
            <w:right w:val="none" w:sz="0" w:space="0" w:color="auto"/>
          </w:divBdr>
        </w:div>
        <w:div w:id="358548799">
          <w:marLeft w:val="274"/>
          <w:marRight w:val="0"/>
          <w:marTop w:val="0"/>
          <w:marBottom w:val="0"/>
          <w:divBdr>
            <w:top w:val="none" w:sz="0" w:space="0" w:color="auto"/>
            <w:left w:val="none" w:sz="0" w:space="0" w:color="auto"/>
            <w:bottom w:val="none" w:sz="0" w:space="0" w:color="auto"/>
            <w:right w:val="none" w:sz="0" w:space="0" w:color="auto"/>
          </w:divBdr>
        </w:div>
        <w:div w:id="1213007057">
          <w:marLeft w:val="274"/>
          <w:marRight w:val="0"/>
          <w:marTop w:val="0"/>
          <w:marBottom w:val="0"/>
          <w:divBdr>
            <w:top w:val="none" w:sz="0" w:space="0" w:color="auto"/>
            <w:left w:val="none" w:sz="0" w:space="0" w:color="auto"/>
            <w:bottom w:val="none" w:sz="0" w:space="0" w:color="auto"/>
            <w:right w:val="none" w:sz="0" w:space="0" w:color="auto"/>
          </w:divBdr>
        </w:div>
        <w:div w:id="1080249748">
          <w:marLeft w:val="274"/>
          <w:marRight w:val="0"/>
          <w:marTop w:val="0"/>
          <w:marBottom w:val="0"/>
          <w:divBdr>
            <w:top w:val="none" w:sz="0" w:space="0" w:color="auto"/>
            <w:left w:val="none" w:sz="0" w:space="0" w:color="auto"/>
            <w:bottom w:val="none" w:sz="0" w:space="0" w:color="auto"/>
            <w:right w:val="none" w:sz="0" w:space="0" w:color="auto"/>
          </w:divBdr>
        </w:div>
      </w:divsChild>
    </w:div>
    <w:div w:id="1329865878">
      <w:bodyDiv w:val="1"/>
      <w:marLeft w:val="0"/>
      <w:marRight w:val="0"/>
      <w:marTop w:val="0"/>
      <w:marBottom w:val="0"/>
      <w:divBdr>
        <w:top w:val="none" w:sz="0" w:space="0" w:color="auto"/>
        <w:left w:val="none" w:sz="0" w:space="0" w:color="auto"/>
        <w:bottom w:val="none" w:sz="0" w:space="0" w:color="auto"/>
        <w:right w:val="none" w:sz="0" w:space="0" w:color="auto"/>
      </w:divBdr>
    </w:div>
    <w:div w:id="1391423607">
      <w:bodyDiv w:val="1"/>
      <w:marLeft w:val="0"/>
      <w:marRight w:val="0"/>
      <w:marTop w:val="0"/>
      <w:marBottom w:val="0"/>
      <w:divBdr>
        <w:top w:val="none" w:sz="0" w:space="0" w:color="auto"/>
        <w:left w:val="none" w:sz="0" w:space="0" w:color="auto"/>
        <w:bottom w:val="none" w:sz="0" w:space="0" w:color="auto"/>
        <w:right w:val="none" w:sz="0" w:space="0" w:color="auto"/>
      </w:divBdr>
      <w:divsChild>
        <w:div w:id="1159350768">
          <w:marLeft w:val="274"/>
          <w:marRight w:val="0"/>
          <w:marTop w:val="0"/>
          <w:marBottom w:val="0"/>
          <w:divBdr>
            <w:top w:val="none" w:sz="0" w:space="0" w:color="auto"/>
            <w:left w:val="none" w:sz="0" w:space="0" w:color="auto"/>
            <w:bottom w:val="none" w:sz="0" w:space="0" w:color="auto"/>
            <w:right w:val="none" w:sz="0" w:space="0" w:color="auto"/>
          </w:divBdr>
        </w:div>
        <w:div w:id="1104031385">
          <w:marLeft w:val="274"/>
          <w:marRight w:val="0"/>
          <w:marTop w:val="0"/>
          <w:marBottom w:val="0"/>
          <w:divBdr>
            <w:top w:val="none" w:sz="0" w:space="0" w:color="auto"/>
            <w:left w:val="none" w:sz="0" w:space="0" w:color="auto"/>
            <w:bottom w:val="none" w:sz="0" w:space="0" w:color="auto"/>
            <w:right w:val="none" w:sz="0" w:space="0" w:color="auto"/>
          </w:divBdr>
        </w:div>
        <w:div w:id="211769321">
          <w:marLeft w:val="274"/>
          <w:marRight w:val="0"/>
          <w:marTop w:val="0"/>
          <w:marBottom w:val="0"/>
          <w:divBdr>
            <w:top w:val="none" w:sz="0" w:space="0" w:color="auto"/>
            <w:left w:val="none" w:sz="0" w:space="0" w:color="auto"/>
            <w:bottom w:val="none" w:sz="0" w:space="0" w:color="auto"/>
            <w:right w:val="none" w:sz="0" w:space="0" w:color="auto"/>
          </w:divBdr>
        </w:div>
        <w:div w:id="1841851499">
          <w:marLeft w:val="994"/>
          <w:marRight w:val="0"/>
          <w:marTop w:val="0"/>
          <w:marBottom w:val="0"/>
          <w:divBdr>
            <w:top w:val="none" w:sz="0" w:space="0" w:color="auto"/>
            <w:left w:val="none" w:sz="0" w:space="0" w:color="auto"/>
            <w:bottom w:val="none" w:sz="0" w:space="0" w:color="auto"/>
            <w:right w:val="none" w:sz="0" w:space="0" w:color="auto"/>
          </w:divBdr>
        </w:div>
        <w:div w:id="416679738">
          <w:marLeft w:val="994"/>
          <w:marRight w:val="0"/>
          <w:marTop w:val="0"/>
          <w:marBottom w:val="0"/>
          <w:divBdr>
            <w:top w:val="none" w:sz="0" w:space="0" w:color="auto"/>
            <w:left w:val="none" w:sz="0" w:space="0" w:color="auto"/>
            <w:bottom w:val="none" w:sz="0" w:space="0" w:color="auto"/>
            <w:right w:val="none" w:sz="0" w:space="0" w:color="auto"/>
          </w:divBdr>
        </w:div>
      </w:divsChild>
    </w:div>
    <w:div w:id="1418290433">
      <w:bodyDiv w:val="1"/>
      <w:marLeft w:val="0"/>
      <w:marRight w:val="0"/>
      <w:marTop w:val="0"/>
      <w:marBottom w:val="0"/>
      <w:divBdr>
        <w:top w:val="none" w:sz="0" w:space="0" w:color="auto"/>
        <w:left w:val="none" w:sz="0" w:space="0" w:color="auto"/>
        <w:bottom w:val="none" w:sz="0" w:space="0" w:color="auto"/>
        <w:right w:val="none" w:sz="0" w:space="0" w:color="auto"/>
      </w:divBdr>
    </w:div>
    <w:div w:id="1420298509">
      <w:bodyDiv w:val="1"/>
      <w:marLeft w:val="0"/>
      <w:marRight w:val="0"/>
      <w:marTop w:val="0"/>
      <w:marBottom w:val="0"/>
      <w:divBdr>
        <w:top w:val="none" w:sz="0" w:space="0" w:color="auto"/>
        <w:left w:val="none" w:sz="0" w:space="0" w:color="auto"/>
        <w:bottom w:val="none" w:sz="0" w:space="0" w:color="auto"/>
        <w:right w:val="none" w:sz="0" w:space="0" w:color="auto"/>
      </w:divBdr>
    </w:div>
    <w:div w:id="1488127952">
      <w:bodyDiv w:val="1"/>
      <w:marLeft w:val="0"/>
      <w:marRight w:val="0"/>
      <w:marTop w:val="0"/>
      <w:marBottom w:val="0"/>
      <w:divBdr>
        <w:top w:val="none" w:sz="0" w:space="0" w:color="auto"/>
        <w:left w:val="none" w:sz="0" w:space="0" w:color="auto"/>
        <w:bottom w:val="none" w:sz="0" w:space="0" w:color="auto"/>
        <w:right w:val="none" w:sz="0" w:space="0" w:color="auto"/>
      </w:divBdr>
      <w:divsChild>
        <w:div w:id="447160548">
          <w:marLeft w:val="274"/>
          <w:marRight w:val="0"/>
          <w:marTop w:val="0"/>
          <w:marBottom w:val="0"/>
          <w:divBdr>
            <w:top w:val="none" w:sz="0" w:space="0" w:color="auto"/>
            <w:left w:val="none" w:sz="0" w:space="0" w:color="auto"/>
            <w:bottom w:val="none" w:sz="0" w:space="0" w:color="auto"/>
            <w:right w:val="none" w:sz="0" w:space="0" w:color="auto"/>
          </w:divBdr>
        </w:div>
        <w:div w:id="27147815">
          <w:marLeft w:val="274"/>
          <w:marRight w:val="0"/>
          <w:marTop w:val="0"/>
          <w:marBottom w:val="0"/>
          <w:divBdr>
            <w:top w:val="none" w:sz="0" w:space="0" w:color="auto"/>
            <w:left w:val="none" w:sz="0" w:space="0" w:color="auto"/>
            <w:bottom w:val="none" w:sz="0" w:space="0" w:color="auto"/>
            <w:right w:val="none" w:sz="0" w:space="0" w:color="auto"/>
          </w:divBdr>
        </w:div>
        <w:div w:id="571625783">
          <w:marLeft w:val="274"/>
          <w:marRight w:val="0"/>
          <w:marTop w:val="0"/>
          <w:marBottom w:val="0"/>
          <w:divBdr>
            <w:top w:val="none" w:sz="0" w:space="0" w:color="auto"/>
            <w:left w:val="none" w:sz="0" w:space="0" w:color="auto"/>
            <w:bottom w:val="none" w:sz="0" w:space="0" w:color="auto"/>
            <w:right w:val="none" w:sz="0" w:space="0" w:color="auto"/>
          </w:divBdr>
        </w:div>
      </w:divsChild>
    </w:div>
    <w:div w:id="1494640873">
      <w:bodyDiv w:val="1"/>
      <w:marLeft w:val="0"/>
      <w:marRight w:val="0"/>
      <w:marTop w:val="0"/>
      <w:marBottom w:val="0"/>
      <w:divBdr>
        <w:top w:val="none" w:sz="0" w:space="0" w:color="auto"/>
        <w:left w:val="none" w:sz="0" w:space="0" w:color="auto"/>
        <w:bottom w:val="none" w:sz="0" w:space="0" w:color="auto"/>
        <w:right w:val="none" w:sz="0" w:space="0" w:color="auto"/>
      </w:divBdr>
    </w:div>
    <w:div w:id="1499736855">
      <w:bodyDiv w:val="1"/>
      <w:marLeft w:val="0"/>
      <w:marRight w:val="0"/>
      <w:marTop w:val="0"/>
      <w:marBottom w:val="0"/>
      <w:divBdr>
        <w:top w:val="none" w:sz="0" w:space="0" w:color="auto"/>
        <w:left w:val="none" w:sz="0" w:space="0" w:color="auto"/>
        <w:bottom w:val="none" w:sz="0" w:space="0" w:color="auto"/>
        <w:right w:val="none" w:sz="0" w:space="0" w:color="auto"/>
      </w:divBdr>
    </w:div>
    <w:div w:id="1549803354">
      <w:bodyDiv w:val="1"/>
      <w:marLeft w:val="0"/>
      <w:marRight w:val="0"/>
      <w:marTop w:val="0"/>
      <w:marBottom w:val="0"/>
      <w:divBdr>
        <w:top w:val="none" w:sz="0" w:space="0" w:color="auto"/>
        <w:left w:val="none" w:sz="0" w:space="0" w:color="auto"/>
        <w:bottom w:val="none" w:sz="0" w:space="0" w:color="auto"/>
        <w:right w:val="none" w:sz="0" w:space="0" w:color="auto"/>
      </w:divBdr>
      <w:divsChild>
        <w:div w:id="1409961204">
          <w:marLeft w:val="274"/>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584220088">
      <w:bodyDiv w:val="1"/>
      <w:marLeft w:val="0"/>
      <w:marRight w:val="0"/>
      <w:marTop w:val="0"/>
      <w:marBottom w:val="0"/>
      <w:divBdr>
        <w:top w:val="none" w:sz="0" w:space="0" w:color="auto"/>
        <w:left w:val="none" w:sz="0" w:space="0" w:color="auto"/>
        <w:bottom w:val="none" w:sz="0" w:space="0" w:color="auto"/>
        <w:right w:val="none" w:sz="0" w:space="0" w:color="auto"/>
      </w:divBdr>
      <w:divsChild>
        <w:div w:id="1165974397">
          <w:marLeft w:val="274"/>
          <w:marRight w:val="0"/>
          <w:marTop w:val="0"/>
          <w:marBottom w:val="0"/>
          <w:divBdr>
            <w:top w:val="none" w:sz="0" w:space="0" w:color="auto"/>
            <w:left w:val="none" w:sz="0" w:space="0" w:color="auto"/>
            <w:bottom w:val="none" w:sz="0" w:space="0" w:color="auto"/>
            <w:right w:val="none" w:sz="0" w:space="0" w:color="auto"/>
          </w:divBdr>
        </w:div>
        <w:div w:id="603732788">
          <w:marLeft w:val="274"/>
          <w:marRight w:val="0"/>
          <w:marTop w:val="0"/>
          <w:marBottom w:val="0"/>
          <w:divBdr>
            <w:top w:val="none" w:sz="0" w:space="0" w:color="auto"/>
            <w:left w:val="none" w:sz="0" w:space="0" w:color="auto"/>
            <w:bottom w:val="none" w:sz="0" w:space="0" w:color="auto"/>
            <w:right w:val="none" w:sz="0" w:space="0" w:color="auto"/>
          </w:divBdr>
        </w:div>
      </w:divsChild>
    </w:div>
    <w:div w:id="1615552699">
      <w:bodyDiv w:val="1"/>
      <w:marLeft w:val="0"/>
      <w:marRight w:val="0"/>
      <w:marTop w:val="0"/>
      <w:marBottom w:val="0"/>
      <w:divBdr>
        <w:top w:val="none" w:sz="0" w:space="0" w:color="auto"/>
        <w:left w:val="none" w:sz="0" w:space="0" w:color="auto"/>
        <w:bottom w:val="none" w:sz="0" w:space="0" w:color="auto"/>
        <w:right w:val="none" w:sz="0" w:space="0" w:color="auto"/>
      </w:divBdr>
    </w:div>
    <w:div w:id="1643389415">
      <w:bodyDiv w:val="1"/>
      <w:marLeft w:val="0"/>
      <w:marRight w:val="0"/>
      <w:marTop w:val="0"/>
      <w:marBottom w:val="0"/>
      <w:divBdr>
        <w:top w:val="none" w:sz="0" w:space="0" w:color="auto"/>
        <w:left w:val="none" w:sz="0" w:space="0" w:color="auto"/>
        <w:bottom w:val="none" w:sz="0" w:space="0" w:color="auto"/>
        <w:right w:val="none" w:sz="0" w:space="0" w:color="auto"/>
      </w:divBdr>
    </w:div>
    <w:div w:id="1693149313">
      <w:bodyDiv w:val="1"/>
      <w:marLeft w:val="0"/>
      <w:marRight w:val="0"/>
      <w:marTop w:val="0"/>
      <w:marBottom w:val="0"/>
      <w:divBdr>
        <w:top w:val="none" w:sz="0" w:space="0" w:color="auto"/>
        <w:left w:val="none" w:sz="0" w:space="0" w:color="auto"/>
        <w:bottom w:val="none" w:sz="0" w:space="0" w:color="auto"/>
        <w:right w:val="none" w:sz="0" w:space="0" w:color="auto"/>
      </w:divBdr>
      <w:divsChild>
        <w:div w:id="669795342">
          <w:marLeft w:val="274"/>
          <w:marRight w:val="0"/>
          <w:marTop w:val="0"/>
          <w:marBottom w:val="0"/>
          <w:divBdr>
            <w:top w:val="none" w:sz="0" w:space="0" w:color="auto"/>
            <w:left w:val="none" w:sz="0" w:space="0" w:color="auto"/>
            <w:bottom w:val="none" w:sz="0" w:space="0" w:color="auto"/>
            <w:right w:val="none" w:sz="0" w:space="0" w:color="auto"/>
          </w:divBdr>
        </w:div>
        <w:div w:id="951205998">
          <w:marLeft w:val="274"/>
          <w:marRight w:val="0"/>
          <w:marTop w:val="0"/>
          <w:marBottom w:val="0"/>
          <w:divBdr>
            <w:top w:val="none" w:sz="0" w:space="0" w:color="auto"/>
            <w:left w:val="none" w:sz="0" w:space="0" w:color="auto"/>
            <w:bottom w:val="none" w:sz="0" w:space="0" w:color="auto"/>
            <w:right w:val="none" w:sz="0" w:space="0" w:color="auto"/>
          </w:divBdr>
        </w:div>
        <w:div w:id="1741781300">
          <w:marLeft w:val="274"/>
          <w:marRight w:val="0"/>
          <w:marTop w:val="0"/>
          <w:marBottom w:val="0"/>
          <w:divBdr>
            <w:top w:val="none" w:sz="0" w:space="0" w:color="auto"/>
            <w:left w:val="none" w:sz="0" w:space="0" w:color="auto"/>
            <w:bottom w:val="none" w:sz="0" w:space="0" w:color="auto"/>
            <w:right w:val="none" w:sz="0" w:space="0" w:color="auto"/>
          </w:divBdr>
        </w:div>
      </w:divsChild>
    </w:div>
    <w:div w:id="1736464225">
      <w:bodyDiv w:val="1"/>
      <w:marLeft w:val="0"/>
      <w:marRight w:val="0"/>
      <w:marTop w:val="0"/>
      <w:marBottom w:val="0"/>
      <w:divBdr>
        <w:top w:val="none" w:sz="0" w:space="0" w:color="auto"/>
        <w:left w:val="none" w:sz="0" w:space="0" w:color="auto"/>
        <w:bottom w:val="none" w:sz="0" w:space="0" w:color="auto"/>
        <w:right w:val="none" w:sz="0" w:space="0" w:color="auto"/>
      </w:divBdr>
    </w:div>
    <w:div w:id="1821578820">
      <w:bodyDiv w:val="1"/>
      <w:marLeft w:val="0"/>
      <w:marRight w:val="0"/>
      <w:marTop w:val="0"/>
      <w:marBottom w:val="0"/>
      <w:divBdr>
        <w:top w:val="none" w:sz="0" w:space="0" w:color="auto"/>
        <w:left w:val="none" w:sz="0" w:space="0" w:color="auto"/>
        <w:bottom w:val="none" w:sz="0" w:space="0" w:color="auto"/>
        <w:right w:val="none" w:sz="0" w:space="0" w:color="auto"/>
      </w:divBdr>
    </w:div>
    <w:div w:id="1931035866">
      <w:bodyDiv w:val="1"/>
      <w:marLeft w:val="0"/>
      <w:marRight w:val="0"/>
      <w:marTop w:val="0"/>
      <w:marBottom w:val="0"/>
      <w:divBdr>
        <w:top w:val="none" w:sz="0" w:space="0" w:color="auto"/>
        <w:left w:val="none" w:sz="0" w:space="0" w:color="auto"/>
        <w:bottom w:val="none" w:sz="0" w:space="0" w:color="auto"/>
        <w:right w:val="none" w:sz="0" w:space="0" w:color="auto"/>
      </w:divBdr>
      <w:divsChild>
        <w:div w:id="1298415263">
          <w:marLeft w:val="274"/>
          <w:marRight w:val="0"/>
          <w:marTop w:val="0"/>
          <w:marBottom w:val="0"/>
          <w:divBdr>
            <w:top w:val="none" w:sz="0" w:space="0" w:color="auto"/>
            <w:left w:val="none" w:sz="0" w:space="0" w:color="auto"/>
            <w:bottom w:val="none" w:sz="0" w:space="0" w:color="auto"/>
            <w:right w:val="none" w:sz="0" w:space="0" w:color="auto"/>
          </w:divBdr>
        </w:div>
        <w:div w:id="1124930479">
          <w:marLeft w:val="274"/>
          <w:marRight w:val="0"/>
          <w:marTop w:val="0"/>
          <w:marBottom w:val="0"/>
          <w:divBdr>
            <w:top w:val="none" w:sz="0" w:space="0" w:color="auto"/>
            <w:left w:val="none" w:sz="0" w:space="0" w:color="auto"/>
            <w:bottom w:val="none" w:sz="0" w:space="0" w:color="auto"/>
            <w:right w:val="none" w:sz="0" w:space="0" w:color="auto"/>
          </w:divBdr>
        </w:div>
        <w:div w:id="507402940">
          <w:marLeft w:val="274"/>
          <w:marRight w:val="0"/>
          <w:marTop w:val="0"/>
          <w:marBottom w:val="0"/>
          <w:divBdr>
            <w:top w:val="none" w:sz="0" w:space="0" w:color="auto"/>
            <w:left w:val="none" w:sz="0" w:space="0" w:color="auto"/>
            <w:bottom w:val="none" w:sz="0" w:space="0" w:color="auto"/>
            <w:right w:val="none" w:sz="0" w:space="0" w:color="auto"/>
          </w:divBdr>
        </w:div>
      </w:divsChild>
    </w:div>
    <w:div w:id="1988313584">
      <w:bodyDiv w:val="1"/>
      <w:marLeft w:val="0"/>
      <w:marRight w:val="0"/>
      <w:marTop w:val="0"/>
      <w:marBottom w:val="0"/>
      <w:divBdr>
        <w:top w:val="none" w:sz="0" w:space="0" w:color="auto"/>
        <w:left w:val="none" w:sz="0" w:space="0" w:color="auto"/>
        <w:bottom w:val="none" w:sz="0" w:space="0" w:color="auto"/>
        <w:right w:val="none" w:sz="0" w:space="0" w:color="auto"/>
      </w:divBdr>
      <w:divsChild>
        <w:div w:id="1734038593">
          <w:marLeft w:val="274"/>
          <w:marRight w:val="0"/>
          <w:marTop w:val="0"/>
          <w:marBottom w:val="0"/>
          <w:divBdr>
            <w:top w:val="none" w:sz="0" w:space="0" w:color="auto"/>
            <w:left w:val="none" w:sz="0" w:space="0" w:color="auto"/>
            <w:bottom w:val="none" w:sz="0" w:space="0" w:color="auto"/>
            <w:right w:val="none" w:sz="0" w:space="0" w:color="auto"/>
          </w:divBdr>
        </w:div>
        <w:div w:id="862210050">
          <w:marLeft w:val="274"/>
          <w:marRight w:val="0"/>
          <w:marTop w:val="0"/>
          <w:marBottom w:val="0"/>
          <w:divBdr>
            <w:top w:val="none" w:sz="0" w:space="0" w:color="auto"/>
            <w:left w:val="none" w:sz="0" w:space="0" w:color="auto"/>
            <w:bottom w:val="none" w:sz="0" w:space="0" w:color="auto"/>
            <w:right w:val="none" w:sz="0" w:space="0" w:color="auto"/>
          </w:divBdr>
        </w:div>
        <w:div w:id="2002156852">
          <w:marLeft w:val="274"/>
          <w:marRight w:val="0"/>
          <w:marTop w:val="0"/>
          <w:marBottom w:val="0"/>
          <w:divBdr>
            <w:top w:val="none" w:sz="0" w:space="0" w:color="auto"/>
            <w:left w:val="none" w:sz="0" w:space="0" w:color="auto"/>
            <w:bottom w:val="none" w:sz="0" w:space="0" w:color="auto"/>
            <w:right w:val="none" w:sz="0" w:space="0" w:color="auto"/>
          </w:divBdr>
        </w:div>
        <w:div w:id="1372919185">
          <w:marLeft w:val="274"/>
          <w:marRight w:val="0"/>
          <w:marTop w:val="0"/>
          <w:marBottom w:val="0"/>
          <w:divBdr>
            <w:top w:val="none" w:sz="0" w:space="0" w:color="auto"/>
            <w:left w:val="none" w:sz="0" w:space="0" w:color="auto"/>
            <w:bottom w:val="none" w:sz="0" w:space="0" w:color="auto"/>
            <w:right w:val="none" w:sz="0" w:space="0" w:color="auto"/>
          </w:divBdr>
        </w:div>
      </w:divsChild>
    </w:div>
    <w:div w:id="2014145552">
      <w:bodyDiv w:val="1"/>
      <w:marLeft w:val="0"/>
      <w:marRight w:val="0"/>
      <w:marTop w:val="0"/>
      <w:marBottom w:val="0"/>
      <w:divBdr>
        <w:top w:val="none" w:sz="0" w:space="0" w:color="auto"/>
        <w:left w:val="none" w:sz="0" w:space="0" w:color="auto"/>
        <w:bottom w:val="none" w:sz="0" w:space="0" w:color="auto"/>
        <w:right w:val="none" w:sz="0" w:space="0" w:color="auto"/>
      </w:divBdr>
      <w:divsChild>
        <w:div w:id="211384488">
          <w:marLeft w:val="0"/>
          <w:marRight w:val="0"/>
          <w:marTop w:val="0"/>
          <w:marBottom w:val="0"/>
          <w:divBdr>
            <w:top w:val="none" w:sz="0" w:space="0" w:color="auto"/>
            <w:left w:val="none" w:sz="0" w:space="0" w:color="auto"/>
            <w:bottom w:val="none" w:sz="0" w:space="0" w:color="auto"/>
            <w:right w:val="none" w:sz="0" w:space="0" w:color="auto"/>
          </w:divBdr>
        </w:div>
      </w:divsChild>
    </w:div>
    <w:div w:id="2067365837">
      <w:bodyDiv w:val="1"/>
      <w:marLeft w:val="0"/>
      <w:marRight w:val="0"/>
      <w:marTop w:val="0"/>
      <w:marBottom w:val="0"/>
      <w:divBdr>
        <w:top w:val="none" w:sz="0" w:space="0" w:color="auto"/>
        <w:left w:val="none" w:sz="0" w:space="0" w:color="auto"/>
        <w:bottom w:val="none" w:sz="0" w:space="0" w:color="auto"/>
        <w:right w:val="none" w:sz="0" w:space="0" w:color="auto"/>
      </w:divBdr>
    </w:div>
    <w:div w:id="2105374790">
      <w:bodyDiv w:val="1"/>
      <w:marLeft w:val="0"/>
      <w:marRight w:val="0"/>
      <w:marTop w:val="0"/>
      <w:marBottom w:val="0"/>
      <w:divBdr>
        <w:top w:val="none" w:sz="0" w:space="0" w:color="auto"/>
        <w:left w:val="none" w:sz="0" w:space="0" w:color="auto"/>
        <w:bottom w:val="none" w:sz="0" w:space="0" w:color="auto"/>
        <w:right w:val="none" w:sz="0" w:space="0" w:color="auto"/>
      </w:divBdr>
    </w:div>
    <w:div w:id="21185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3.0/au/" TargetMode="External"/><Relationship Id="rId13" Type="http://schemas.openxmlformats.org/officeDocument/2006/relationships/hyperlink" Target="mailto:Policy.Development@apra.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11535</Words>
  <Characters>65751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2021-08-31T04:40:00Z</dcterms:created>
  <dcterms:modified xsi:type="dcterms:W3CDTF">2021-08-31T04:41:00Z</dcterms:modified>
  <cp:category/>
</cp:coreProperties>
</file>