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49283" w14:textId="49B3B236" w:rsidR="005B2613" w:rsidRPr="00985FA0" w:rsidRDefault="005B2613" w:rsidP="005B2613">
      <w:pPr>
        <w:pStyle w:val="Title"/>
        <w:rPr>
          <w:color w:val="44546A" w:themeColor="text2"/>
          <w:lang w:eastAsia="en-US"/>
        </w:rPr>
      </w:pPr>
      <w:r w:rsidRPr="00985FA0">
        <w:rPr>
          <w:color w:val="44546A" w:themeColor="text2"/>
          <w:lang w:eastAsia="en-US"/>
        </w:rPr>
        <w:t>Regulat</w:t>
      </w:r>
      <w:r w:rsidR="00FA7D33">
        <w:rPr>
          <w:color w:val="44546A" w:themeColor="text2"/>
          <w:lang w:eastAsia="en-US"/>
        </w:rPr>
        <w:t>ion</w:t>
      </w:r>
      <w:r w:rsidRPr="00985FA0">
        <w:rPr>
          <w:color w:val="44546A" w:themeColor="text2"/>
          <w:lang w:eastAsia="en-US"/>
        </w:rPr>
        <w:t xml:space="preserve"> Impact Statement: Allocation Limits for </w:t>
      </w:r>
      <w:r w:rsidR="00B67B78">
        <w:rPr>
          <w:color w:val="44546A" w:themeColor="text2"/>
          <w:lang w:eastAsia="en-US"/>
        </w:rPr>
        <w:t xml:space="preserve">the </w:t>
      </w:r>
      <w:r>
        <w:rPr>
          <w:color w:val="44546A" w:themeColor="text2"/>
          <w:lang w:eastAsia="en-US"/>
        </w:rPr>
        <w:t>850/900 M</w:t>
      </w:r>
      <w:r w:rsidRPr="00985FA0">
        <w:rPr>
          <w:color w:val="44546A" w:themeColor="text2"/>
          <w:lang w:eastAsia="en-US"/>
        </w:rPr>
        <w:t>Hz Spectrum Auction</w:t>
      </w:r>
    </w:p>
    <w:p w14:paraId="508567C2" w14:textId="77777777" w:rsidR="005B2613" w:rsidRDefault="005B2613" w:rsidP="005B2613"/>
    <w:sdt>
      <w:sdtPr>
        <w:rPr>
          <w:rFonts w:asciiTheme="minorHAnsi" w:eastAsiaTheme="minorEastAsia" w:hAnsiTheme="minorHAnsi" w:cstheme="minorBidi"/>
          <w:color w:val="auto"/>
          <w:sz w:val="22"/>
          <w:szCs w:val="22"/>
          <w:lang w:val="en-AU" w:eastAsia="zh-TW"/>
        </w:rPr>
        <w:id w:val="1971235764"/>
        <w:docPartObj>
          <w:docPartGallery w:val="Table of Contents"/>
          <w:docPartUnique/>
        </w:docPartObj>
      </w:sdtPr>
      <w:sdtEndPr>
        <w:rPr>
          <w:rFonts w:eastAsiaTheme="minorHAnsi"/>
          <w:b/>
          <w:bCs/>
          <w:noProof/>
          <w:lang w:eastAsia="en-US"/>
        </w:rPr>
      </w:sdtEndPr>
      <w:sdtContent>
        <w:p w14:paraId="28EA51D9" w14:textId="77777777" w:rsidR="005B2613" w:rsidRDefault="005B2613" w:rsidP="005B2613">
          <w:pPr>
            <w:pStyle w:val="TOCHeading"/>
          </w:pPr>
          <w:r>
            <w:t>Contents</w:t>
          </w:r>
        </w:p>
        <w:p w14:paraId="6B2C868A" w14:textId="02A264D0" w:rsidR="0044127B" w:rsidRDefault="005B2613">
          <w:pPr>
            <w:pStyle w:val="TOC1"/>
            <w:rPr>
              <w:b w:val="0"/>
              <w:noProof/>
              <w:color w:val="auto"/>
              <w:sz w:val="22"/>
              <w:lang w:eastAsia="en-AU"/>
            </w:rPr>
          </w:pPr>
          <w:r>
            <w:fldChar w:fldCharType="begin"/>
          </w:r>
          <w:r>
            <w:instrText xml:space="preserve"> TOC \o "1-3" \h \z \u </w:instrText>
          </w:r>
          <w:r>
            <w:fldChar w:fldCharType="separate"/>
          </w:r>
          <w:hyperlink w:anchor="_Toc78190954" w:history="1">
            <w:r w:rsidR="0044127B" w:rsidRPr="00C46886">
              <w:rPr>
                <w:rStyle w:val="Hyperlink"/>
                <w:rFonts w:eastAsia="MingLiU"/>
                <w:noProof/>
              </w:rPr>
              <w:t>Introduction</w:t>
            </w:r>
            <w:r w:rsidR="0044127B">
              <w:rPr>
                <w:noProof/>
                <w:webHidden/>
              </w:rPr>
              <w:tab/>
            </w:r>
            <w:r w:rsidR="0044127B">
              <w:rPr>
                <w:noProof/>
                <w:webHidden/>
              </w:rPr>
              <w:fldChar w:fldCharType="begin"/>
            </w:r>
            <w:r w:rsidR="0044127B">
              <w:rPr>
                <w:noProof/>
                <w:webHidden/>
              </w:rPr>
              <w:instrText xml:space="preserve"> PAGEREF _Toc78190954 \h </w:instrText>
            </w:r>
            <w:r w:rsidR="0044127B">
              <w:rPr>
                <w:noProof/>
                <w:webHidden/>
              </w:rPr>
            </w:r>
            <w:r w:rsidR="0044127B">
              <w:rPr>
                <w:noProof/>
                <w:webHidden/>
              </w:rPr>
              <w:fldChar w:fldCharType="separate"/>
            </w:r>
            <w:r w:rsidR="0044127B">
              <w:rPr>
                <w:noProof/>
                <w:webHidden/>
              </w:rPr>
              <w:t>2</w:t>
            </w:r>
            <w:r w:rsidR="0044127B">
              <w:rPr>
                <w:noProof/>
                <w:webHidden/>
              </w:rPr>
              <w:fldChar w:fldCharType="end"/>
            </w:r>
          </w:hyperlink>
        </w:p>
        <w:p w14:paraId="2632525F" w14:textId="37986D79" w:rsidR="0044127B" w:rsidRDefault="007A39DB">
          <w:pPr>
            <w:pStyle w:val="TOC1"/>
            <w:rPr>
              <w:b w:val="0"/>
              <w:noProof/>
              <w:color w:val="auto"/>
              <w:sz w:val="22"/>
              <w:lang w:eastAsia="en-AU"/>
            </w:rPr>
          </w:pPr>
          <w:hyperlink w:anchor="_Toc78190955" w:history="1">
            <w:r w:rsidR="0044127B" w:rsidRPr="00C46886">
              <w:rPr>
                <w:rStyle w:val="Hyperlink"/>
                <w:rFonts w:eastAsia="MingLiU"/>
                <w:noProof/>
              </w:rPr>
              <w:t>1 What is the problem we are trying to solve?</w:t>
            </w:r>
            <w:r w:rsidR="0044127B">
              <w:rPr>
                <w:noProof/>
                <w:webHidden/>
              </w:rPr>
              <w:tab/>
            </w:r>
            <w:r w:rsidR="0044127B">
              <w:rPr>
                <w:noProof/>
                <w:webHidden/>
              </w:rPr>
              <w:fldChar w:fldCharType="begin"/>
            </w:r>
            <w:r w:rsidR="0044127B">
              <w:rPr>
                <w:noProof/>
                <w:webHidden/>
              </w:rPr>
              <w:instrText xml:space="preserve"> PAGEREF _Toc78190955 \h </w:instrText>
            </w:r>
            <w:r w:rsidR="0044127B">
              <w:rPr>
                <w:noProof/>
                <w:webHidden/>
              </w:rPr>
            </w:r>
            <w:r w:rsidR="0044127B">
              <w:rPr>
                <w:noProof/>
                <w:webHidden/>
              </w:rPr>
              <w:fldChar w:fldCharType="separate"/>
            </w:r>
            <w:r w:rsidR="0044127B">
              <w:rPr>
                <w:noProof/>
                <w:webHidden/>
              </w:rPr>
              <w:t>3</w:t>
            </w:r>
            <w:r w:rsidR="0044127B">
              <w:rPr>
                <w:noProof/>
                <w:webHidden/>
              </w:rPr>
              <w:fldChar w:fldCharType="end"/>
            </w:r>
          </w:hyperlink>
        </w:p>
        <w:p w14:paraId="738ED243" w14:textId="7D8D6284" w:rsidR="0044127B" w:rsidRDefault="007A39DB">
          <w:pPr>
            <w:pStyle w:val="TOC1"/>
            <w:rPr>
              <w:b w:val="0"/>
              <w:noProof/>
              <w:color w:val="auto"/>
              <w:sz w:val="22"/>
              <w:lang w:eastAsia="en-AU"/>
            </w:rPr>
          </w:pPr>
          <w:hyperlink w:anchor="_Toc78190956" w:history="1">
            <w:r w:rsidR="0044127B" w:rsidRPr="00C46886">
              <w:rPr>
                <w:rStyle w:val="Hyperlink"/>
                <w:rFonts w:eastAsia="MingLiU"/>
                <w:noProof/>
              </w:rPr>
              <w:t>2 Why is Government action needed?</w:t>
            </w:r>
            <w:r w:rsidR="0044127B">
              <w:rPr>
                <w:noProof/>
                <w:webHidden/>
              </w:rPr>
              <w:tab/>
            </w:r>
            <w:r w:rsidR="0044127B">
              <w:rPr>
                <w:noProof/>
                <w:webHidden/>
              </w:rPr>
              <w:fldChar w:fldCharType="begin"/>
            </w:r>
            <w:r w:rsidR="0044127B">
              <w:rPr>
                <w:noProof/>
                <w:webHidden/>
              </w:rPr>
              <w:instrText xml:space="preserve"> PAGEREF _Toc78190956 \h </w:instrText>
            </w:r>
            <w:r w:rsidR="0044127B">
              <w:rPr>
                <w:noProof/>
                <w:webHidden/>
              </w:rPr>
            </w:r>
            <w:r w:rsidR="0044127B">
              <w:rPr>
                <w:noProof/>
                <w:webHidden/>
              </w:rPr>
              <w:fldChar w:fldCharType="separate"/>
            </w:r>
            <w:r w:rsidR="0044127B">
              <w:rPr>
                <w:noProof/>
                <w:webHidden/>
              </w:rPr>
              <w:t>4</w:t>
            </w:r>
            <w:r w:rsidR="0044127B">
              <w:rPr>
                <w:noProof/>
                <w:webHidden/>
              </w:rPr>
              <w:fldChar w:fldCharType="end"/>
            </w:r>
          </w:hyperlink>
        </w:p>
        <w:p w14:paraId="492546AE" w14:textId="3292484C" w:rsidR="0044127B" w:rsidRDefault="007A39DB">
          <w:pPr>
            <w:pStyle w:val="TOC1"/>
            <w:rPr>
              <w:b w:val="0"/>
              <w:noProof/>
              <w:color w:val="auto"/>
              <w:sz w:val="22"/>
              <w:lang w:eastAsia="en-AU"/>
            </w:rPr>
          </w:pPr>
          <w:hyperlink w:anchor="_Toc78190957" w:history="1">
            <w:r w:rsidR="0044127B" w:rsidRPr="00C46886">
              <w:rPr>
                <w:rStyle w:val="Hyperlink"/>
                <w:rFonts w:eastAsia="MingLiU"/>
                <w:noProof/>
              </w:rPr>
              <w:t>3 What policy options are being considered?</w:t>
            </w:r>
            <w:r w:rsidR="0044127B">
              <w:rPr>
                <w:noProof/>
                <w:webHidden/>
              </w:rPr>
              <w:tab/>
            </w:r>
            <w:r w:rsidR="0044127B">
              <w:rPr>
                <w:noProof/>
                <w:webHidden/>
              </w:rPr>
              <w:fldChar w:fldCharType="begin"/>
            </w:r>
            <w:r w:rsidR="0044127B">
              <w:rPr>
                <w:noProof/>
                <w:webHidden/>
              </w:rPr>
              <w:instrText xml:space="preserve"> PAGEREF _Toc78190957 \h </w:instrText>
            </w:r>
            <w:r w:rsidR="0044127B">
              <w:rPr>
                <w:noProof/>
                <w:webHidden/>
              </w:rPr>
            </w:r>
            <w:r w:rsidR="0044127B">
              <w:rPr>
                <w:noProof/>
                <w:webHidden/>
              </w:rPr>
              <w:fldChar w:fldCharType="separate"/>
            </w:r>
            <w:r w:rsidR="0044127B">
              <w:rPr>
                <w:noProof/>
                <w:webHidden/>
              </w:rPr>
              <w:t>8</w:t>
            </w:r>
            <w:r w:rsidR="0044127B">
              <w:rPr>
                <w:noProof/>
                <w:webHidden/>
              </w:rPr>
              <w:fldChar w:fldCharType="end"/>
            </w:r>
          </w:hyperlink>
        </w:p>
        <w:p w14:paraId="3615623E" w14:textId="5C4418D9" w:rsidR="0044127B" w:rsidRDefault="007A39DB">
          <w:pPr>
            <w:pStyle w:val="TOC1"/>
            <w:rPr>
              <w:b w:val="0"/>
              <w:noProof/>
              <w:color w:val="auto"/>
              <w:sz w:val="22"/>
              <w:lang w:eastAsia="en-AU"/>
            </w:rPr>
          </w:pPr>
          <w:hyperlink w:anchor="_Toc78190958" w:history="1">
            <w:r w:rsidR="0044127B" w:rsidRPr="00C46886">
              <w:rPr>
                <w:rStyle w:val="Hyperlink"/>
                <w:rFonts w:eastAsia="MingLiU"/>
                <w:noProof/>
              </w:rPr>
              <w:t>4 What is the likely net benefit of each option?</w:t>
            </w:r>
            <w:r w:rsidR="0044127B">
              <w:rPr>
                <w:noProof/>
                <w:webHidden/>
              </w:rPr>
              <w:tab/>
            </w:r>
            <w:r w:rsidR="0044127B">
              <w:rPr>
                <w:noProof/>
                <w:webHidden/>
              </w:rPr>
              <w:fldChar w:fldCharType="begin"/>
            </w:r>
            <w:r w:rsidR="0044127B">
              <w:rPr>
                <w:noProof/>
                <w:webHidden/>
              </w:rPr>
              <w:instrText xml:space="preserve"> PAGEREF _Toc78190958 \h </w:instrText>
            </w:r>
            <w:r w:rsidR="0044127B">
              <w:rPr>
                <w:noProof/>
                <w:webHidden/>
              </w:rPr>
            </w:r>
            <w:r w:rsidR="0044127B">
              <w:rPr>
                <w:noProof/>
                <w:webHidden/>
              </w:rPr>
              <w:fldChar w:fldCharType="separate"/>
            </w:r>
            <w:r w:rsidR="0044127B">
              <w:rPr>
                <w:noProof/>
                <w:webHidden/>
              </w:rPr>
              <w:t>10</w:t>
            </w:r>
            <w:r w:rsidR="0044127B">
              <w:rPr>
                <w:noProof/>
                <w:webHidden/>
              </w:rPr>
              <w:fldChar w:fldCharType="end"/>
            </w:r>
          </w:hyperlink>
        </w:p>
        <w:p w14:paraId="6D66C6FA" w14:textId="76DC97AF" w:rsidR="0044127B" w:rsidRDefault="007A39DB">
          <w:pPr>
            <w:pStyle w:val="TOC2"/>
            <w:rPr>
              <w:noProof/>
              <w:lang w:eastAsia="en-AU"/>
            </w:rPr>
          </w:pPr>
          <w:hyperlink w:anchor="_Toc78190959" w:history="1">
            <w:r w:rsidR="0044127B" w:rsidRPr="00C46886">
              <w:rPr>
                <w:rStyle w:val="Hyperlink"/>
                <w:noProof/>
              </w:rPr>
              <w:t>Option 1 – a 72 MHz allocation limit applied across all sub-1 GHz band holdings.</w:t>
            </w:r>
            <w:r w:rsidR="0044127B">
              <w:rPr>
                <w:noProof/>
                <w:webHidden/>
              </w:rPr>
              <w:tab/>
            </w:r>
            <w:r w:rsidR="0044127B">
              <w:rPr>
                <w:noProof/>
                <w:webHidden/>
              </w:rPr>
              <w:fldChar w:fldCharType="begin"/>
            </w:r>
            <w:r w:rsidR="0044127B">
              <w:rPr>
                <w:noProof/>
                <w:webHidden/>
              </w:rPr>
              <w:instrText xml:space="preserve"> PAGEREF _Toc78190959 \h </w:instrText>
            </w:r>
            <w:r w:rsidR="0044127B">
              <w:rPr>
                <w:noProof/>
                <w:webHidden/>
              </w:rPr>
            </w:r>
            <w:r w:rsidR="0044127B">
              <w:rPr>
                <w:noProof/>
                <w:webHidden/>
              </w:rPr>
              <w:fldChar w:fldCharType="separate"/>
            </w:r>
            <w:r w:rsidR="0044127B">
              <w:rPr>
                <w:noProof/>
                <w:webHidden/>
              </w:rPr>
              <w:t>12</w:t>
            </w:r>
            <w:r w:rsidR="0044127B">
              <w:rPr>
                <w:noProof/>
                <w:webHidden/>
              </w:rPr>
              <w:fldChar w:fldCharType="end"/>
            </w:r>
          </w:hyperlink>
        </w:p>
        <w:p w14:paraId="1AEC5896" w14:textId="18FFA94C" w:rsidR="0044127B" w:rsidRDefault="007A39DB">
          <w:pPr>
            <w:pStyle w:val="TOC2"/>
            <w:rPr>
              <w:noProof/>
              <w:lang w:eastAsia="en-AU"/>
            </w:rPr>
          </w:pPr>
          <w:hyperlink w:anchor="_Toc78190960" w:history="1">
            <w:r w:rsidR="0044127B" w:rsidRPr="00C46886">
              <w:rPr>
                <w:rStyle w:val="Hyperlink"/>
                <w:noProof/>
              </w:rPr>
              <w:t>Option 2 –an 82 MHz allocation limit (with two sub-options)</w:t>
            </w:r>
            <w:r w:rsidR="0044127B">
              <w:rPr>
                <w:noProof/>
                <w:webHidden/>
              </w:rPr>
              <w:tab/>
            </w:r>
            <w:r w:rsidR="0044127B">
              <w:rPr>
                <w:noProof/>
                <w:webHidden/>
              </w:rPr>
              <w:fldChar w:fldCharType="begin"/>
            </w:r>
            <w:r w:rsidR="0044127B">
              <w:rPr>
                <w:noProof/>
                <w:webHidden/>
              </w:rPr>
              <w:instrText xml:space="preserve"> PAGEREF _Toc78190960 \h </w:instrText>
            </w:r>
            <w:r w:rsidR="0044127B">
              <w:rPr>
                <w:noProof/>
                <w:webHidden/>
              </w:rPr>
            </w:r>
            <w:r w:rsidR="0044127B">
              <w:rPr>
                <w:noProof/>
                <w:webHidden/>
              </w:rPr>
              <w:fldChar w:fldCharType="separate"/>
            </w:r>
            <w:r w:rsidR="0044127B">
              <w:rPr>
                <w:noProof/>
                <w:webHidden/>
              </w:rPr>
              <w:t>14</w:t>
            </w:r>
            <w:r w:rsidR="0044127B">
              <w:rPr>
                <w:noProof/>
                <w:webHidden/>
              </w:rPr>
              <w:fldChar w:fldCharType="end"/>
            </w:r>
          </w:hyperlink>
        </w:p>
        <w:p w14:paraId="780F3E64" w14:textId="7550E4D2" w:rsidR="0044127B" w:rsidRDefault="007A39DB">
          <w:pPr>
            <w:pStyle w:val="TOC3"/>
            <w:rPr>
              <w:noProof/>
              <w:lang w:eastAsia="en-AU"/>
            </w:rPr>
          </w:pPr>
          <w:hyperlink w:anchor="_Toc78190961" w:history="1">
            <w:r w:rsidR="0044127B" w:rsidRPr="00C46886">
              <w:rPr>
                <w:rStyle w:val="Hyperlink"/>
                <w:noProof/>
              </w:rPr>
              <w:t>Option 2.1 – an 82 MHz allocation limit applied across all sub-1 GHz band holdings</w:t>
            </w:r>
            <w:r w:rsidR="0044127B">
              <w:rPr>
                <w:noProof/>
                <w:webHidden/>
              </w:rPr>
              <w:tab/>
            </w:r>
            <w:r w:rsidR="0044127B">
              <w:rPr>
                <w:noProof/>
                <w:webHidden/>
              </w:rPr>
              <w:fldChar w:fldCharType="begin"/>
            </w:r>
            <w:r w:rsidR="0044127B">
              <w:rPr>
                <w:noProof/>
                <w:webHidden/>
              </w:rPr>
              <w:instrText xml:space="preserve"> PAGEREF _Toc78190961 \h </w:instrText>
            </w:r>
            <w:r w:rsidR="0044127B">
              <w:rPr>
                <w:noProof/>
                <w:webHidden/>
              </w:rPr>
            </w:r>
            <w:r w:rsidR="0044127B">
              <w:rPr>
                <w:noProof/>
                <w:webHidden/>
              </w:rPr>
              <w:fldChar w:fldCharType="separate"/>
            </w:r>
            <w:r w:rsidR="0044127B">
              <w:rPr>
                <w:noProof/>
                <w:webHidden/>
              </w:rPr>
              <w:t>14</w:t>
            </w:r>
            <w:r w:rsidR="0044127B">
              <w:rPr>
                <w:noProof/>
                <w:webHidden/>
              </w:rPr>
              <w:fldChar w:fldCharType="end"/>
            </w:r>
          </w:hyperlink>
        </w:p>
        <w:p w14:paraId="7BD9829A" w14:textId="7085D070" w:rsidR="0044127B" w:rsidRDefault="007A39DB">
          <w:pPr>
            <w:pStyle w:val="TOC3"/>
            <w:rPr>
              <w:noProof/>
              <w:lang w:eastAsia="en-AU"/>
            </w:rPr>
          </w:pPr>
          <w:hyperlink w:anchor="_Toc78190962" w:history="1">
            <w:r w:rsidR="0044127B" w:rsidRPr="00C46886">
              <w:rPr>
                <w:rStyle w:val="Hyperlink"/>
                <w:noProof/>
              </w:rPr>
              <w:t>Option 2.2 – an 82 MHz allocation limit applied across all metropolitan sub-1 GHz band holdings and a 92 MHz allocation limit applied across all regional sub-1 GHz band holdings</w:t>
            </w:r>
            <w:r w:rsidR="0044127B">
              <w:rPr>
                <w:noProof/>
                <w:webHidden/>
              </w:rPr>
              <w:tab/>
            </w:r>
            <w:r w:rsidR="0044127B">
              <w:rPr>
                <w:noProof/>
                <w:webHidden/>
              </w:rPr>
              <w:fldChar w:fldCharType="begin"/>
            </w:r>
            <w:r w:rsidR="0044127B">
              <w:rPr>
                <w:noProof/>
                <w:webHidden/>
              </w:rPr>
              <w:instrText xml:space="preserve"> PAGEREF _Toc78190962 \h </w:instrText>
            </w:r>
            <w:r w:rsidR="0044127B">
              <w:rPr>
                <w:noProof/>
                <w:webHidden/>
              </w:rPr>
            </w:r>
            <w:r w:rsidR="0044127B">
              <w:rPr>
                <w:noProof/>
                <w:webHidden/>
              </w:rPr>
              <w:fldChar w:fldCharType="separate"/>
            </w:r>
            <w:r w:rsidR="0044127B">
              <w:rPr>
                <w:noProof/>
                <w:webHidden/>
              </w:rPr>
              <w:t>17</w:t>
            </w:r>
            <w:r w:rsidR="0044127B">
              <w:rPr>
                <w:noProof/>
                <w:webHidden/>
              </w:rPr>
              <w:fldChar w:fldCharType="end"/>
            </w:r>
          </w:hyperlink>
        </w:p>
        <w:p w14:paraId="62744CF2" w14:textId="50EA2413" w:rsidR="0044127B" w:rsidRDefault="007A39DB">
          <w:pPr>
            <w:pStyle w:val="TOC2"/>
            <w:rPr>
              <w:noProof/>
              <w:lang w:eastAsia="en-AU"/>
            </w:rPr>
          </w:pPr>
          <w:hyperlink w:anchor="_Toc78190963" w:history="1">
            <w:r w:rsidR="0044127B" w:rsidRPr="00C46886">
              <w:rPr>
                <w:rStyle w:val="Hyperlink"/>
                <w:noProof/>
              </w:rPr>
              <w:t>Option 3 – 102 MHz allocation limit applied across all sub-1 GHz band holdings</w:t>
            </w:r>
            <w:r w:rsidR="0044127B">
              <w:rPr>
                <w:noProof/>
                <w:webHidden/>
              </w:rPr>
              <w:tab/>
            </w:r>
            <w:r w:rsidR="0044127B">
              <w:rPr>
                <w:noProof/>
                <w:webHidden/>
              </w:rPr>
              <w:fldChar w:fldCharType="begin"/>
            </w:r>
            <w:r w:rsidR="0044127B">
              <w:rPr>
                <w:noProof/>
                <w:webHidden/>
              </w:rPr>
              <w:instrText xml:space="preserve"> PAGEREF _Toc78190963 \h </w:instrText>
            </w:r>
            <w:r w:rsidR="0044127B">
              <w:rPr>
                <w:noProof/>
                <w:webHidden/>
              </w:rPr>
            </w:r>
            <w:r w:rsidR="0044127B">
              <w:rPr>
                <w:noProof/>
                <w:webHidden/>
              </w:rPr>
              <w:fldChar w:fldCharType="separate"/>
            </w:r>
            <w:r w:rsidR="0044127B">
              <w:rPr>
                <w:noProof/>
                <w:webHidden/>
              </w:rPr>
              <w:t>19</w:t>
            </w:r>
            <w:r w:rsidR="0044127B">
              <w:rPr>
                <w:noProof/>
                <w:webHidden/>
              </w:rPr>
              <w:fldChar w:fldCharType="end"/>
            </w:r>
          </w:hyperlink>
        </w:p>
        <w:p w14:paraId="22B8DB9F" w14:textId="60355C0A" w:rsidR="0044127B" w:rsidRDefault="007A39DB">
          <w:pPr>
            <w:pStyle w:val="TOC2"/>
            <w:rPr>
              <w:noProof/>
              <w:lang w:eastAsia="en-AU"/>
            </w:rPr>
          </w:pPr>
          <w:hyperlink w:anchor="_Toc78190964" w:history="1">
            <w:r w:rsidR="0044127B" w:rsidRPr="00C46886">
              <w:rPr>
                <w:rStyle w:val="Hyperlink"/>
                <w:noProof/>
              </w:rPr>
              <w:t>Option 4 – no allocation limits</w:t>
            </w:r>
            <w:r w:rsidR="0044127B">
              <w:rPr>
                <w:noProof/>
                <w:webHidden/>
              </w:rPr>
              <w:tab/>
            </w:r>
            <w:r w:rsidR="0044127B">
              <w:rPr>
                <w:noProof/>
                <w:webHidden/>
              </w:rPr>
              <w:fldChar w:fldCharType="begin"/>
            </w:r>
            <w:r w:rsidR="0044127B">
              <w:rPr>
                <w:noProof/>
                <w:webHidden/>
              </w:rPr>
              <w:instrText xml:space="preserve"> PAGEREF _Toc78190964 \h </w:instrText>
            </w:r>
            <w:r w:rsidR="0044127B">
              <w:rPr>
                <w:noProof/>
                <w:webHidden/>
              </w:rPr>
            </w:r>
            <w:r w:rsidR="0044127B">
              <w:rPr>
                <w:noProof/>
                <w:webHidden/>
              </w:rPr>
              <w:fldChar w:fldCharType="separate"/>
            </w:r>
            <w:r w:rsidR="0044127B">
              <w:rPr>
                <w:noProof/>
                <w:webHidden/>
              </w:rPr>
              <w:t>21</w:t>
            </w:r>
            <w:r w:rsidR="0044127B">
              <w:rPr>
                <w:noProof/>
                <w:webHidden/>
              </w:rPr>
              <w:fldChar w:fldCharType="end"/>
            </w:r>
          </w:hyperlink>
        </w:p>
        <w:p w14:paraId="28CE3855" w14:textId="3213EE21" w:rsidR="0044127B" w:rsidRDefault="007A39DB">
          <w:pPr>
            <w:pStyle w:val="TOC1"/>
            <w:rPr>
              <w:b w:val="0"/>
              <w:noProof/>
              <w:color w:val="auto"/>
              <w:sz w:val="22"/>
              <w:lang w:eastAsia="en-AU"/>
            </w:rPr>
          </w:pPr>
          <w:hyperlink w:anchor="_Toc78190965" w:history="1">
            <w:r w:rsidR="0044127B" w:rsidRPr="00C46886">
              <w:rPr>
                <w:rStyle w:val="Hyperlink"/>
                <w:rFonts w:eastAsia="MingLiU"/>
                <w:noProof/>
              </w:rPr>
              <w:t>5 Who was consulted and how was their feedback considered?</w:t>
            </w:r>
            <w:r w:rsidR="0044127B">
              <w:rPr>
                <w:noProof/>
                <w:webHidden/>
              </w:rPr>
              <w:tab/>
            </w:r>
            <w:r w:rsidR="0044127B">
              <w:rPr>
                <w:noProof/>
                <w:webHidden/>
              </w:rPr>
              <w:fldChar w:fldCharType="begin"/>
            </w:r>
            <w:r w:rsidR="0044127B">
              <w:rPr>
                <w:noProof/>
                <w:webHidden/>
              </w:rPr>
              <w:instrText xml:space="preserve"> PAGEREF _Toc78190965 \h </w:instrText>
            </w:r>
            <w:r w:rsidR="0044127B">
              <w:rPr>
                <w:noProof/>
                <w:webHidden/>
              </w:rPr>
            </w:r>
            <w:r w:rsidR="0044127B">
              <w:rPr>
                <w:noProof/>
                <w:webHidden/>
              </w:rPr>
              <w:fldChar w:fldCharType="separate"/>
            </w:r>
            <w:r w:rsidR="0044127B">
              <w:rPr>
                <w:noProof/>
                <w:webHidden/>
              </w:rPr>
              <w:t>24</w:t>
            </w:r>
            <w:r w:rsidR="0044127B">
              <w:rPr>
                <w:noProof/>
                <w:webHidden/>
              </w:rPr>
              <w:fldChar w:fldCharType="end"/>
            </w:r>
          </w:hyperlink>
        </w:p>
        <w:p w14:paraId="0A53D8FE" w14:textId="289DC578" w:rsidR="0044127B" w:rsidRDefault="007A39DB">
          <w:pPr>
            <w:pStyle w:val="TOC1"/>
            <w:rPr>
              <w:b w:val="0"/>
              <w:noProof/>
              <w:color w:val="auto"/>
              <w:sz w:val="22"/>
              <w:lang w:eastAsia="en-AU"/>
            </w:rPr>
          </w:pPr>
          <w:hyperlink w:anchor="_Toc78190966" w:history="1">
            <w:r w:rsidR="0044127B" w:rsidRPr="00C46886">
              <w:rPr>
                <w:rStyle w:val="Hyperlink"/>
                <w:rFonts w:eastAsia="MingLiU"/>
                <w:noProof/>
              </w:rPr>
              <w:t>6 What is the best option from those we have considered?</w:t>
            </w:r>
            <w:r w:rsidR="0044127B">
              <w:rPr>
                <w:noProof/>
                <w:webHidden/>
              </w:rPr>
              <w:tab/>
            </w:r>
            <w:r w:rsidR="0044127B">
              <w:rPr>
                <w:noProof/>
                <w:webHidden/>
              </w:rPr>
              <w:fldChar w:fldCharType="begin"/>
            </w:r>
            <w:r w:rsidR="0044127B">
              <w:rPr>
                <w:noProof/>
                <w:webHidden/>
              </w:rPr>
              <w:instrText xml:space="preserve"> PAGEREF _Toc78190966 \h </w:instrText>
            </w:r>
            <w:r w:rsidR="0044127B">
              <w:rPr>
                <w:noProof/>
                <w:webHidden/>
              </w:rPr>
            </w:r>
            <w:r w:rsidR="0044127B">
              <w:rPr>
                <w:noProof/>
                <w:webHidden/>
              </w:rPr>
              <w:fldChar w:fldCharType="separate"/>
            </w:r>
            <w:r w:rsidR="0044127B">
              <w:rPr>
                <w:noProof/>
                <w:webHidden/>
              </w:rPr>
              <w:t>25</w:t>
            </w:r>
            <w:r w:rsidR="0044127B">
              <w:rPr>
                <w:noProof/>
                <w:webHidden/>
              </w:rPr>
              <w:fldChar w:fldCharType="end"/>
            </w:r>
          </w:hyperlink>
        </w:p>
        <w:p w14:paraId="4DB84005" w14:textId="0F318FDA" w:rsidR="0044127B" w:rsidRDefault="007A39DB">
          <w:pPr>
            <w:pStyle w:val="TOC1"/>
            <w:rPr>
              <w:b w:val="0"/>
              <w:noProof/>
              <w:color w:val="auto"/>
              <w:sz w:val="22"/>
              <w:lang w:eastAsia="en-AU"/>
            </w:rPr>
          </w:pPr>
          <w:hyperlink w:anchor="_Toc78190967" w:history="1">
            <w:r w:rsidR="0044127B" w:rsidRPr="00C46886">
              <w:rPr>
                <w:rStyle w:val="Hyperlink"/>
                <w:rFonts w:eastAsia="MingLiU"/>
                <w:noProof/>
              </w:rPr>
              <w:t>7 How will we implement and evaluate the chosen option?</w:t>
            </w:r>
            <w:r w:rsidR="0044127B">
              <w:rPr>
                <w:noProof/>
                <w:webHidden/>
              </w:rPr>
              <w:tab/>
            </w:r>
            <w:r w:rsidR="0044127B">
              <w:rPr>
                <w:noProof/>
                <w:webHidden/>
              </w:rPr>
              <w:fldChar w:fldCharType="begin"/>
            </w:r>
            <w:r w:rsidR="0044127B">
              <w:rPr>
                <w:noProof/>
                <w:webHidden/>
              </w:rPr>
              <w:instrText xml:space="preserve"> PAGEREF _Toc78190967 \h </w:instrText>
            </w:r>
            <w:r w:rsidR="0044127B">
              <w:rPr>
                <w:noProof/>
                <w:webHidden/>
              </w:rPr>
            </w:r>
            <w:r w:rsidR="0044127B">
              <w:rPr>
                <w:noProof/>
                <w:webHidden/>
              </w:rPr>
              <w:fldChar w:fldCharType="separate"/>
            </w:r>
            <w:r w:rsidR="0044127B">
              <w:rPr>
                <w:noProof/>
                <w:webHidden/>
              </w:rPr>
              <w:t>26</w:t>
            </w:r>
            <w:r w:rsidR="0044127B">
              <w:rPr>
                <w:noProof/>
                <w:webHidden/>
              </w:rPr>
              <w:fldChar w:fldCharType="end"/>
            </w:r>
          </w:hyperlink>
        </w:p>
        <w:p w14:paraId="307CDF0D" w14:textId="2E5B40E0" w:rsidR="0044127B" w:rsidRDefault="007A39DB">
          <w:pPr>
            <w:pStyle w:val="TOC1"/>
            <w:rPr>
              <w:b w:val="0"/>
              <w:noProof/>
              <w:color w:val="auto"/>
              <w:sz w:val="22"/>
              <w:lang w:eastAsia="en-AU"/>
            </w:rPr>
          </w:pPr>
          <w:hyperlink w:anchor="_Toc78190968" w:history="1">
            <w:r w:rsidR="0044127B" w:rsidRPr="00C46886">
              <w:rPr>
                <w:rStyle w:val="Hyperlink"/>
                <w:rFonts w:eastAsia="MingLiU"/>
                <w:noProof/>
              </w:rPr>
              <w:t>Conclusion</w:t>
            </w:r>
            <w:r w:rsidR="0044127B">
              <w:rPr>
                <w:noProof/>
                <w:webHidden/>
              </w:rPr>
              <w:tab/>
            </w:r>
            <w:r w:rsidR="0044127B">
              <w:rPr>
                <w:noProof/>
                <w:webHidden/>
              </w:rPr>
              <w:fldChar w:fldCharType="begin"/>
            </w:r>
            <w:r w:rsidR="0044127B">
              <w:rPr>
                <w:noProof/>
                <w:webHidden/>
              </w:rPr>
              <w:instrText xml:space="preserve"> PAGEREF _Toc78190968 \h </w:instrText>
            </w:r>
            <w:r w:rsidR="0044127B">
              <w:rPr>
                <w:noProof/>
                <w:webHidden/>
              </w:rPr>
            </w:r>
            <w:r w:rsidR="0044127B">
              <w:rPr>
                <w:noProof/>
                <w:webHidden/>
              </w:rPr>
              <w:fldChar w:fldCharType="separate"/>
            </w:r>
            <w:r w:rsidR="0044127B">
              <w:rPr>
                <w:noProof/>
                <w:webHidden/>
              </w:rPr>
              <w:t>26</w:t>
            </w:r>
            <w:r w:rsidR="0044127B">
              <w:rPr>
                <w:noProof/>
                <w:webHidden/>
              </w:rPr>
              <w:fldChar w:fldCharType="end"/>
            </w:r>
          </w:hyperlink>
        </w:p>
        <w:p w14:paraId="43CCDA25" w14:textId="60AD15DC" w:rsidR="005B2613" w:rsidRDefault="005B2613" w:rsidP="005B2613">
          <w:pPr>
            <w:rPr>
              <w:b/>
              <w:bCs/>
              <w:noProof/>
            </w:rPr>
          </w:pPr>
          <w:r>
            <w:rPr>
              <w:b/>
              <w:bCs/>
              <w:noProof/>
            </w:rPr>
            <w:fldChar w:fldCharType="end"/>
          </w:r>
        </w:p>
      </w:sdtContent>
    </w:sdt>
    <w:p w14:paraId="24D98423" w14:textId="77777777" w:rsidR="00D31F34" w:rsidRDefault="00D31F34">
      <w:pPr>
        <w:rPr>
          <w:rFonts w:asciiTheme="majorHAnsi" w:eastAsia="MingLiU" w:hAnsiTheme="majorHAnsi" w:cstheme="majorBidi"/>
          <w:color w:val="2E74B5" w:themeColor="accent1" w:themeShade="BF"/>
          <w:sz w:val="32"/>
          <w:szCs w:val="32"/>
        </w:rPr>
      </w:pPr>
      <w:bookmarkStart w:id="0" w:name="_Toc518997059"/>
      <w:r>
        <w:rPr>
          <w:rFonts w:eastAsia="MingLiU"/>
        </w:rPr>
        <w:br w:type="page"/>
      </w:r>
    </w:p>
    <w:p w14:paraId="47AF07D5" w14:textId="77777777" w:rsidR="005B2613" w:rsidRPr="00D117B0" w:rsidRDefault="005B2613" w:rsidP="005B2613">
      <w:pPr>
        <w:pStyle w:val="Heading1"/>
        <w:rPr>
          <w:rFonts w:eastAsia="MingLiU"/>
        </w:rPr>
      </w:pPr>
      <w:bookmarkStart w:id="1" w:name="_Toc76050998"/>
      <w:bookmarkStart w:id="2" w:name="_Toc75770426"/>
      <w:bookmarkStart w:id="3" w:name="_Toc76481418"/>
      <w:bookmarkStart w:id="4" w:name="_Toc76555287"/>
      <w:bookmarkStart w:id="5" w:name="_Toc77081942"/>
      <w:bookmarkStart w:id="6" w:name="_Toc77086743"/>
      <w:bookmarkStart w:id="7" w:name="_Toc78190954"/>
      <w:r w:rsidRPr="00D117B0">
        <w:rPr>
          <w:rFonts w:eastAsia="MingLiU"/>
        </w:rPr>
        <w:lastRenderedPageBreak/>
        <w:t>Introduction</w:t>
      </w:r>
      <w:bookmarkEnd w:id="0"/>
      <w:bookmarkEnd w:id="1"/>
      <w:bookmarkEnd w:id="2"/>
      <w:bookmarkEnd w:id="3"/>
      <w:bookmarkEnd w:id="4"/>
      <w:bookmarkEnd w:id="5"/>
      <w:bookmarkEnd w:id="6"/>
      <w:bookmarkEnd w:id="7"/>
    </w:p>
    <w:p w14:paraId="20CC5D68" w14:textId="77777777" w:rsidR="00961E5D" w:rsidRDefault="005A62B5" w:rsidP="005A62B5">
      <w:r w:rsidRPr="0052610C">
        <w:t>This Regulation Impact Statement (RIS) has been prepared by the Department of Infrastructure, Transport, Regional Development and Communications</w:t>
      </w:r>
      <w:r w:rsidR="00D977D1">
        <w:t xml:space="preserve"> (the Department)</w:t>
      </w:r>
      <w:r w:rsidRPr="0052610C">
        <w:t xml:space="preserve">. The purpose of this RIS is to assist the Minister for Communications, Urban Infrastructure, Cities and the Arts, </w:t>
      </w:r>
      <w:r w:rsidRPr="0052610C">
        <w:rPr>
          <w:bCs/>
          <w:lang w:val="en"/>
        </w:rPr>
        <w:t>The Hon Paul Fletcher MP</w:t>
      </w:r>
      <w:r w:rsidRPr="0052610C">
        <w:rPr>
          <w:b/>
          <w:bCs/>
          <w:lang w:val="en"/>
        </w:rPr>
        <w:t xml:space="preserve"> </w:t>
      </w:r>
      <w:r w:rsidRPr="0052610C">
        <w:t>(the Minister) to decide if</w:t>
      </w:r>
      <w:r w:rsidRPr="0052610C" w:rsidDel="00B92125">
        <w:t xml:space="preserve"> </w:t>
      </w:r>
      <w:r w:rsidRPr="0052610C">
        <w:t xml:space="preserve">allocation limits should be imposed for the auction of </w:t>
      </w:r>
      <w:r>
        <w:t xml:space="preserve">72 megahertz (MHz) </w:t>
      </w:r>
      <w:r w:rsidRPr="0052610C">
        <w:t>of spectrum in the 850 MHz expansion band and 900 MHz band (t</w:t>
      </w:r>
      <w:r>
        <w:t xml:space="preserve">ogether, the 850/900 MHz band), and </w:t>
      </w:r>
      <w:r w:rsidRPr="0052610C">
        <w:t xml:space="preserve">if so, what those limits should be. A decision would be made under subsection 60(10) of the </w:t>
      </w:r>
      <w:proofErr w:type="spellStart"/>
      <w:r w:rsidRPr="0052610C">
        <w:rPr>
          <w:i/>
        </w:rPr>
        <w:t>Radiocommunications</w:t>
      </w:r>
      <w:proofErr w:type="spellEnd"/>
      <w:r w:rsidRPr="0052610C">
        <w:rPr>
          <w:i/>
        </w:rPr>
        <w:t xml:space="preserve"> Act 1992 </w:t>
      </w:r>
      <w:r w:rsidRPr="0052610C">
        <w:t xml:space="preserve">(the Act). </w:t>
      </w:r>
    </w:p>
    <w:p w14:paraId="5B282F41" w14:textId="77777777" w:rsidR="00987C0D" w:rsidRDefault="00BE312C" w:rsidP="005A62B5">
      <w:r>
        <w:t xml:space="preserve">The 850/900 MHz band is one of a number of sub-1 GHz frequency bands that are internationally harmonised for the deployment of mobile broadband services. The band has propagation characteristics that make it particularly suitable for providing both wide-area and indoor coverage. </w:t>
      </w:r>
      <w:r w:rsidR="00166431">
        <w:t xml:space="preserve"> </w:t>
      </w:r>
      <w:r w:rsidR="00E0304F">
        <w:t xml:space="preserve">The auction of 850/900 MHz spectrum is intended to make additional spectrum in the 850 MHz expansion band available for mobile broadband services, and to reallocate the 900 MHz </w:t>
      </w:r>
      <w:r w:rsidR="00262A1A">
        <w:t xml:space="preserve">band to make it more suitable </w:t>
      </w:r>
      <w:r w:rsidR="00E0304F">
        <w:t xml:space="preserve">for 3G, 4G and 5G services. </w:t>
      </w:r>
    </w:p>
    <w:p w14:paraId="2FA9AD9A" w14:textId="77777777" w:rsidR="00961E5D" w:rsidRDefault="00961E5D" w:rsidP="005A62B5">
      <w:r>
        <w:lastRenderedPageBreak/>
        <w:t xml:space="preserve">Following a recommendation from </w:t>
      </w:r>
      <w:r w:rsidR="00E04BD5">
        <w:t>the Australian Communications and Media Authority (ACMA)</w:t>
      </w:r>
      <w:r>
        <w:t xml:space="preserve">, </w:t>
      </w:r>
      <w:r w:rsidRPr="0052610C">
        <w:t xml:space="preserve">the Minister </w:t>
      </w:r>
      <w:r>
        <w:t>made</w:t>
      </w:r>
      <w:r w:rsidRPr="0052610C">
        <w:t xml:space="preserve"> a re-allocation declaration for the 850/900 MHz band</w:t>
      </w:r>
      <w:r>
        <w:t xml:space="preserve"> in October 2020</w:t>
      </w:r>
      <w:r w:rsidRPr="0052610C">
        <w:t>.</w:t>
      </w:r>
      <w:r w:rsidR="00673BA2">
        <w:rPr>
          <w:rStyle w:val="FootnoteReference"/>
        </w:rPr>
        <w:footnoteReference w:id="2"/>
      </w:r>
      <w:r w:rsidRPr="0052610C">
        <w:t xml:space="preserve"> The declaration requires </w:t>
      </w:r>
      <w:r w:rsidR="00E04BD5">
        <w:t xml:space="preserve">ACMA </w:t>
      </w:r>
      <w:r w:rsidRPr="0052610C">
        <w:t>to allocate, by issuing spectrum licences</w:t>
      </w:r>
      <w:r w:rsidRPr="00E27287">
        <w:t xml:space="preserve">, 2 x 11 MHz of </w:t>
      </w:r>
      <w:r w:rsidR="00801C50" w:rsidRPr="00E27287">
        <w:t>Au</w:t>
      </w:r>
      <w:r w:rsidR="00801C50">
        <w:t xml:space="preserve">stralia-wide </w:t>
      </w:r>
      <w:r w:rsidRPr="0052610C">
        <w:t xml:space="preserve">spectrum in the 850 MHz expansion band and 2 x 25 MHz of </w:t>
      </w:r>
      <w:r w:rsidR="00801C50">
        <w:t xml:space="preserve">Australia-wide </w:t>
      </w:r>
      <w:r w:rsidRPr="0052610C">
        <w:t xml:space="preserve">spectrum in the 900 MHz band. </w:t>
      </w:r>
    </w:p>
    <w:p w14:paraId="49C95862" w14:textId="75A27CA1" w:rsidR="00E04BD5" w:rsidRDefault="009477B0" w:rsidP="00E04BD5">
      <w:pPr>
        <w:pStyle w:val="ListParagraph"/>
        <w:numPr>
          <w:ilvl w:val="0"/>
          <w:numId w:val="1"/>
        </w:numPr>
      </w:pPr>
      <w:r>
        <w:t xml:space="preserve">Some </w:t>
      </w:r>
      <w:r w:rsidR="00E27287">
        <w:t xml:space="preserve">spectrum </w:t>
      </w:r>
      <w:r w:rsidR="005B6669">
        <w:t>w</w:t>
      </w:r>
      <w:r>
        <w:t>i</w:t>
      </w:r>
      <w:r w:rsidR="005B6669">
        <w:t>ll be allocated in the 850 MHz band</w:t>
      </w:r>
      <w:r w:rsidR="004833A2">
        <w:t xml:space="preserve"> from the</w:t>
      </w:r>
      <w:r w:rsidR="00E27287">
        <w:t xml:space="preserve"> </w:t>
      </w:r>
      <w:r w:rsidR="00E04BD5">
        <w:t>2</w:t>
      </w:r>
      <w:r w:rsidR="000A6125">
        <w:t xml:space="preserve"> </w:t>
      </w:r>
      <w:r w:rsidR="00E04BD5">
        <w:t>x</w:t>
      </w:r>
      <w:r w:rsidR="000A6125">
        <w:t xml:space="preserve"> </w:t>
      </w:r>
      <w:r w:rsidR="00E04BD5">
        <w:t xml:space="preserve">15 MHz of spectrum in the 850 MHz expansion band </w:t>
      </w:r>
      <w:r w:rsidR="004833A2">
        <w:t xml:space="preserve">that </w:t>
      </w:r>
      <w:r w:rsidR="00E04BD5">
        <w:t xml:space="preserve">is being progressively cleared by </w:t>
      </w:r>
      <w:r w:rsidR="00F11E96">
        <w:t xml:space="preserve">ACMA in preparation for reallocation. </w:t>
      </w:r>
      <w:r w:rsidR="001B3E4B">
        <w:t>The Australian Government has reserved 2</w:t>
      </w:r>
      <w:r w:rsidR="000A6125">
        <w:t xml:space="preserve"> </w:t>
      </w:r>
      <w:r w:rsidR="001B3E4B">
        <w:t>x</w:t>
      </w:r>
      <w:r w:rsidR="000A6125">
        <w:t xml:space="preserve"> </w:t>
      </w:r>
      <w:r w:rsidR="001B3E4B">
        <w:t>5 MHz of spectrum at the lower end of the 850 MHz expansion band for a national Public Safety Mobile Broadband capability. Accordingly, 2</w:t>
      </w:r>
      <w:r w:rsidR="000A6125">
        <w:t xml:space="preserve"> </w:t>
      </w:r>
      <w:r w:rsidR="001B3E4B">
        <w:t>x</w:t>
      </w:r>
      <w:r w:rsidR="000A6125">
        <w:t xml:space="preserve"> </w:t>
      </w:r>
      <w:r w:rsidR="001B3E4B">
        <w:t>10 MHz of spectrum in the 850 MHz expansion band is being made available at auction, along with an additional 2</w:t>
      </w:r>
      <w:r w:rsidR="000A6125">
        <w:t xml:space="preserve"> </w:t>
      </w:r>
      <w:r w:rsidR="001B3E4B">
        <w:t>x</w:t>
      </w:r>
      <w:r w:rsidR="000A6125">
        <w:t xml:space="preserve"> </w:t>
      </w:r>
      <w:r w:rsidR="001B3E4B">
        <w:t>1 MH</w:t>
      </w:r>
      <w:r w:rsidR="0037784F">
        <w:t>z</w:t>
      </w:r>
      <w:r w:rsidR="00C94AF6">
        <w:t xml:space="preserve"> which is intended to facilita</w:t>
      </w:r>
      <w:r w:rsidR="001B3E4B">
        <w:t>te a future downshift of spectrum licences in the adjacent 850 MHz band</w:t>
      </w:r>
      <w:r w:rsidR="0037784F">
        <w:t>.</w:t>
      </w:r>
    </w:p>
    <w:p w14:paraId="4C5078E6" w14:textId="6AE71D63" w:rsidR="00C94AF6" w:rsidRPr="00630170" w:rsidRDefault="005D5C5E" w:rsidP="00C94AF6">
      <w:pPr>
        <w:pStyle w:val="ListParagraph"/>
        <w:numPr>
          <w:ilvl w:val="0"/>
          <w:numId w:val="1"/>
        </w:numPr>
      </w:pPr>
      <w:r>
        <w:t>2 x 25</w:t>
      </w:r>
      <w:r w:rsidR="00C94AF6">
        <w:t xml:space="preserve"> MHz of spectrum in the 900 MHz band is currently held by the three Mobile Network Operators (MNOs) (Telstra, Optus and </w:t>
      </w:r>
      <w:r w:rsidR="00C94AF6">
        <w:lastRenderedPageBreak/>
        <w:t>TPG) under apparatus licences, in a configuration which was optimised for 2G services. The band cannot be used efficiently for 3G, 4G and 5G services unless it is allocated in a 5 MHz-based configuration. The clearance and reallocation of the 900 MHz band means that the MNOs will lose their 900 MHz holdings and will have to re-acquire them at the auction if they wish to continue to use the band.</w:t>
      </w:r>
      <w:r w:rsidR="009C3544">
        <w:rPr>
          <w:rStyle w:val="FootnoteReference"/>
        </w:rPr>
        <w:footnoteReference w:id="3"/>
      </w:r>
    </w:p>
    <w:p w14:paraId="5D8E740F" w14:textId="0A8F2C6F" w:rsidR="00D36D1A" w:rsidRDefault="00D36D1A" w:rsidP="005B2613">
      <w:r w:rsidRPr="0052610C">
        <w:t>ACMA plans to hold an auction for the spectrum in late 2021.</w:t>
      </w:r>
      <w:r>
        <w:t xml:space="preserve"> ACMA </w:t>
      </w:r>
      <w:r w:rsidR="004A2071">
        <w:t xml:space="preserve">is </w:t>
      </w:r>
      <w:r>
        <w:t>propos</w:t>
      </w:r>
      <w:r w:rsidR="004A2071">
        <w:t>ing</w:t>
      </w:r>
      <w:r>
        <w:t xml:space="preserve"> to auction 20-year spectrum licences with a licence commencement date of </w:t>
      </w:r>
      <w:r w:rsidR="000A6125">
        <w:t xml:space="preserve">1 </w:t>
      </w:r>
      <w:r>
        <w:t>July 2024.</w:t>
      </w:r>
      <w:r w:rsidR="004A2071">
        <w:t xml:space="preserve"> </w:t>
      </w:r>
      <w:r w:rsidR="00911102">
        <w:t>Auction settings, including the geographic boundaries of the spectrum licences to be auctioned, the techn</w:t>
      </w:r>
      <w:r w:rsidR="0090295D">
        <w:t xml:space="preserve">ical framework for the band, and pricing matters are the subject of separate decisions to be made by ACMA. </w:t>
      </w:r>
      <w:r w:rsidR="00432F18">
        <w:t xml:space="preserve">As outlined in this RIS, ACMA’s decision on geographic boundaries </w:t>
      </w:r>
      <w:r w:rsidR="001B1B1B">
        <w:t>has</w:t>
      </w:r>
      <w:r w:rsidR="00432F18">
        <w:t xml:space="preserve"> implications for the implementation of the different options for allocation limits.</w:t>
      </w:r>
      <w:bookmarkStart w:id="8" w:name="_GoBack"/>
      <w:bookmarkEnd w:id="8"/>
    </w:p>
    <w:p w14:paraId="3D0753B1" w14:textId="77777777" w:rsidR="00D977D1" w:rsidRDefault="00D977D1" w:rsidP="005B2613">
      <w:pPr>
        <w:rPr>
          <w:szCs w:val="24"/>
        </w:rPr>
      </w:pPr>
      <w:r>
        <w:lastRenderedPageBreak/>
        <w:t>The analysis in this RIS has been informed by advice to the Minister from the Australian Competition and Consumer Commission (ACCC)</w:t>
      </w:r>
      <w:r w:rsidR="009C3544">
        <w:rPr>
          <w:rStyle w:val="FootnoteReference"/>
        </w:rPr>
        <w:footnoteReference w:id="4"/>
      </w:r>
      <w:r>
        <w:t>, and by responses to public consultations undertaken by both the ACCC and the Department</w:t>
      </w:r>
      <w:r w:rsidR="00ED2193">
        <w:rPr>
          <w:rStyle w:val="FootnoteReference"/>
        </w:rPr>
        <w:footnoteReference w:id="5"/>
      </w:r>
      <w:r>
        <w:t xml:space="preserve">. </w:t>
      </w:r>
    </w:p>
    <w:p w14:paraId="0552EAAD" w14:textId="77777777" w:rsidR="005A62B5" w:rsidRDefault="005A62B5" w:rsidP="005B2613">
      <w:r w:rsidRPr="0052610C">
        <w:rPr>
          <w:szCs w:val="24"/>
        </w:rPr>
        <w:t xml:space="preserve">This RIS has been developed in accordance with the Australian </w:t>
      </w:r>
      <w:r w:rsidRPr="0052610C">
        <w:t xml:space="preserve">Government Guide to Regulation, March 2020, issued by the OBPR in the Department of the Prime Minister and </w:t>
      </w:r>
      <w:r w:rsidRPr="009256E3">
        <w:t>Cabinet</w:t>
      </w:r>
      <w:r w:rsidRPr="00630170">
        <w:t xml:space="preserve">, </w:t>
      </w:r>
      <w:r w:rsidRPr="005A62B5">
        <w:t xml:space="preserve">and in consultation with the OBPR. </w:t>
      </w:r>
      <w:r w:rsidRPr="00166431">
        <w:t>Relevant guidance notes issued by the OBPR have also been taken into account.</w:t>
      </w:r>
      <w:r w:rsidRPr="00630170">
        <w:t xml:space="preserve">  </w:t>
      </w:r>
    </w:p>
    <w:p w14:paraId="5901A971" w14:textId="77777777" w:rsidR="005B2613" w:rsidRPr="00144E53" w:rsidRDefault="005B2613" w:rsidP="00144E53">
      <w:pPr>
        <w:pStyle w:val="Heading1"/>
        <w:rPr>
          <w:rFonts w:eastAsia="MingLiU"/>
        </w:rPr>
      </w:pPr>
      <w:bookmarkStart w:id="9" w:name="_Toc76050999"/>
      <w:bookmarkStart w:id="10" w:name="_Toc75770427"/>
      <w:bookmarkStart w:id="11" w:name="_Toc76481419"/>
      <w:bookmarkStart w:id="12" w:name="_Toc76555288"/>
      <w:bookmarkStart w:id="13" w:name="_Toc77081943"/>
      <w:bookmarkStart w:id="14" w:name="_Toc77086744"/>
      <w:bookmarkStart w:id="15" w:name="_Toc78190955"/>
      <w:r w:rsidRPr="005B2613">
        <w:rPr>
          <w:rFonts w:eastAsia="MingLiU"/>
        </w:rPr>
        <w:t xml:space="preserve">1 What is the problem </w:t>
      </w:r>
      <w:r>
        <w:rPr>
          <w:rFonts w:eastAsia="MingLiU"/>
        </w:rPr>
        <w:t>we are trying to solve</w:t>
      </w:r>
      <w:r w:rsidRPr="005B2613">
        <w:rPr>
          <w:rFonts w:eastAsia="MingLiU"/>
        </w:rPr>
        <w:t>?</w:t>
      </w:r>
      <w:bookmarkEnd w:id="9"/>
      <w:bookmarkEnd w:id="10"/>
      <w:bookmarkEnd w:id="11"/>
      <w:bookmarkEnd w:id="12"/>
      <w:bookmarkEnd w:id="13"/>
      <w:bookmarkEnd w:id="14"/>
      <w:bookmarkEnd w:id="15"/>
      <w:r w:rsidRPr="005B2613">
        <w:rPr>
          <w:rFonts w:eastAsia="MingLiU"/>
        </w:rPr>
        <w:t xml:space="preserve"> </w:t>
      </w:r>
    </w:p>
    <w:p w14:paraId="2FCE2F8A" w14:textId="77777777" w:rsidR="009C3544" w:rsidRDefault="00144E53" w:rsidP="009C3544">
      <w:r w:rsidRPr="0052610C">
        <w:t xml:space="preserve">This RIS considers whether the Minister should direct ACMA to impose allocation limits for the auction of </w:t>
      </w:r>
      <w:r>
        <w:t xml:space="preserve">72 MHz in the 850/900 MHz band and </w:t>
      </w:r>
      <w:r w:rsidRPr="0052610C">
        <w:t xml:space="preserve">if so, what those allocation limits should be. </w:t>
      </w:r>
    </w:p>
    <w:p w14:paraId="140292A8" w14:textId="68374A9E" w:rsidR="00277999" w:rsidRDefault="0095756B" w:rsidP="009C3544">
      <w:r>
        <w:lastRenderedPageBreak/>
        <w:t>Spectrum is a finite resource</w:t>
      </w:r>
      <w:r w:rsidR="004E684A">
        <w:t xml:space="preserve"> used for a variety of wireless services including </w:t>
      </w:r>
      <w:r w:rsidR="001C15CC">
        <w:t>Wi-Fi</w:t>
      </w:r>
      <w:r w:rsidR="004E684A">
        <w:t>, radio</w:t>
      </w:r>
      <w:r w:rsidR="001C15CC">
        <w:t xml:space="preserve">, broadcast </w:t>
      </w:r>
      <w:r w:rsidR="0025783D">
        <w:t>television</w:t>
      </w:r>
      <w:r w:rsidR="001C15CC">
        <w:t>, satellite communications, and maritime and aviation safety</w:t>
      </w:r>
      <w:r>
        <w:t>.</w:t>
      </w:r>
      <w:r w:rsidR="009C3544" w:rsidRPr="0052610C">
        <w:t xml:space="preserve"> </w:t>
      </w:r>
      <w:r w:rsidR="009C3544">
        <w:t>Low-band (sub-1 GHz) spectrum is currently used by MNOs to deliver 3G</w:t>
      </w:r>
      <w:r>
        <w:t>, 4G and some 5G services, and its propagation characteristics make it important for the provision of mobile services in both metropolitan and regional areas.</w:t>
      </w:r>
      <w:r w:rsidR="00A7483D">
        <w:t xml:space="preserve"> </w:t>
      </w:r>
      <w:r w:rsidR="00364C42">
        <w:t>It is an essential input for the national mobile services market, which the ACCC considers is the most relevant market for this auction</w:t>
      </w:r>
      <w:r w:rsidR="00EF547D">
        <w:t xml:space="preserve">, </w:t>
      </w:r>
      <w:r w:rsidR="00EF547D" w:rsidRPr="00C57823">
        <w:t xml:space="preserve">and </w:t>
      </w:r>
      <w:r w:rsidR="0097553B" w:rsidRPr="00C57823">
        <w:t xml:space="preserve">is </w:t>
      </w:r>
      <w:r w:rsidR="00EF547D" w:rsidRPr="00C57823">
        <w:t>particularly important in regional areas</w:t>
      </w:r>
      <w:r w:rsidR="00C57823" w:rsidRPr="00B63E3B">
        <w:t xml:space="preserve"> given its suitability for wide-area coverage</w:t>
      </w:r>
    </w:p>
    <w:p w14:paraId="41C1027C" w14:textId="09BA0378" w:rsidR="00277999" w:rsidRPr="005C5ED4" w:rsidRDefault="00277999" w:rsidP="003212ED">
      <w:r w:rsidRPr="005C5ED4">
        <w:rPr>
          <w:rFonts w:cstheme="minorHAnsi"/>
          <w:color w:val="000000"/>
        </w:rPr>
        <w:t xml:space="preserve">Sub-1 GHz spectrum has different characteristics to </w:t>
      </w:r>
      <w:r w:rsidR="003212ED" w:rsidRPr="005C5ED4">
        <w:rPr>
          <w:rFonts w:cstheme="minorHAnsi"/>
          <w:color w:val="000000"/>
        </w:rPr>
        <w:t xml:space="preserve">the </w:t>
      </w:r>
      <w:r w:rsidRPr="005C5ED4">
        <w:rPr>
          <w:rFonts w:cstheme="minorHAnsi"/>
          <w:color w:val="000000"/>
        </w:rPr>
        <w:t>mid-band (1</w:t>
      </w:r>
      <w:r w:rsidR="007036B6">
        <w:rPr>
          <w:rFonts w:cstheme="minorHAnsi"/>
          <w:color w:val="000000"/>
        </w:rPr>
        <w:t>—</w:t>
      </w:r>
      <w:r w:rsidRPr="005C5ED4">
        <w:rPr>
          <w:rFonts w:cstheme="minorHAnsi"/>
          <w:color w:val="000000"/>
        </w:rPr>
        <w:t>6</w:t>
      </w:r>
      <w:r w:rsidR="007036B6">
        <w:rPr>
          <w:rFonts w:cstheme="minorHAnsi"/>
          <w:color w:val="000000"/>
        </w:rPr>
        <w:t xml:space="preserve"> </w:t>
      </w:r>
      <w:r w:rsidRPr="005C5ED4">
        <w:rPr>
          <w:rFonts w:cstheme="minorHAnsi"/>
          <w:color w:val="000000"/>
        </w:rPr>
        <w:t>GHz) and high-band (</w:t>
      </w:r>
      <w:r w:rsidR="003212ED" w:rsidRPr="005C5ED4">
        <w:rPr>
          <w:rFonts w:cstheme="minorHAnsi"/>
          <w:color w:val="000000"/>
        </w:rPr>
        <w:t>26</w:t>
      </w:r>
      <w:r w:rsidR="007036B6">
        <w:rPr>
          <w:rFonts w:cstheme="minorHAnsi"/>
          <w:color w:val="000000"/>
        </w:rPr>
        <w:t> </w:t>
      </w:r>
      <w:r w:rsidR="003212ED" w:rsidRPr="005C5ED4">
        <w:rPr>
          <w:rFonts w:cstheme="minorHAnsi"/>
          <w:color w:val="000000"/>
        </w:rPr>
        <w:t xml:space="preserve">GHz) spectrum </w:t>
      </w:r>
      <w:r w:rsidR="009F3721">
        <w:rPr>
          <w:rFonts w:cstheme="minorHAnsi"/>
          <w:color w:val="000000"/>
        </w:rPr>
        <w:t>that</w:t>
      </w:r>
      <w:r w:rsidR="003212ED" w:rsidRPr="005C5ED4">
        <w:rPr>
          <w:rFonts w:cstheme="minorHAnsi"/>
          <w:color w:val="000000"/>
        </w:rPr>
        <w:t xml:space="preserve"> is also being used by MNOs to deliver mobile broadband services. Noting this, the ACCC’s advice to the Minister stated </w:t>
      </w:r>
      <w:r w:rsidRPr="005C5ED4">
        <w:t>that</w:t>
      </w:r>
      <w:r w:rsidR="00C11CF8" w:rsidRPr="005C5ED4">
        <w:t xml:space="preserve"> mid-band spectrum is unlikely to provide an effective substitute for sub-1 GHz spectrum (because significantly more site deployments are needed to achieve the same level of coverage with mid-band compared to low-band spectrum).</w:t>
      </w:r>
      <w:r w:rsidR="007036B6">
        <w:t xml:space="preserve"> </w:t>
      </w:r>
      <w:r w:rsidR="00D30C14">
        <w:t>Similarly, h</w:t>
      </w:r>
      <w:r w:rsidR="007036B6">
        <w:t>igh</w:t>
      </w:r>
      <w:r w:rsidR="00AF0252">
        <w:noBreakHyphen/>
      </w:r>
      <w:r w:rsidR="007036B6">
        <w:t>band or millimetre wave spectrum is not substitutable for either low or mid-band spectrum.</w:t>
      </w:r>
      <w:r w:rsidR="00C11CF8" w:rsidRPr="005C5ED4">
        <w:t xml:space="preserve"> The ACCC advised that</w:t>
      </w:r>
      <w:r w:rsidRPr="005C5ED4">
        <w:t xml:space="preserve">: </w:t>
      </w:r>
    </w:p>
    <w:p w14:paraId="24892584" w14:textId="77777777" w:rsidR="00277999" w:rsidRDefault="00277999" w:rsidP="00277999">
      <w:pPr>
        <w:ind w:left="720"/>
      </w:pPr>
      <w:r w:rsidRPr="005C5ED4">
        <w:t>“</w:t>
      </w:r>
      <w:proofErr w:type="gramStart"/>
      <w:r w:rsidRPr="005C5ED4">
        <w:t>operators</w:t>
      </w:r>
      <w:proofErr w:type="gramEnd"/>
      <w:r w:rsidRPr="005C5ED4">
        <w:t xml:space="preserve"> without sufficient sub-1 GHz spectrum would face significantly higher deployment costs, which would undermine the </w:t>
      </w:r>
      <w:r w:rsidRPr="005C5ED4">
        <w:lastRenderedPageBreak/>
        <w:t>commercial case for wider roll out of networks, particularly in regional Australia. If there is significant disparity in sub-1 GHz band holdings among the operators, it is likely that operators with more sub-1 GHz holdings would hold a competitive advantage compared to others due to their ability to deploy mobile networks more quickly and cost efficiently.”</w:t>
      </w:r>
      <w:r w:rsidRPr="005C5ED4">
        <w:rPr>
          <w:rStyle w:val="FootnoteReference"/>
        </w:rPr>
        <w:footnoteReference w:id="6"/>
      </w:r>
    </w:p>
    <w:p w14:paraId="502F55E1" w14:textId="2370B78D" w:rsidR="00FC1472" w:rsidRDefault="00A81AF5" w:rsidP="00FC1472">
      <w:pPr>
        <w:rPr>
          <w:rFonts w:cstheme="minorHAnsi"/>
          <w:color w:val="000000"/>
        </w:rPr>
      </w:pPr>
      <w:r w:rsidRPr="00A81AF5">
        <w:rPr>
          <w:rFonts w:cstheme="minorHAnsi"/>
          <w:color w:val="000000"/>
        </w:rPr>
        <w:t>The ACCC considers Optus’s lack of sub-1 GHz spectrum, relative to other MNOs, to be the key competition issue in the 850/900 MHz allocation. The ACCC noted that</w:t>
      </w:r>
      <w:r w:rsidR="00FC1472">
        <w:rPr>
          <w:rFonts w:cstheme="minorHAnsi"/>
          <w:color w:val="000000"/>
        </w:rPr>
        <w:t xml:space="preserve">: </w:t>
      </w:r>
    </w:p>
    <w:p w14:paraId="245DF8EA" w14:textId="4610BFAE" w:rsidR="00FC1472" w:rsidRDefault="00FC1472" w:rsidP="00071566">
      <w:pPr>
        <w:ind w:left="720"/>
        <w:rPr>
          <w:rFonts w:cstheme="minorHAnsi"/>
          <w:color w:val="000000"/>
        </w:rPr>
      </w:pPr>
      <w:r>
        <w:rPr>
          <w:rFonts w:cstheme="minorHAnsi"/>
          <w:color w:val="000000"/>
        </w:rPr>
        <w:t>“</w:t>
      </w:r>
      <w:r w:rsidRPr="00FC1472">
        <w:rPr>
          <w:rFonts w:cstheme="minorHAnsi"/>
          <w:color w:val="000000"/>
        </w:rPr>
        <w:t>Optus’ ability to compete effectively in</w:t>
      </w:r>
      <w:r>
        <w:rPr>
          <w:rFonts w:cstheme="minorHAnsi"/>
          <w:color w:val="000000"/>
        </w:rPr>
        <w:t xml:space="preserve"> </w:t>
      </w:r>
      <w:r w:rsidRPr="00FC1472">
        <w:rPr>
          <w:rFonts w:cstheme="minorHAnsi"/>
          <w:color w:val="000000"/>
        </w:rPr>
        <w:t>the mobile services market will likely be constrained if it does not acquire more sub-1 GHz</w:t>
      </w:r>
      <w:r>
        <w:rPr>
          <w:rFonts w:cstheme="minorHAnsi"/>
          <w:color w:val="000000"/>
        </w:rPr>
        <w:t xml:space="preserve"> </w:t>
      </w:r>
      <w:r w:rsidRPr="00FC1472">
        <w:rPr>
          <w:rFonts w:cstheme="minorHAnsi"/>
          <w:color w:val="000000"/>
        </w:rPr>
        <w:t>band spectrum in the 850/900 MHz allocation. In particular, there is a risk that Optus may</w:t>
      </w:r>
      <w:r>
        <w:rPr>
          <w:rFonts w:cstheme="minorHAnsi"/>
          <w:color w:val="000000"/>
        </w:rPr>
        <w:t xml:space="preserve"> </w:t>
      </w:r>
      <w:r w:rsidRPr="00FC1472">
        <w:rPr>
          <w:rFonts w:cstheme="minorHAnsi"/>
          <w:color w:val="000000"/>
        </w:rPr>
        <w:t>not be able to roll out 5G technology widely and efficiently in Australia in the absence of</w:t>
      </w:r>
      <w:r>
        <w:rPr>
          <w:rFonts w:cstheme="minorHAnsi"/>
          <w:color w:val="000000"/>
        </w:rPr>
        <w:t xml:space="preserve"> </w:t>
      </w:r>
      <w:r w:rsidRPr="00FC1472">
        <w:rPr>
          <w:rFonts w:cstheme="minorHAnsi"/>
          <w:color w:val="000000"/>
        </w:rPr>
        <w:t>more sub-1 GHz spectrum. This would adversely affect competition in the mobile services</w:t>
      </w:r>
      <w:r>
        <w:rPr>
          <w:rFonts w:cstheme="minorHAnsi"/>
          <w:color w:val="000000"/>
        </w:rPr>
        <w:t xml:space="preserve"> </w:t>
      </w:r>
      <w:r w:rsidRPr="00FC1472">
        <w:rPr>
          <w:rFonts w:cstheme="minorHAnsi"/>
          <w:color w:val="000000"/>
        </w:rPr>
        <w:t>market, particularly in regional areas by limiting the deployment of competitive 5G networks</w:t>
      </w:r>
      <w:r>
        <w:rPr>
          <w:rFonts w:cstheme="minorHAnsi"/>
          <w:color w:val="000000"/>
        </w:rPr>
        <w:t xml:space="preserve"> </w:t>
      </w:r>
      <w:r w:rsidRPr="00FC1472">
        <w:rPr>
          <w:rFonts w:cstheme="minorHAnsi"/>
          <w:color w:val="000000"/>
        </w:rPr>
        <w:t>by all MNOs across Australia, to the detriment of consumers</w:t>
      </w:r>
      <w:r>
        <w:rPr>
          <w:rFonts w:cstheme="minorHAnsi"/>
          <w:color w:val="000000"/>
        </w:rPr>
        <w:t>”</w:t>
      </w:r>
      <w:r w:rsidR="00093178">
        <w:rPr>
          <w:rFonts w:cstheme="minorHAnsi"/>
          <w:color w:val="000000"/>
        </w:rPr>
        <w:t>.</w:t>
      </w:r>
      <w:r>
        <w:rPr>
          <w:rStyle w:val="FootnoteReference"/>
          <w:rFonts w:cstheme="minorHAnsi"/>
          <w:color w:val="000000"/>
        </w:rPr>
        <w:footnoteReference w:id="7"/>
      </w:r>
    </w:p>
    <w:p w14:paraId="0403AE05" w14:textId="7DF3EAAF" w:rsidR="00A81AF5" w:rsidRDefault="000C5BCD" w:rsidP="00A81AF5">
      <w:pPr>
        <w:rPr>
          <w:rFonts w:cstheme="minorHAnsi"/>
          <w:color w:val="000000"/>
        </w:rPr>
      </w:pPr>
      <w:r>
        <w:rPr>
          <w:rFonts w:cstheme="minorHAnsi"/>
          <w:color w:val="000000"/>
        </w:rPr>
        <w:lastRenderedPageBreak/>
        <w:t>The Department agrees with the ACCC’s assertion that</w:t>
      </w:r>
      <w:r w:rsidR="00A81AF5">
        <w:rPr>
          <w:rFonts w:cstheme="minorHAnsi"/>
          <w:color w:val="000000"/>
        </w:rPr>
        <w:t xml:space="preserve"> “allocation limits can help promote competition and economic efficiency in markets that rely on spectrum by giving all operators an opportunity to acquire sufficient spectrum to compete effectively in the downstream markets. When the operators can compete effectively, this promotes good outcomes for consumers, in terms of choice, price and quality of services available”.</w:t>
      </w:r>
      <w:r w:rsidR="00A81AF5">
        <w:rPr>
          <w:rStyle w:val="FootnoteReference"/>
          <w:rFonts w:cstheme="minorHAnsi"/>
          <w:color w:val="000000"/>
        </w:rPr>
        <w:footnoteReference w:id="8"/>
      </w:r>
      <w:r w:rsidR="00A81AF5">
        <w:rPr>
          <w:rFonts w:cstheme="minorHAnsi"/>
          <w:color w:val="000000"/>
        </w:rPr>
        <w:t xml:space="preserve"> </w:t>
      </w:r>
    </w:p>
    <w:p w14:paraId="4F5C296B" w14:textId="6193FD1F" w:rsidR="005B2613" w:rsidRPr="005B2613" w:rsidRDefault="00202E73" w:rsidP="005B2613">
      <w:pPr>
        <w:pStyle w:val="Heading1"/>
        <w:rPr>
          <w:rFonts w:eastAsia="MingLiU"/>
        </w:rPr>
      </w:pPr>
      <w:bookmarkStart w:id="16" w:name="_Toc76051000"/>
      <w:bookmarkStart w:id="17" w:name="_Toc75770428"/>
      <w:bookmarkStart w:id="18" w:name="_Toc76481420"/>
      <w:bookmarkStart w:id="19" w:name="_Toc76555289"/>
      <w:bookmarkStart w:id="20" w:name="_Toc77081944"/>
      <w:bookmarkStart w:id="21" w:name="_Toc77086745"/>
      <w:bookmarkStart w:id="22" w:name="_Toc78190956"/>
      <w:r>
        <w:rPr>
          <w:rFonts w:eastAsia="MingLiU"/>
        </w:rPr>
        <w:t>2 Why is G</w:t>
      </w:r>
      <w:r w:rsidR="005B2613" w:rsidRPr="005B2613">
        <w:rPr>
          <w:rFonts w:eastAsia="MingLiU"/>
        </w:rPr>
        <w:t>overnment action needed?</w:t>
      </w:r>
      <w:bookmarkEnd w:id="16"/>
      <w:bookmarkEnd w:id="17"/>
      <w:bookmarkEnd w:id="18"/>
      <w:bookmarkEnd w:id="19"/>
      <w:bookmarkEnd w:id="20"/>
      <w:bookmarkEnd w:id="21"/>
      <w:bookmarkEnd w:id="22"/>
      <w:r w:rsidR="005B2613" w:rsidRPr="005B2613">
        <w:rPr>
          <w:rFonts w:eastAsia="MingLiU"/>
        </w:rPr>
        <w:t xml:space="preserve"> </w:t>
      </w:r>
    </w:p>
    <w:p w14:paraId="1DADC085" w14:textId="3ADEDB07" w:rsidR="00115003" w:rsidRDefault="00115003" w:rsidP="00115003">
      <w:pPr>
        <w:rPr>
          <w:rFonts w:ascii="Calibri" w:eastAsia="PMingLiU" w:hAnsi="Calibri" w:cs="Mangal"/>
        </w:rPr>
      </w:pPr>
      <w:r w:rsidRPr="007B2D9B">
        <w:rPr>
          <w:rFonts w:ascii="Calibri" w:eastAsia="PMingLiU" w:hAnsi="Calibri" w:cs="Mangal"/>
        </w:rPr>
        <w:t>Government action is needed to</w:t>
      </w:r>
      <w:r w:rsidRPr="00D120EC">
        <w:t xml:space="preserve"> </w:t>
      </w:r>
      <w:r w:rsidR="00D120EC" w:rsidRPr="00D120EC">
        <w:rPr>
          <w:rFonts w:ascii="Calibri" w:eastAsia="PMingLiU" w:hAnsi="Calibri" w:cs="Mangal"/>
        </w:rPr>
        <w:t xml:space="preserve">mitigate the risk of </w:t>
      </w:r>
      <w:r w:rsidR="0019571D">
        <w:rPr>
          <w:rFonts w:ascii="Calibri" w:eastAsia="PMingLiU" w:hAnsi="Calibri" w:cs="Mangal"/>
        </w:rPr>
        <w:t>imbalanced</w:t>
      </w:r>
      <w:r w:rsidR="00A77ED9">
        <w:rPr>
          <w:rFonts w:ascii="Calibri" w:eastAsia="PMingLiU" w:hAnsi="Calibri" w:cs="Mangal"/>
        </w:rPr>
        <w:t xml:space="preserve"> </w:t>
      </w:r>
      <w:r w:rsidR="00D120EC" w:rsidRPr="00D120EC">
        <w:rPr>
          <w:rFonts w:ascii="Calibri" w:eastAsia="PMingLiU" w:hAnsi="Calibri" w:cs="Mangal"/>
        </w:rPr>
        <w:t>spectrum holdings generat</w:t>
      </w:r>
      <w:r w:rsidR="0009445C">
        <w:rPr>
          <w:rFonts w:ascii="Calibri" w:eastAsia="PMingLiU" w:hAnsi="Calibri" w:cs="Mangal"/>
        </w:rPr>
        <w:t>ing</w:t>
      </w:r>
      <w:r w:rsidR="00D120EC" w:rsidRPr="00D120EC">
        <w:rPr>
          <w:rFonts w:ascii="Calibri" w:eastAsia="PMingLiU" w:hAnsi="Calibri" w:cs="Mangal"/>
        </w:rPr>
        <w:t xml:space="preserve"> long term constraints on competition in Australia’s national mobile service market. Without appropriate government action</w:t>
      </w:r>
      <w:r w:rsidRPr="00115003">
        <w:rPr>
          <w:rFonts w:ascii="Calibri" w:eastAsia="PMingLiU" w:hAnsi="Calibri" w:cs="Mangal"/>
        </w:rPr>
        <w:t>, competition in Australia’s national mobile services market could</w:t>
      </w:r>
      <w:r w:rsidRPr="00B30D02">
        <w:rPr>
          <w:rFonts w:ascii="Calibri" w:eastAsia="PMingLiU" w:hAnsi="Calibri" w:cs="Mangal"/>
        </w:rPr>
        <w:t xml:space="preserve"> suffer, negatively affecting consumers and failing to </w:t>
      </w:r>
      <w:r>
        <w:rPr>
          <w:rFonts w:ascii="Calibri" w:eastAsia="PMingLiU" w:hAnsi="Calibri" w:cs="Mangal"/>
        </w:rPr>
        <w:t>promote the long-term public interest derived from the use of the spectrum</w:t>
      </w:r>
      <w:r w:rsidRPr="00B30D02">
        <w:rPr>
          <w:rFonts w:ascii="Calibri" w:eastAsia="PMingLiU" w:hAnsi="Calibri" w:cs="Mangal"/>
        </w:rPr>
        <w:t>.</w:t>
      </w:r>
    </w:p>
    <w:p w14:paraId="2DBF6F35" w14:textId="14453DF4" w:rsidR="009C3544" w:rsidRPr="005C5ED4" w:rsidRDefault="005C5ED4" w:rsidP="005C5ED4">
      <w:r w:rsidRPr="007B2D9B">
        <w:t>Under subsection 60(10) of the Act, the Minister has the power to direct ACMA to impose allocation limits at an auction.</w:t>
      </w:r>
      <w:r>
        <w:t xml:space="preserve"> In making such a decision, the Minister should be guided by the object of the Act, which is </w:t>
      </w:r>
      <w:r w:rsidR="009C3544" w:rsidRPr="00CE3CB7">
        <w:t xml:space="preserve">to </w:t>
      </w:r>
      <w:r w:rsidR="009C3544">
        <w:rPr>
          <w:color w:val="000000"/>
        </w:rPr>
        <w:t>promote the long</w:t>
      </w:r>
      <w:r w:rsidR="009C3544">
        <w:rPr>
          <w:color w:val="000000"/>
        </w:rPr>
        <w:noBreakHyphen/>
        <w:t xml:space="preserve">term public interest derived from the use of the </w:t>
      </w:r>
      <w:r w:rsidR="009C3544">
        <w:rPr>
          <w:color w:val="000000"/>
        </w:rPr>
        <w:lastRenderedPageBreak/>
        <w:t>spectrum by providing for the management of the spectrum in a manner that:</w:t>
      </w:r>
    </w:p>
    <w:p w14:paraId="241A0345" w14:textId="77777777" w:rsidR="009C3544" w:rsidRDefault="009C3544" w:rsidP="009C3544">
      <w:pPr>
        <w:pStyle w:val="paragraph"/>
        <w:numPr>
          <w:ilvl w:val="0"/>
          <w:numId w:val="2"/>
        </w:numPr>
        <w:shd w:val="clear" w:color="auto" w:fill="FFFFFF"/>
        <w:spacing w:before="40" w:beforeAutospacing="0" w:after="0" w:afterAutospacing="0"/>
        <w:rPr>
          <w:rFonts w:asciiTheme="minorHAnsi" w:hAnsiTheme="minorHAnsi" w:cstheme="minorHAnsi"/>
          <w:color w:val="000000"/>
          <w:sz w:val="22"/>
          <w:szCs w:val="22"/>
        </w:rPr>
      </w:pPr>
      <w:r w:rsidRPr="00630170">
        <w:rPr>
          <w:rFonts w:asciiTheme="minorHAnsi" w:hAnsiTheme="minorHAnsi" w:cstheme="minorHAnsi"/>
          <w:color w:val="000000"/>
          <w:sz w:val="22"/>
          <w:szCs w:val="22"/>
        </w:rPr>
        <w:t xml:space="preserve">facilitates the efficient planning, allocation and use of the spectrum; </w:t>
      </w:r>
    </w:p>
    <w:p w14:paraId="14FC3EB1" w14:textId="77777777" w:rsidR="009C3544" w:rsidRDefault="009C3544" w:rsidP="009C3544">
      <w:pPr>
        <w:pStyle w:val="paragraph"/>
        <w:numPr>
          <w:ilvl w:val="0"/>
          <w:numId w:val="2"/>
        </w:numPr>
        <w:shd w:val="clear" w:color="auto" w:fill="FFFFFF"/>
        <w:spacing w:before="40" w:beforeAutospacing="0" w:after="0" w:afterAutospacing="0"/>
        <w:rPr>
          <w:rFonts w:asciiTheme="minorHAnsi" w:hAnsiTheme="minorHAnsi" w:cstheme="minorHAnsi"/>
          <w:color w:val="000000"/>
          <w:sz w:val="22"/>
          <w:szCs w:val="22"/>
        </w:rPr>
      </w:pPr>
      <w:r w:rsidRPr="009C3544">
        <w:rPr>
          <w:rFonts w:asciiTheme="minorHAnsi" w:hAnsiTheme="minorHAnsi" w:cstheme="minorHAnsi"/>
          <w:color w:val="000000"/>
          <w:sz w:val="22"/>
          <w:szCs w:val="22"/>
        </w:rPr>
        <w:t xml:space="preserve">facilitates the use of the spectrum for commercial </w:t>
      </w:r>
      <w:r>
        <w:rPr>
          <w:rFonts w:asciiTheme="minorHAnsi" w:hAnsiTheme="minorHAnsi" w:cstheme="minorHAnsi"/>
          <w:color w:val="000000"/>
          <w:sz w:val="22"/>
          <w:szCs w:val="22"/>
        </w:rPr>
        <w:t>and non-commercial purposes; and</w:t>
      </w:r>
    </w:p>
    <w:p w14:paraId="2BFDD0DD" w14:textId="77777777" w:rsidR="009C3544" w:rsidRPr="005C5ED4" w:rsidRDefault="009C3544" w:rsidP="005C5ED4">
      <w:pPr>
        <w:pStyle w:val="paragraph"/>
        <w:numPr>
          <w:ilvl w:val="0"/>
          <w:numId w:val="2"/>
        </w:numPr>
        <w:shd w:val="clear" w:color="auto" w:fill="FFFFFF"/>
        <w:spacing w:before="40" w:beforeAutospacing="0" w:after="0" w:afterAutospacing="0"/>
        <w:rPr>
          <w:rFonts w:asciiTheme="minorHAnsi" w:hAnsiTheme="minorHAnsi" w:cstheme="minorHAnsi"/>
          <w:color w:val="000000"/>
          <w:sz w:val="22"/>
          <w:szCs w:val="22"/>
        </w:rPr>
      </w:pPr>
      <w:proofErr w:type="gramStart"/>
      <w:r w:rsidRPr="009C3544">
        <w:rPr>
          <w:rFonts w:asciiTheme="minorHAnsi" w:hAnsiTheme="minorHAnsi" w:cstheme="minorHAnsi"/>
          <w:color w:val="000000"/>
          <w:sz w:val="22"/>
          <w:szCs w:val="22"/>
        </w:rPr>
        <w:t>supports</w:t>
      </w:r>
      <w:proofErr w:type="gramEnd"/>
      <w:r w:rsidRPr="009C3544">
        <w:rPr>
          <w:rFonts w:asciiTheme="minorHAnsi" w:hAnsiTheme="minorHAnsi" w:cstheme="minorHAnsi"/>
          <w:color w:val="000000"/>
          <w:sz w:val="22"/>
          <w:szCs w:val="22"/>
        </w:rPr>
        <w:t xml:space="preserve"> the communications policy objectives of the Commonwealth Government.</w:t>
      </w:r>
    </w:p>
    <w:p w14:paraId="4342697B" w14:textId="05AB3476" w:rsidR="005C5ED4" w:rsidRPr="001B1374" w:rsidRDefault="005C5ED4" w:rsidP="005C5ED4">
      <w:pPr>
        <w:rPr>
          <w:rFonts w:ascii="Calibri" w:eastAsia="PMingLiU" w:hAnsi="Calibri" w:cs="Mangal"/>
        </w:rPr>
      </w:pPr>
      <w:r>
        <w:br/>
        <w:t xml:space="preserve">Relevant communications policy objectives for this auction were set by the Minister in </w:t>
      </w:r>
      <w:r w:rsidR="00DB0D90">
        <w:t xml:space="preserve">May </w:t>
      </w:r>
      <w:r>
        <w:t>2020,</w:t>
      </w:r>
      <w:r>
        <w:rPr>
          <w:rFonts w:ascii="Calibri" w:eastAsia="PMingLiU" w:hAnsi="Calibri" w:cs="Mangal"/>
        </w:rPr>
        <w:t xml:space="preserve"> and </w:t>
      </w:r>
      <w:r w:rsidRPr="001B1374">
        <w:rPr>
          <w:rFonts w:ascii="Calibri" w:eastAsia="PMingLiU" w:hAnsi="Calibri" w:cs="Mangal"/>
        </w:rPr>
        <w:t xml:space="preserve">are </w:t>
      </w:r>
      <w:r w:rsidR="00DB0D90">
        <w:rPr>
          <w:rFonts w:ascii="Calibri" w:eastAsia="PMingLiU" w:hAnsi="Calibri" w:cs="Mangal"/>
        </w:rPr>
        <w:t>reproduced</w:t>
      </w:r>
      <w:r w:rsidR="00DB0D90" w:rsidRPr="001B1374">
        <w:rPr>
          <w:rFonts w:ascii="Calibri" w:eastAsia="PMingLiU" w:hAnsi="Calibri" w:cs="Mangal"/>
        </w:rPr>
        <w:t xml:space="preserve"> </w:t>
      </w:r>
      <w:r w:rsidR="00DB0D90">
        <w:rPr>
          <w:rFonts w:ascii="Calibri" w:eastAsia="PMingLiU" w:hAnsi="Calibri" w:cs="Mangal"/>
        </w:rPr>
        <w:t xml:space="preserve">in full </w:t>
      </w:r>
      <w:r w:rsidRPr="001B1374">
        <w:rPr>
          <w:rFonts w:ascii="Calibri" w:eastAsia="PMingLiU" w:hAnsi="Calibri" w:cs="Mangal"/>
        </w:rPr>
        <w:t>in the following table.</w:t>
      </w:r>
      <w:bookmarkStart w:id="23" w:name="_Toc518997079"/>
      <w:r w:rsidRPr="001B1374">
        <w:rPr>
          <w:rFonts w:ascii="Calibri" w:eastAsia="PMingLiU" w:hAnsi="Calibri" w:cs="Mangal"/>
        </w:rPr>
        <w:t xml:space="preserve"> </w:t>
      </w:r>
    </w:p>
    <w:p w14:paraId="65D55A30" w14:textId="195F6901" w:rsidR="005C5ED4" w:rsidRPr="009924E8" w:rsidRDefault="005C5ED4" w:rsidP="00AF5590">
      <w:pPr>
        <w:pStyle w:val="Heading4"/>
      </w:pPr>
      <w:bookmarkStart w:id="24" w:name="_Toc71281904"/>
      <w:bookmarkStart w:id="25" w:name="_Toc75770429"/>
      <w:bookmarkEnd w:id="23"/>
      <w:r w:rsidRPr="00CB6176">
        <w:rPr>
          <w:rStyle w:val="Heading4Char"/>
        </w:rPr>
        <w:t xml:space="preserve">Table </w:t>
      </w:r>
      <w:r w:rsidRPr="00CB6176">
        <w:rPr>
          <w:rStyle w:val="Heading4Char"/>
        </w:rPr>
        <w:fldChar w:fldCharType="begin"/>
      </w:r>
      <w:r w:rsidRPr="009924E8">
        <w:rPr>
          <w:rStyle w:val="Heading4Char"/>
        </w:rPr>
        <w:instrText xml:space="preserve"> SEQ Table \* ARABIC </w:instrText>
      </w:r>
      <w:r w:rsidRPr="00CB6176">
        <w:rPr>
          <w:rStyle w:val="Heading4Char"/>
        </w:rPr>
        <w:fldChar w:fldCharType="separate"/>
      </w:r>
      <w:r w:rsidR="009477B0">
        <w:rPr>
          <w:rStyle w:val="Heading4Char"/>
          <w:noProof/>
        </w:rPr>
        <w:t>1</w:t>
      </w:r>
      <w:r w:rsidRPr="00CB6176">
        <w:rPr>
          <w:rStyle w:val="Heading4Char"/>
        </w:rPr>
        <w:fldChar w:fldCharType="end"/>
      </w:r>
      <w:r w:rsidRPr="00CB6176">
        <w:rPr>
          <w:rStyle w:val="Heading4Char"/>
        </w:rPr>
        <w:t>. Communications Policy Objectives for the 850/900 MHz Allocation</w:t>
      </w:r>
      <w:bookmarkEnd w:id="24"/>
      <w:r>
        <w:rPr>
          <w:rStyle w:val="FootnoteReference"/>
          <w:i w:val="0"/>
        </w:rPr>
        <w:footnoteReference w:id="9"/>
      </w:r>
      <w:bookmarkEnd w:id="25"/>
    </w:p>
    <w:tbl>
      <w:tblPr>
        <w:tblStyle w:val="PlainTable4"/>
        <w:tblW w:w="9185" w:type="dxa"/>
        <w:tblLook w:val="04A0" w:firstRow="1" w:lastRow="0" w:firstColumn="1" w:lastColumn="0" w:noHBand="0" w:noVBand="1"/>
      </w:tblPr>
      <w:tblGrid>
        <w:gridCol w:w="2883"/>
        <w:gridCol w:w="6302"/>
      </w:tblGrid>
      <w:tr w:rsidR="005C5ED4" w:rsidRPr="00E72A69" w14:paraId="784A95E4" w14:textId="77777777" w:rsidTr="00B60E66">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83" w:type="dxa"/>
            <w:shd w:val="clear" w:color="auto" w:fill="A8D08D" w:themeFill="accent6" w:themeFillTint="99"/>
          </w:tcPr>
          <w:p w14:paraId="0E46C14C" w14:textId="77777777" w:rsidR="005C5ED4" w:rsidRPr="00E72A69" w:rsidRDefault="005C5ED4" w:rsidP="00AF5590">
            <w:pPr>
              <w:keepNext/>
            </w:pPr>
            <w:bookmarkStart w:id="26" w:name="_Toc44670180"/>
            <w:bookmarkStart w:id="27" w:name="_Toc44670438"/>
            <w:bookmarkStart w:id="28" w:name="_Toc45893717"/>
            <w:bookmarkStart w:id="29" w:name="_Toc46148279"/>
            <w:r w:rsidRPr="006F19C8">
              <w:rPr>
                <w:sz w:val="28"/>
              </w:rPr>
              <w:t>Objective</w:t>
            </w:r>
            <w:bookmarkEnd w:id="26"/>
            <w:bookmarkEnd w:id="27"/>
            <w:bookmarkEnd w:id="28"/>
            <w:bookmarkEnd w:id="29"/>
            <w:r w:rsidRPr="006F19C8">
              <w:rPr>
                <w:sz w:val="28"/>
              </w:rPr>
              <w:t xml:space="preserve"> </w:t>
            </w:r>
          </w:p>
        </w:tc>
        <w:tc>
          <w:tcPr>
            <w:tcW w:w="6302" w:type="dxa"/>
            <w:shd w:val="clear" w:color="auto" w:fill="A8D08D" w:themeFill="accent6" w:themeFillTint="99"/>
          </w:tcPr>
          <w:p w14:paraId="4B723AE7" w14:textId="77777777" w:rsidR="005C5ED4" w:rsidRPr="00E72A69" w:rsidRDefault="005C5ED4" w:rsidP="00AF5590">
            <w:pPr>
              <w:pStyle w:val="NoSpacing"/>
              <w:keepNext/>
              <w:cnfStyle w:val="100000000000" w:firstRow="1" w:lastRow="0" w:firstColumn="0" w:lastColumn="0" w:oddVBand="0" w:evenVBand="0" w:oddHBand="0" w:evenHBand="0" w:firstRowFirstColumn="0" w:firstRowLastColumn="0" w:lastRowFirstColumn="0" w:lastRowLastColumn="0"/>
            </w:pPr>
            <w:bookmarkStart w:id="30" w:name="_Toc44670181"/>
            <w:bookmarkStart w:id="31" w:name="_Toc44670439"/>
            <w:bookmarkStart w:id="32" w:name="_Toc45893718"/>
            <w:bookmarkStart w:id="33" w:name="_Toc46148280"/>
            <w:r w:rsidRPr="006F19C8">
              <w:rPr>
                <w:sz w:val="28"/>
              </w:rPr>
              <w:t>Description</w:t>
            </w:r>
            <w:bookmarkEnd w:id="30"/>
            <w:bookmarkEnd w:id="31"/>
            <w:bookmarkEnd w:id="32"/>
            <w:bookmarkEnd w:id="33"/>
            <w:r w:rsidRPr="006F19C8">
              <w:rPr>
                <w:sz w:val="28"/>
              </w:rPr>
              <w:t xml:space="preserve"> </w:t>
            </w:r>
          </w:p>
        </w:tc>
      </w:tr>
      <w:tr w:rsidR="005C5ED4" w:rsidRPr="00E72A69" w14:paraId="4DA41DDB" w14:textId="77777777" w:rsidTr="00B60E66">
        <w:trPr>
          <w:cnfStyle w:val="000000100000" w:firstRow="0" w:lastRow="0" w:firstColumn="0" w:lastColumn="0" w:oddVBand="0" w:evenVBand="0" w:oddHBand="1" w:evenHBand="0" w:firstRowFirstColumn="0" w:firstRowLastColumn="0" w:lastRowFirstColumn="0" w:lastRowLastColumn="0"/>
          <w:trHeight w:val="3558"/>
        </w:trPr>
        <w:tc>
          <w:tcPr>
            <w:cnfStyle w:val="001000000000" w:firstRow="0" w:lastRow="0" w:firstColumn="1" w:lastColumn="0" w:oddVBand="0" w:evenVBand="0" w:oddHBand="0" w:evenHBand="0" w:firstRowFirstColumn="0" w:firstRowLastColumn="0" w:lastRowFirstColumn="0" w:lastRowLastColumn="0"/>
            <w:tcW w:w="2883" w:type="dxa"/>
          </w:tcPr>
          <w:p w14:paraId="60655432" w14:textId="77777777" w:rsidR="005C5ED4" w:rsidRPr="00E72A69" w:rsidRDefault="005C5ED4" w:rsidP="00B60E66">
            <w:pPr>
              <w:pStyle w:val="NoSpacing"/>
            </w:pPr>
            <w:r w:rsidRPr="003117A4">
              <w:rPr>
                <w:sz w:val="28"/>
              </w:rPr>
              <w:lastRenderedPageBreak/>
              <w:t>Supporting the deployment of 4G and 5G technologies</w:t>
            </w:r>
          </w:p>
        </w:tc>
        <w:tc>
          <w:tcPr>
            <w:tcW w:w="6302" w:type="dxa"/>
          </w:tcPr>
          <w:p w14:paraId="2A5BF27C" w14:textId="77777777" w:rsidR="005C5ED4" w:rsidRPr="00E72A69" w:rsidRDefault="005C5ED4" w:rsidP="00B60E66">
            <w:pPr>
              <w:ind w:left="179"/>
              <w:cnfStyle w:val="000000100000" w:firstRow="0" w:lastRow="0" w:firstColumn="0" w:lastColumn="0" w:oddVBand="0" w:evenVBand="0" w:oddHBand="1" w:evenHBand="0" w:firstRowFirstColumn="0" w:firstRowLastColumn="0" w:lastRowFirstColumn="0" w:lastRowLastColumn="0"/>
            </w:pPr>
            <w:r w:rsidRPr="00E72A69">
              <w:t>The Government’s 5G—Enabling the future economy directions paper identified that the Government would support the early deployment of 5G in Australia by making spectrum available in a timely manner. The 3.6 GHz band was the first band made available in Australia for the deployment of 5G services, with spectrum licences allocated in December 2018. The 26 GHz band will follow, with an allocation planned in early 2021.</w:t>
            </w:r>
            <w:r>
              <w:rPr>
                <w:rStyle w:val="FootnoteReference"/>
              </w:rPr>
              <w:footnoteReference w:id="10"/>
            </w:r>
            <w:r w:rsidRPr="00E72A69">
              <w:t xml:space="preserve"> Currently, the 850 and 900 MHz bands are not properly optimised for 4G or 5G services. A reconfiguration will support the deployment of 4G and 5G networks and support more efficient use of the spectrum. Lower-band spectrum, such as the 850 and 900 MHz bands, is important for broader 4G and 5G coverage, including in regional Australia, and will complement holdings of 5G-suitable mid and high-band spectrum.</w:t>
            </w:r>
          </w:p>
        </w:tc>
      </w:tr>
      <w:tr w:rsidR="005C5ED4" w:rsidRPr="00E72A69" w14:paraId="2B7BC5DD" w14:textId="77777777" w:rsidTr="00B60E66">
        <w:trPr>
          <w:trHeight w:val="2265"/>
        </w:trPr>
        <w:tc>
          <w:tcPr>
            <w:cnfStyle w:val="001000000000" w:firstRow="0" w:lastRow="0" w:firstColumn="1" w:lastColumn="0" w:oddVBand="0" w:evenVBand="0" w:oddHBand="0" w:evenHBand="0" w:firstRowFirstColumn="0" w:firstRowLastColumn="0" w:lastRowFirstColumn="0" w:lastRowLastColumn="0"/>
            <w:tcW w:w="2883" w:type="dxa"/>
          </w:tcPr>
          <w:p w14:paraId="2C1A4C73" w14:textId="77777777" w:rsidR="005C5ED4" w:rsidRPr="00E72A69" w:rsidRDefault="005C5ED4" w:rsidP="00B60E66">
            <w:pPr>
              <w:pStyle w:val="NoSpacing"/>
            </w:pPr>
            <w:r w:rsidRPr="006F19C8">
              <w:rPr>
                <w:sz w:val="28"/>
              </w:rPr>
              <w:t>Promoting competitive market outcomes for the long term benefit of consumers</w:t>
            </w:r>
          </w:p>
        </w:tc>
        <w:tc>
          <w:tcPr>
            <w:tcW w:w="6302" w:type="dxa"/>
          </w:tcPr>
          <w:p w14:paraId="07F3B537" w14:textId="77777777" w:rsidR="005C5ED4" w:rsidRPr="00E72A69" w:rsidRDefault="005C5ED4" w:rsidP="00B60E66">
            <w:pPr>
              <w:ind w:left="179"/>
              <w:cnfStyle w:val="000000000000" w:firstRow="0" w:lastRow="0" w:firstColumn="0" w:lastColumn="0" w:oddVBand="0" w:evenVBand="0" w:oddHBand="0" w:evenHBand="0" w:firstRowFirstColumn="0" w:firstRowLastColumn="0" w:lastRowFirstColumn="0" w:lastRowLastColumn="0"/>
            </w:pPr>
            <w:r w:rsidRPr="00E72A69">
              <w:t>The Government wants to promote competitive outcomes for the long term benefit of consumers, in order to encourage a range of choice in consumer products and place downward pressure on consumer prices. The Government recognises that spectrum allocations contribute to competitive outcomes in telecommunications markets for the long term benefit of consumers. Allocation settings, such as price and allocation limits, can influence competition in spectrum markets and, subsequently, downstream markets.</w:t>
            </w:r>
          </w:p>
        </w:tc>
      </w:tr>
      <w:tr w:rsidR="005C5ED4" w:rsidRPr="00E72A69" w14:paraId="3BA74467" w14:textId="77777777" w:rsidTr="00B60E66">
        <w:trPr>
          <w:cnfStyle w:val="000000100000" w:firstRow="0" w:lastRow="0" w:firstColumn="0" w:lastColumn="0" w:oddVBand="0" w:evenVBand="0" w:oddHBand="1" w:evenHBand="0" w:firstRowFirstColumn="0" w:firstRowLastColumn="0" w:lastRowFirstColumn="0" w:lastRowLastColumn="0"/>
          <w:trHeight w:val="2272"/>
        </w:trPr>
        <w:tc>
          <w:tcPr>
            <w:cnfStyle w:val="001000000000" w:firstRow="0" w:lastRow="0" w:firstColumn="1" w:lastColumn="0" w:oddVBand="0" w:evenVBand="0" w:oddHBand="0" w:evenHBand="0" w:firstRowFirstColumn="0" w:firstRowLastColumn="0" w:lastRowFirstColumn="0" w:lastRowLastColumn="0"/>
            <w:tcW w:w="2883" w:type="dxa"/>
          </w:tcPr>
          <w:p w14:paraId="466282AE" w14:textId="77777777" w:rsidR="005C5ED4" w:rsidRPr="00E72A69" w:rsidRDefault="005C5ED4" w:rsidP="00B60E66">
            <w:pPr>
              <w:pStyle w:val="NoSpacing"/>
            </w:pPr>
            <w:r w:rsidRPr="006F19C8">
              <w:rPr>
                <w:sz w:val="28"/>
              </w:rPr>
              <w:t>Encouraging investment in infrastructure, including in regional Australia</w:t>
            </w:r>
          </w:p>
        </w:tc>
        <w:tc>
          <w:tcPr>
            <w:tcW w:w="6302" w:type="dxa"/>
          </w:tcPr>
          <w:p w14:paraId="4C3C2D6B" w14:textId="77777777" w:rsidR="005C5ED4" w:rsidRPr="00E72A69" w:rsidRDefault="005C5ED4" w:rsidP="00B60E66">
            <w:pPr>
              <w:ind w:left="179"/>
              <w:cnfStyle w:val="000000100000" w:firstRow="0" w:lastRow="0" w:firstColumn="0" w:lastColumn="0" w:oddVBand="0" w:evenVBand="0" w:oddHBand="1" w:evenHBand="0" w:firstRowFirstColumn="0" w:firstRowLastColumn="0" w:lastRowFirstColumn="0" w:lastRowLastColumn="0"/>
            </w:pPr>
            <w:r w:rsidRPr="00E72A69">
              <w:t>The Government supports continued investment in mobile and fixed broadband infrastructure and networks. It recognises that allocation processes and licensing arrangements can contribute to, or detract from, this objective. The licensing arrangement in the 850 and 900 MHz bands should provide industry with long-term certainty to encourage operators to invest in telecommunications infrastructure across Australia, including in regional areas.</w:t>
            </w:r>
          </w:p>
        </w:tc>
      </w:tr>
      <w:tr w:rsidR="005C5ED4" w:rsidRPr="00E72A69" w14:paraId="64ADEDAC" w14:textId="77777777" w:rsidTr="00B60E66">
        <w:trPr>
          <w:trHeight w:val="2265"/>
        </w:trPr>
        <w:tc>
          <w:tcPr>
            <w:cnfStyle w:val="001000000000" w:firstRow="0" w:lastRow="0" w:firstColumn="1" w:lastColumn="0" w:oddVBand="0" w:evenVBand="0" w:oddHBand="0" w:evenHBand="0" w:firstRowFirstColumn="0" w:firstRowLastColumn="0" w:lastRowFirstColumn="0" w:lastRowLastColumn="0"/>
            <w:tcW w:w="2883" w:type="dxa"/>
          </w:tcPr>
          <w:p w14:paraId="1AF7F7CA" w14:textId="77777777" w:rsidR="005C5ED4" w:rsidRPr="00E72A69" w:rsidRDefault="005C5ED4" w:rsidP="00B60E66">
            <w:pPr>
              <w:pStyle w:val="NoSpacing"/>
            </w:pPr>
            <w:r w:rsidRPr="006F19C8">
              <w:rPr>
                <w:sz w:val="28"/>
              </w:rPr>
              <w:t>Supporting continuity of services</w:t>
            </w:r>
          </w:p>
        </w:tc>
        <w:tc>
          <w:tcPr>
            <w:tcW w:w="6302" w:type="dxa"/>
          </w:tcPr>
          <w:p w14:paraId="35E9C817" w14:textId="77777777" w:rsidR="005C5ED4" w:rsidRPr="00E72A69" w:rsidRDefault="005C5ED4" w:rsidP="00B60E66">
            <w:pPr>
              <w:ind w:left="179"/>
              <w:cnfStyle w:val="000000000000" w:firstRow="0" w:lastRow="0" w:firstColumn="0" w:lastColumn="0" w:oddVBand="0" w:evenVBand="0" w:oddHBand="0" w:evenHBand="0" w:firstRowFirstColumn="0" w:firstRowLastColumn="0" w:lastRowFirstColumn="0" w:lastRowLastColumn="0"/>
            </w:pPr>
            <w:r w:rsidRPr="00E72A69">
              <w:t>The Government recognises the existing uses and users of services operating in the 850 and 900 MHz bands. A reconfiguration of the bands can deliver greater capacity for wireless services and support carriers to deploy 4G and 5G wireless broadband services, improving the quality of services for existing customers. The Government will work with industry to promote continuity of services in the band and seek to minimise any potential impact to consumers as a result of changes to spectrum holdings.</w:t>
            </w:r>
          </w:p>
        </w:tc>
      </w:tr>
      <w:tr w:rsidR="005C5ED4" w:rsidRPr="00E72A69" w14:paraId="32A0CF16" w14:textId="77777777" w:rsidTr="00B60E66">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2883" w:type="dxa"/>
          </w:tcPr>
          <w:p w14:paraId="7F83DF15" w14:textId="77777777" w:rsidR="005C5ED4" w:rsidRPr="00E72A69" w:rsidRDefault="005C5ED4" w:rsidP="00B60E66">
            <w:pPr>
              <w:pStyle w:val="NoSpacing"/>
            </w:pPr>
            <w:r w:rsidRPr="006F19C8">
              <w:rPr>
                <w:sz w:val="28"/>
              </w:rPr>
              <w:lastRenderedPageBreak/>
              <w:t>Supporting a national PSMB capability</w:t>
            </w:r>
          </w:p>
        </w:tc>
        <w:tc>
          <w:tcPr>
            <w:tcW w:w="6302" w:type="dxa"/>
          </w:tcPr>
          <w:p w14:paraId="011235A6" w14:textId="77777777" w:rsidR="005C5ED4" w:rsidRPr="00E72A69" w:rsidRDefault="005C5ED4" w:rsidP="00B60E66">
            <w:pPr>
              <w:ind w:left="179"/>
              <w:cnfStyle w:val="000000100000" w:firstRow="0" w:lastRow="0" w:firstColumn="0" w:lastColumn="0" w:oddVBand="0" w:evenVBand="0" w:oddHBand="1" w:evenHBand="0" w:firstRowFirstColumn="0" w:firstRowLastColumn="0" w:lastRowFirstColumn="0" w:lastRowLastColumn="0"/>
            </w:pPr>
            <w:r w:rsidRPr="00E72A69">
              <w:t>The 850 MHz expansion band has been identified as a possible candidate to support a future public safety mobile broadband (PSMB) capability. The Government is prepared to reserve spectrum for PSMB, subject to the outcomes of continued discussions with state and territory governments. In December 2018, the Council of Australian Governments agreed to a Strategic Roadmap for a national PSMB network. All jurisdictions agreed to continue to work together to resolve supporting spectrum arrangements in parallel with proof of concept trials.</w:t>
            </w:r>
          </w:p>
        </w:tc>
      </w:tr>
    </w:tbl>
    <w:p w14:paraId="5E355828" w14:textId="77777777" w:rsidR="005C5ED4" w:rsidRDefault="005C5ED4" w:rsidP="005C5ED4"/>
    <w:p w14:paraId="305D53D4" w14:textId="6A82BF1C" w:rsidR="0071225F" w:rsidRDefault="00175E25" w:rsidP="005C5ED4">
      <w:r>
        <w:t xml:space="preserve">When the Minister sought advice from the ACCC, he asked it to have specific regard to these policy objectives when preparing its advice. </w:t>
      </w:r>
    </w:p>
    <w:p w14:paraId="3F83E1B7" w14:textId="77777777" w:rsidR="005C5ED4" w:rsidRDefault="005C5ED4" w:rsidP="005C5ED4">
      <w:r>
        <w:t>The Department considers that the first three policy objectives are most</w:t>
      </w:r>
      <w:r w:rsidR="00953503">
        <w:t xml:space="preserve"> relevant to the decisions considered in this RIS. The final two policy objectives have been addressed through separate decisions, as follows.</w:t>
      </w:r>
    </w:p>
    <w:p w14:paraId="41771048" w14:textId="480B9630" w:rsidR="00A7483D" w:rsidRDefault="00953503" w:rsidP="00A7483D">
      <w:pPr>
        <w:pStyle w:val="ListParagraph"/>
        <w:numPr>
          <w:ilvl w:val="0"/>
          <w:numId w:val="3"/>
        </w:numPr>
      </w:pPr>
      <w:r>
        <w:t>To support the continuity of services, the Minister has decided to offer Optus and TPG a guarantee, or set-aside, of 2</w:t>
      </w:r>
      <w:r w:rsidR="000E6351">
        <w:t xml:space="preserve"> </w:t>
      </w:r>
      <w:r>
        <w:t xml:space="preserve">x 5 MHz of spectrum each in the 900 MHz band. Both </w:t>
      </w:r>
      <w:r w:rsidR="00A7483D">
        <w:t>Optus and TPG use the 900 MHz band to provide 3G services, with Optus also using the band for 4G services in some sites. Telstra has limited deployments in the 900 MHz band</w:t>
      </w:r>
      <w:r w:rsidR="008640DE">
        <w:t xml:space="preserve">, meaning that its existing 3G and 4G services should not be adversely affected if it </w:t>
      </w:r>
      <w:r w:rsidR="0006450F">
        <w:t xml:space="preserve">loses access to its apparatus licenses in the 900 MHz band. </w:t>
      </w:r>
      <w:r w:rsidR="004027A0">
        <w:t>T</w:t>
      </w:r>
      <w:r>
        <w:t xml:space="preserve">he </w:t>
      </w:r>
      <w:r w:rsidR="0092181E">
        <w:t xml:space="preserve">Minister agrees with the </w:t>
      </w:r>
      <w:r>
        <w:t>ACCC</w:t>
      </w:r>
      <w:r w:rsidR="0092181E">
        <w:t xml:space="preserve">’s view that there is no </w:t>
      </w:r>
      <w:r>
        <w:t xml:space="preserve">justification to guarantee any </w:t>
      </w:r>
      <w:r>
        <w:lastRenderedPageBreak/>
        <w:t>spectrum in the 900 MHz band to Telstra in order to support the continuity of services</w:t>
      </w:r>
      <w:r w:rsidR="00A7483D">
        <w:t>.</w:t>
      </w:r>
      <w:r>
        <w:rPr>
          <w:rStyle w:val="FootnoteReference"/>
        </w:rPr>
        <w:footnoteReference w:id="11"/>
      </w:r>
      <w:r w:rsidR="0092181E">
        <w:t xml:space="preserve"> </w:t>
      </w:r>
    </w:p>
    <w:p w14:paraId="337D4158" w14:textId="407D6986" w:rsidR="0092181E" w:rsidRDefault="0092181E" w:rsidP="0092181E">
      <w:pPr>
        <w:pStyle w:val="ListParagraph"/>
        <w:numPr>
          <w:ilvl w:val="1"/>
          <w:numId w:val="3"/>
        </w:numPr>
      </w:pPr>
      <w:r>
        <w:t xml:space="preserve">TPG and Optus will both be offered the opportunity to take up a “guarantee” of </w:t>
      </w:r>
      <w:r w:rsidR="00C14167">
        <w:t>2 </w:t>
      </w:r>
      <w:r>
        <w:t>x</w:t>
      </w:r>
      <w:r w:rsidR="00C14167">
        <w:t> </w:t>
      </w:r>
      <w:r>
        <w:t>5</w:t>
      </w:r>
      <w:r w:rsidR="000E6351">
        <w:t> </w:t>
      </w:r>
      <w:r>
        <w:t>MHz of 900 MHz spectrum through ACMA’s auction process. The price, and process, for the set-aside spectrum are subject to separate decisions from ACMA. The guaranteed spectrum will count towards the maximum amount of spectrum allowed under any allocation limit.</w:t>
      </w:r>
    </w:p>
    <w:p w14:paraId="514200A9" w14:textId="0FD8B55B" w:rsidR="00917F6D" w:rsidRDefault="00953503" w:rsidP="00810DD5">
      <w:pPr>
        <w:pStyle w:val="ListParagraph"/>
        <w:numPr>
          <w:ilvl w:val="0"/>
          <w:numId w:val="3"/>
        </w:numPr>
      </w:pPr>
      <w:r>
        <w:t>The Australian Government has decided to reserve 2</w:t>
      </w:r>
      <w:r w:rsidR="000E6351">
        <w:t xml:space="preserve"> </w:t>
      </w:r>
      <w:r>
        <w:t>x</w:t>
      </w:r>
      <w:r w:rsidR="000E6351">
        <w:t xml:space="preserve"> </w:t>
      </w:r>
      <w:r>
        <w:t xml:space="preserve">5 MHz of spectrum at the lower end of the 850 MHz expansion band for a national Public Safety Mobile Broadband (PSMB) </w:t>
      </w:r>
      <w:r w:rsidR="0045001E">
        <w:t xml:space="preserve">capability. </w:t>
      </w:r>
      <w:r>
        <w:t xml:space="preserve">States and Territories are </w:t>
      </w:r>
      <w:r w:rsidR="0092181E">
        <w:t xml:space="preserve">currently </w:t>
      </w:r>
      <w:r>
        <w:t xml:space="preserve">progressing a proof-of-concept trial </w:t>
      </w:r>
      <w:r w:rsidR="0045001E">
        <w:t>for PSMB</w:t>
      </w:r>
      <w:r w:rsidR="00DF4D7B">
        <w:t xml:space="preserve"> utilising scientific licences granted by ACMA</w:t>
      </w:r>
      <w:r w:rsidR="0092181E">
        <w:t>.</w:t>
      </w:r>
    </w:p>
    <w:p w14:paraId="01C4D5FB" w14:textId="77777777" w:rsidR="00810DD5" w:rsidRDefault="00810DD5" w:rsidP="00CD2AE0">
      <w:r>
        <w:t xml:space="preserve">In framing the options </w:t>
      </w:r>
      <w:r w:rsidR="00A36D49">
        <w:t>for allocation limits</w:t>
      </w:r>
      <w:r w:rsidR="00917F6D">
        <w:t xml:space="preserve"> that are considered in this RIS</w:t>
      </w:r>
      <w:r>
        <w:t xml:space="preserve">, the Department took </w:t>
      </w:r>
      <w:r w:rsidR="00917F6D">
        <w:t xml:space="preserve">a threshold decision that if allocation limits are to be applied, it is appropriate </w:t>
      </w:r>
      <w:r w:rsidR="00A36D49">
        <w:t>that allocation limits take account of MNOs’ other low-band (sub-1</w:t>
      </w:r>
      <w:r w:rsidR="000E6351">
        <w:t xml:space="preserve"> </w:t>
      </w:r>
      <w:r w:rsidR="00A36D49">
        <w:t xml:space="preserve">GHz) spectrum holdings. The Minister </w:t>
      </w:r>
      <w:r w:rsidR="00A36D49">
        <w:lastRenderedPageBreak/>
        <w:t xml:space="preserve">sought </w:t>
      </w:r>
      <w:r w:rsidR="002341B5">
        <w:t xml:space="preserve">advice from the ACCC on the merits of this approach, </w:t>
      </w:r>
      <w:r w:rsidR="00743535">
        <w:t>and responses to the ACCC’s consultation indicated broad agreement that the sub-1</w:t>
      </w:r>
      <w:r w:rsidR="000E6351">
        <w:t xml:space="preserve"> </w:t>
      </w:r>
      <w:r w:rsidR="00743535">
        <w:t>GHz bands are substitutes for each other as they share similar propagation characteristics and cell coverage.</w:t>
      </w:r>
      <w:r w:rsidR="00743535">
        <w:rPr>
          <w:rStyle w:val="FootnoteReference"/>
        </w:rPr>
        <w:footnoteReference w:id="12"/>
      </w:r>
      <w:r w:rsidR="00C55B1D">
        <w:t xml:space="preserve"> The ACCC therefore advised that “Taking into account existing sub-1 GHz band holdings would mean that differences in the MNOs’ ability to compete is accounted for in determining the amount of additional sub-1 GHz spectrum they should be allowed to acquire in the 850/900 MHz allocation”.</w:t>
      </w:r>
      <w:r w:rsidR="00C55B1D">
        <w:rPr>
          <w:rStyle w:val="FootnoteReference"/>
        </w:rPr>
        <w:footnoteReference w:id="13"/>
      </w:r>
    </w:p>
    <w:p w14:paraId="6EC2E909" w14:textId="31A85F83" w:rsidR="00911102" w:rsidRPr="00B60566" w:rsidRDefault="0021499B" w:rsidP="0021499B">
      <w:pPr>
        <w:rPr>
          <w:rFonts w:cstheme="minorHAnsi"/>
        </w:rPr>
      </w:pPr>
      <w:r>
        <w:t>The MNOs currently hold spectrum licences in the 700 MHz band (held on a national basis) and the 850 MHz band (with licences split between metropolitan and regional areas), as well as apparatus-licenced spectrum in the 900 MHz band (which will be cleared and reallocated at this auction).</w:t>
      </w:r>
      <w:r w:rsidR="00406F23">
        <w:t xml:space="preserve"> </w:t>
      </w:r>
      <w:r w:rsidR="00E957D0">
        <w:t xml:space="preserve">The 850/900 MHz auction will bring the total quantum of spectrum-licensed sub-1 GHz holdings to </w:t>
      </w:r>
      <w:r w:rsidR="00E957D0" w:rsidRPr="00CD2AE0">
        <w:t>200</w:t>
      </w:r>
      <w:r w:rsidR="00932AD1">
        <w:t> </w:t>
      </w:r>
      <w:r w:rsidR="00E957D0" w:rsidRPr="00CD2AE0">
        <w:t>MHz</w:t>
      </w:r>
      <w:r w:rsidR="00E957D0">
        <w:t xml:space="preserve"> in total (split between the three MNOs and any other bidders who may acquire spectrum at the auction). </w:t>
      </w:r>
      <w:r w:rsidR="006577C4">
        <w:t xml:space="preserve"> As shown in </w:t>
      </w:r>
      <w:r w:rsidR="006577C4">
        <w:fldChar w:fldCharType="begin"/>
      </w:r>
      <w:r w:rsidR="006577C4">
        <w:instrText xml:space="preserve"> REF _Ref75725862 \h </w:instrText>
      </w:r>
      <w:r w:rsidR="006577C4">
        <w:fldChar w:fldCharType="separate"/>
      </w:r>
      <w:r w:rsidR="009477B0">
        <w:t xml:space="preserve">Figure </w:t>
      </w:r>
      <w:r w:rsidR="009477B0">
        <w:rPr>
          <w:noProof/>
        </w:rPr>
        <w:t>1</w:t>
      </w:r>
      <w:r w:rsidR="006577C4">
        <w:fldChar w:fldCharType="end"/>
      </w:r>
      <w:r w:rsidR="006577C4">
        <w:t xml:space="preserve"> below, there is </w:t>
      </w:r>
      <w:r w:rsidR="00D23A00">
        <w:t xml:space="preserve">presently </w:t>
      </w:r>
      <w:r w:rsidR="006577C4">
        <w:t>significant asymmetry in carriers’ sub-1 GHz holdings.</w:t>
      </w:r>
    </w:p>
    <w:p w14:paraId="5C3D4771" w14:textId="49CCD9A2" w:rsidR="00DE7100" w:rsidRPr="00097B85" w:rsidRDefault="00DE7100" w:rsidP="00CB6176">
      <w:bookmarkStart w:id="34" w:name="_Toc75770430"/>
      <w:r w:rsidRPr="00097B85">
        <w:rPr>
          <w:noProof/>
          <w:lang w:eastAsia="en-AU"/>
        </w:rPr>
        <w:lastRenderedPageBreak/>
        <w:drawing>
          <wp:inline distT="0" distB="0" distL="0" distR="0" wp14:anchorId="580F4F06" wp14:editId="5D4F169B">
            <wp:extent cx="5294897" cy="41624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7307" cy="4164320"/>
                    </a:xfrm>
                    <a:prstGeom prst="rect">
                      <a:avLst/>
                    </a:prstGeom>
                    <a:noFill/>
                  </pic:spPr>
                </pic:pic>
              </a:graphicData>
            </a:graphic>
          </wp:inline>
        </w:drawing>
      </w:r>
      <w:bookmarkEnd w:id="34"/>
    </w:p>
    <w:p w14:paraId="1CA01EBE" w14:textId="58D8E64C" w:rsidR="00B42B4B" w:rsidRDefault="004C1E49" w:rsidP="0082669B">
      <w:pPr>
        <w:pStyle w:val="Caption"/>
      </w:pPr>
      <w:bookmarkStart w:id="35" w:name="_Ref75725862"/>
      <w:bookmarkStart w:id="36" w:name="_Toc75770431"/>
      <w:r>
        <w:t xml:space="preserve">Figure </w:t>
      </w:r>
      <w:r w:rsidR="007A39DB">
        <w:fldChar w:fldCharType="begin"/>
      </w:r>
      <w:r w:rsidR="007A39DB">
        <w:instrText xml:space="preserve"> SEQ Figure \* ARABIC </w:instrText>
      </w:r>
      <w:r w:rsidR="007A39DB">
        <w:fldChar w:fldCharType="separate"/>
      </w:r>
      <w:r w:rsidR="009477B0">
        <w:rPr>
          <w:noProof/>
        </w:rPr>
        <w:t>1</w:t>
      </w:r>
      <w:r w:rsidR="007A39DB">
        <w:rPr>
          <w:noProof/>
        </w:rPr>
        <w:fldChar w:fldCharType="end"/>
      </w:r>
      <w:bookmarkEnd w:id="35"/>
      <w:r>
        <w:t xml:space="preserve">: </w:t>
      </w:r>
      <w:r w:rsidRPr="00AE1B9F">
        <w:t>Current sub-1 GHz holdings of MNOs, including apparatus licence holdings</w:t>
      </w:r>
      <w:bookmarkEnd w:id="36"/>
    </w:p>
    <w:p w14:paraId="4672FBB3" w14:textId="2E98DAC1" w:rsidR="00911102" w:rsidRPr="00423F5B" w:rsidRDefault="00B42B4B" w:rsidP="00FF6CB6">
      <w:pPr>
        <w:pStyle w:val="NoSpacing"/>
        <w:rPr>
          <w:i/>
          <w:sz w:val="20"/>
          <w:szCs w:val="20"/>
        </w:rPr>
      </w:pPr>
      <w:r w:rsidRPr="00CD2AE0">
        <w:rPr>
          <w:rFonts w:eastAsiaTheme="majorEastAsia"/>
          <w:i/>
          <w:sz w:val="20"/>
          <w:szCs w:val="20"/>
        </w:rPr>
        <w:t>(Dark</w:t>
      </w:r>
      <w:r w:rsidRPr="00423F5B">
        <w:rPr>
          <w:rFonts w:eastAsiaTheme="majorEastAsia"/>
          <w:i/>
          <w:sz w:val="20"/>
          <w:szCs w:val="20"/>
        </w:rPr>
        <w:t xml:space="preserve"> colours represent existing sub-1 GHz spectrum licence holdings, shaded colours represent existing apparatus licence holdings</w:t>
      </w:r>
      <w:r w:rsidR="00D30C14" w:rsidRPr="00423F5B">
        <w:rPr>
          <w:rFonts w:eastAsiaTheme="majorEastAsia"/>
          <w:i/>
          <w:sz w:val="20"/>
          <w:szCs w:val="20"/>
        </w:rPr>
        <w:t xml:space="preserve"> which will be cleared and reallocated at the upcoming 850/900 MHz auction</w:t>
      </w:r>
      <w:r w:rsidR="00B60566" w:rsidRPr="00423F5B">
        <w:rPr>
          <w:rFonts w:eastAsiaTheme="majorEastAsia"/>
          <w:i/>
          <w:sz w:val="20"/>
          <w:szCs w:val="20"/>
        </w:rPr>
        <w:t>.</w:t>
      </w:r>
      <w:r w:rsidRPr="00423F5B">
        <w:rPr>
          <w:rFonts w:eastAsiaTheme="majorEastAsia"/>
          <w:i/>
          <w:sz w:val="20"/>
          <w:szCs w:val="20"/>
        </w:rPr>
        <w:t>)</w:t>
      </w:r>
    </w:p>
    <w:p w14:paraId="2B9C5B61" w14:textId="7DB8E306" w:rsidR="000E6351" w:rsidRDefault="000E6351" w:rsidP="00FF6CB6">
      <w:pPr>
        <w:pStyle w:val="NoSpacing"/>
      </w:pPr>
    </w:p>
    <w:p w14:paraId="442EDE90" w14:textId="77777777" w:rsidR="00911102" w:rsidRDefault="00911102" w:rsidP="0021499B">
      <w:r>
        <w:t xml:space="preserve">Accordingly, the ACCC advised the Minister that: </w:t>
      </w:r>
    </w:p>
    <w:p w14:paraId="551D20AA" w14:textId="355A3642" w:rsidR="00406F23" w:rsidRDefault="00911102" w:rsidP="0099547E">
      <w:pPr>
        <w:ind w:left="720"/>
      </w:pPr>
      <w:r>
        <w:t xml:space="preserve">“The ACCC considers that the key competition issue arising from this allocation is Optus’ lack of sub-1 GHz spectrum compared to the other MNOs. Optus’ ability to compete effectively in the mobile services market will likely be constrained if it does not </w:t>
      </w:r>
      <w:r w:rsidR="0099547E">
        <w:t xml:space="preserve">acquire </w:t>
      </w:r>
      <w:r w:rsidR="0099547E">
        <w:lastRenderedPageBreak/>
        <w:t>more sub-1 GHz spectrum in the 850/900 MHz allocation. In particular, there is a risk that Optus may not be able to roll out 5G technology widely and efficiently in Australia in the absence of more sub</w:t>
      </w:r>
      <w:r w:rsidR="00591255">
        <w:noBreakHyphen/>
      </w:r>
      <w:r w:rsidR="0099547E">
        <w:t>1 GHz spectrum. This would adversely affect competition in the mobile services market, particularly in regional areas by limiting the deployment of competitive 5G networks by all MNOs across Australia, to the detriment of consumers. The ACC</w:t>
      </w:r>
      <w:r w:rsidR="00A274DB">
        <w:t>C</w:t>
      </w:r>
      <w:r w:rsidR="0099547E">
        <w:t xml:space="preserve"> has not found that Telstra or TPG face similar spectrum constraints.”</w:t>
      </w:r>
      <w:r w:rsidR="00121352">
        <w:rPr>
          <w:rStyle w:val="FootnoteReference"/>
        </w:rPr>
        <w:footnoteReference w:id="14"/>
      </w:r>
      <w:r w:rsidR="0099547E">
        <w:t xml:space="preserve"> </w:t>
      </w:r>
    </w:p>
    <w:p w14:paraId="1EC2E066" w14:textId="31E351B6" w:rsidR="00374657" w:rsidRPr="00D42039" w:rsidRDefault="005467C8">
      <w:r>
        <w:t xml:space="preserve">In accordance with the approach recommended by the ACCC, all options discussed below </w:t>
      </w:r>
      <w:r w:rsidR="00881ACF">
        <w:t xml:space="preserve">(apart from the option of no allocation limits) </w:t>
      </w:r>
      <w:r>
        <w:t>are framed as a cap on total spectrum-licensed holdings in the sub-1</w:t>
      </w:r>
      <w:r w:rsidR="004C1E49">
        <w:t xml:space="preserve"> </w:t>
      </w:r>
      <w:r>
        <w:t xml:space="preserve">GHz frequency range. The impact on the three MNOs’ ability to acquire spectrum under each limit is outlined under each option. However, it should be noted that it is possible there may be additional bidders at the auction, in particular for spectrum in regional areas (for example, NBN Co, </w:t>
      </w:r>
      <w:proofErr w:type="spellStart"/>
      <w:r>
        <w:t>Pivotel</w:t>
      </w:r>
      <w:proofErr w:type="spellEnd"/>
      <w:r>
        <w:t xml:space="preserve">, Field Solutions Group and Connected Farms have participated in consultations on auction settings), and there is no way to accurately predict aggregate demand in advance of the auction. As the three MNOs are the only licensees who hold spectrum licences </w:t>
      </w:r>
      <w:r>
        <w:lastRenderedPageBreak/>
        <w:t>in the sub-1 GHz band, they are the only bidders who would be limited by the proposed allocation limits discussed under each option below.</w:t>
      </w:r>
    </w:p>
    <w:p w14:paraId="584BE67C" w14:textId="5E310A3D" w:rsidR="005B2613" w:rsidRDefault="005B2613" w:rsidP="005B2613">
      <w:pPr>
        <w:pStyle w:val="Heading1"/>
        <w:rPr>
          <w:rFonts w:eastAsia="MingLiU"/>
        </w:rPr>
      </w:pPr>
      <w:bookmarkStart w:id="37" w:name="_Toc76051001"/>
      <w:bookmarkStart w:id="38" w:name="_Toc75770432"/>
      <w:bookmarkStart w:id="39" w:name="_Toc76481421"/>
      <w:bookmarkStart w:id="40" w:name="_Toc76555290"/>
      <w:bookmarkStart w:id="41" w:name="_Toc77081945"/>
      <w:bookmarkStart w:id="42" w:name="_Toc77086746"/>
      <w:bookmarkStart w:id="43" w:name="_Toc78190957"/>
      <w:r w:rsidRPr="005B2613">
        <w:rPr>
          <w:rFonts w:eastAsia="MingLiU"/>
        </w:rPr>
        <w:t xml:space="preserve">3 What policy options are </w:t>
      </w:r>
      <w:r>
        <w:rPr>
          <w:rFonts w:eastAsia="MingLiU"/>
        </w:rPr>
        <w:t>being considered</w:t>
      </w:r>
      <w:r w:rsidRPr="005B2613">
        <w:rPr>
          <w:rFonts w:eastAsia="MingLiU"/>
        </w:rPr>
        <w:t>?</w:t>
      </w:r>
      <w:bookmarkEnd w:id="37"/>
      <w:bookmarkEnd w:id="38"/>
      <w:bookmarkEnd w:id="39"/>
      <w:bookmarkEnd w:id="40"/>
      <w:bookmarkEnd w:id="41"/>
      <w:bookmarkEnd w:id="42"/>
      <w:bookmarkEnd w:id="43"/>
      <w:r w:rsidRPr="005B2613">
        <w:rPr>
          <w:rFonts w:eastAsia="MingLiU"/>
        </w:rPr>
        <w:t xml:space="preserve"> </w:t>
      </w:r>
    </w:p>
    <w:p w14:paraId="76880F5B" w14:textId="4476E88D" w:rsidR="00953A52" w:rsidRDefault="00732EF2" w:rsidP="00EC118F">
      <w:r>
        <w:t xml:space="preserve">Four </w:t>
      </w:r>
      <w:r w:rsidR="002341B5">
        <w:t xml:space="preserve">options </w:t>
      </w:r>
      <w:r w:rsidR="000D7482">
        <w:t>are being considered</w:t>
      </w:r>
      <w:r w:rsidR="00953A52">
        <w:t>:</w:t>
      </w:r>
      <w:r w:rsidR="000D7482">
        <w:rPr>
          <w:rStyle w:val="FootnoteReference"/>
        </w:rPr>
        <w:footnoteReference w:id="15"/>
      </w:r>
      <w:r w:rsidR="002341B5">
        <w:t xml:space="preserve"> </w:t>
      </w:r>
    </w:p>
    <w:p w14:paraId="4791C763" w14:textId="77777777" w:rsidR="00953A52" w:rsidRDefault="00953A52" w:rsidP="00CD2AE0">
      <w:pPr>
        <w:pStyle w:val="ListParagraph"/>
        <w:numPr>
          <w:ilvl w:val="0"/>
          <w:numId w:val="18"/>
        </w:numPr>
      </w:pPr>
      <w:r>
        <w:t>An allocation limit of 72 MHz applied across all sub-1 GHz holdings;</w:t>
      </w:r>
    </w:p>
    <w:p w14:paraId="197B31F0" w14:textId="77777777" w:rsidR="00953A52" w:rsidRDefault="00953A52" w:rsidP="00423F5B">
      <w:pPr>
        <w:pStyle w:val="ListParagraph"/>
        <w:numPr>
          <w:ilvl w:val="0"/>
          <w:numId w:val="18"/>
        </w:numPr>
      </w:pPr>
      <w:r>
        <w:t>An allocation limit of 82 MHz applied across all sub-1 GHz holdings, with two sub-options relating to the treatment of regional spectrum:</w:t>
      </w:r>
    </w:p>
    <w:p w14:paraId="0C75ED98" w14:textId="528FEC8D" w:rsidR="002478CE" w:rsidRDefault="00953A52" w:rsidP="00423F5B">
      <w:pPr>
        <w:pStyle w:val="ListParagraph"/>
        <w:ind w:left="1485"/>
      </w:pPr>
      <w:r>
        <w:rPr>
          <w:i/>
        </w:rPr>
        <w:t>Option 2.1</w:t>
      </w:r>
      <w:r>
        <w:t xml:space="preserve">: </w:t>
      </w:r>
      <w:r w:rsidR="002478CE">
        <w:t>an 82 MHz limit to apply to both metropolitan and regional licence areas</w:t>
      </w:r>
      <w:r w:rsidR="00F047EF">
        <w:t>;</w:t>
      </w:r>
    </w:p>
    <w:p w14:paraId="14DBCAD1" w14:textId="5E7F7A0D" w:rsidR="002478CE" w:rsidRDefault="00953A52" w:rsidP="00423F5B">
      <w:pPr>
        <w:pStyle w:val="ListParagraph"/>
        <w:ind w:left="1485"/>
      </w:pPr>
      <w:r>
        <w:rPr>
          <w:i/>
        </w:rPr>
        <w:t>Option 2</w:t>
      </w:r>
      <w:r w:rsidRPr="00CD2AE0">
        <w:t>.</w:t>
      </w:r>
      <w:r>
        <w:t>2:</w:t>
      </w:r>
      <w:r w:rsidR="002478CE">
        <w:t xml:space="preserve"> an 82 MHz limit for metropolitan licence areas and a 92 MHz limit for regional licence areas</w:t>
      </w:r>
      <w:r w:rsidR="00F047EF">
        <w:t>;</w:t>
      </w:r>
    </w:p>
    <w:p w14:paraId="3DC4612D" w14:textId="77777777" w:rsidR="002478CE" w:rsidRDefault="002478CE" w:rsidP="00423F5B">
      <w:pPr>
        <w:pStyle w:val="ListParagraph"/>
        <w:numPr>
          <w:ilvl w:val="0"/>
          <w:numId w:val="18"/>
        </w:numPr>
      </w:pPr>
      <w:r>
        <w:t>An allocation limit of 102 MHz applied across all sub-1 GHz holdings;</w:t>
      </w:r>
    </w:p>
    <w:p w14:paraId="25A9A075" w14:textId="20C445D6" w:rsidR="00953A52" w:rsidRDefault="002478CE" w:rsidP="00423F5B">
      <w:pPr>
        <w:pStyle w:val="ListParagraph"/>
        <w:numPr>
          <w:ilvl w:val="0"/>
          <w:numId w:val="18"/>
        </w:numPr>
      </w:pPr>
      <w:r>
        <w:lastRenderedPageBreak/>
        <w:t>No allocation limits.</w:t>
      </w:r>
    </w:p>
    <w:p w14:paraId="226624F7" w14:textId="1271BBF9" w:rsidR="000578A6" w:rsidRDefault="000578A6" w:rsidP="00EC118F">
      <w:r>
        <w:t xml:space="preserve">These </w:t>
      </w:r>
      <w:r w:rsidR="00953A52">
        <w:t xml:space="preserve">options </w:t>
      </w:r>
      <w:r>
        <w:t xml:space="preserve">are summarised in </w:t>
      </w:r>
      <w:r w:rsidRPr="00CB6176">
        <w:rPr>
          <w:b/>
        </w:rPr>
        <w:t>Table 2</w:t>
      </w:r>
      <w:r>
        <w:rPr>
          <w:b/>
        </w:rPr>
        <w:t xml:space="preserve"> </w:t>
      </w:r>
      <w:r w:rsidR="002C6C76">
        <w:t xml:space="preserve">and depicted in </w:t>
      </w:r>
      <w:r w:rsidR="002C6C76">
        <w:rPr>
          <w:b/>
        </w:rPr>
        <w:t>Figure 2</w:t>
      </w:r>
      <w:r>
        <w:t xml:space="preserve"> below. </w:t>
      </w:r>
      <w:r w:rsidR="002A1A38">
        <w:t xml:space="preserve">Under </w:t>
      </w:r>
      <w:r w:rsidR="00B910D3">
        <w:t>Options 1-</w:t>
      </w:r>
      <w:r w:rsidR="00FC2B95">
        <w:t>3</w:t>
      </w:r>
      <w:r w:rsidR="002A1A38">
        <w:t>:</w:t>
      </w:r>
    </w:p>
    <w:p w14:paraId="48565ADC" w14:textId="42E0DBEE" w:rsidR="00561A0F" w:rsidRDefault="00561A0F" w:rsidP="00CD2AE0">
      <w:pPr>
        <w:pStyle w:val="ListParagraph"/>
        <w:numPr>
          <w:ilvl w:val="0"/>
          <w:numId w:val="17"/>
        </w:numPr>
      </w:pPr>
      <w:r>
        <w:t xml:space="preserve">The limit would have the effect of limiting current licence holders to bidding for the amounts of spectrum set out in </w:t>
      </w:r>
      <w:r w:rsidRPr="00CB6176">
        <w:rPr>
          <w:b/>
        </w:rPr>
        <w:t>Table 2</w:t>
      </w:r>
      <w:r>
        <w:t xml:space="preserve"> in the auction</w:t>
      </w:r>
      <w:r w:rsidRPr="003448F5">
        <w:t xml:space="preserve"> (plus </w:t>
      </w:r>
      <w:r>
        <w:t xml:space="preserve">an </w:t>
      </w:r>
      <w:r w:rsidRPr="003448F5">
        <w:t>additional</w:t>
      </w:r>
      <w:r>
        <w:t xml:space="preserve"> </w:t>
      </w:r>
      <w:r w:rsidRPr="003448F5">
        <w:t>2 MHz if</w:t>
      </w:r>
      <w:r>
        <w:t xml:space="preserve"> the lower lot of </w:t>
      </w:r>
      <w:r w:rsidRPr="003448F5">
        <w:t>900</w:t>
      </w:r>
      <w:r w:rsidR="007C66B9">
        <w:t> </w:t>
      </w:r>
      <w:r w:rsidRPr="003448F5">
        <w:t>MHz</w:t>
      </w:r>
      <w:r>
        <w:t xml:space="preserve"> is</w:t>
      </w:r>
      <w:r w:rsidRPr="003448F5">
        <w:t xml:space="preserve"> purchased)</w:t>
      </w:r>
      <w:r>
        <w:t>.</w:t>
      </w:r>
    </w:p>
    <w:p w14:paraId="1A8881B1" w14:textId="70CFF516" w:rsidR="008A3E2A" w:rsidRDefault="008A3E2A" w:rsidP="00423F5B">
      <w:pPr>
        <w:pStyle w:val="ListParagraph"/>
        <w:numPr>
          <w:ilvl w:val="0"/>
          <w:numId w:val="17"/>
        </w:numPr>
      </w:pPr>
      <w:r>
        <w:t>The limit would be applied across all sub-1 GHz band holdings (</w:t>
      </w:r>
      <w:r w:rsidR="001D55C6">
        <w:t>i.e.</w:t>
      </w:r>
      <w:r>
        <w:t xml:space="preserve"> </w:t>
      </w:r>
      <w:r w:rsidR="007C66B9">
        <w:t xml:space="preserve">it </w:t>
      </w:r>
      <w:r>
        <w:t>would take into account any spectrum licences for sub-1 GHz band holdings already held by the bidding party</w:t>
      </w:r>
      <w:r w:rsidR="002A1A38">
        <w:t xml:space="preserve">, not only spectrum </w:t>
      </w:r>
      <w:r w:rsidR="002D748F">
        <w:t>available through the 850/900 MHz auction</w:t>
      </w:r>
      <w:r>
        <w:t>).</w:t>
      </w:r>
      <w:r w:rsidR="002A1A38" w:rsidRPr="002A1A38">
        <w:t xml:space="preserve"> </w:t>
      </w:r>
    </w:p>
    <w:p w14:paraId="5CD8707F" w14:textId="77777777" w:rsidR="008A3E2A" w:rsidRDefault="000578A6" w:rsidP="00423F5B">
      <w:pPr>
        <w:pStyle w:val="ListParagraph"/>
        <w:numPr>
          <w:ilvl w:val="0"/>
          <w:numId w:val="17"/>
        </w:numPr>
      </w:pPr>
      <w:r>
        <w:t>Noting that a total of 72 MHz of spectrum is being auctioned, and that there may be other bidders in addition to the 3 MNOs, not every bidder would be able to bid up to their cap</w:t>
      </w:r>
      <w:r w:rsidR="008A3E2A">
        <w:t>.</w:t>
      </w:r>
    </w:p>
    <w:p w14:paraId="228C0BFF" w14:textId="6EB670EF" w:rsidR="0050098C" w:rsidRDefault="000578A6" w:rsidP="00423F5B">
      <w:pPr>
        <w:pStyle w:val="ListParagraph"/>
        <w:numPr>
          <w:ilvl w:val="0"/>
          <w:numId w:val="17"/>
        </w:numPr>
      </w:pPr>
      <w:r>
        <w:t xml:space="preserve">A new entrant who did not have existing sub-1 GHz spectrum licences would be able to bid for all the spectrum on offer. </w:t>
      </w:r>
    </w:p>
    <w:p w14:paraId="6641A358" w14:textId="4B0086E6" w:rsidR="00073B44" w:rsidRDefault="00DB5151" w:rsidP="00747F8F">
      <w:r>
        <w:t>Each option would limit aggregate demand at the auction to a differing extent (as outlined in the analysis below), and each option would have differing impacts on Telstra, Optus and TPG given their differential existing holdings below 1 GHz.</w:t>
      </w:r>
    </w:p>
    <w:p w14:paraId="3E1A02A6" w14:textId="77777777" w:rsidR="00F047EF" w:rsidRDefault="00F047EF">
      <w:pPr>
        <w:rPr>
          <w:rFonts w:asciiTheme="majorHAnsi" w:eastAsiaTheme="majorEastAsia" w:hAnsiTheme="majorHAnsi" w:cstheme="majorBidi"/>
          <w:i/>
          <w:iCs/>
          <w:color w:val="2E74B5" w:themeColor="accent1" w:themeShade="BF"/>
        </w:rPr>
      </w:pPr>
      <w:r>
        <w:lastRenderedPageBreak/>
        <w:br w:type="page"/>
      </w:r>
    </w:p>
    <w:p w14:paraId="14E23C21" w14:textId="62F07734" w:rsidR="009924E8" w:rsidRDefault="009924E8" w:rsidP="00CB6176">
      <w:pPr>
        <w:pStyle w:val="Heading4"/>
        <w:rPr>
          <w:color w:val="auto"/>
        </w:rPr>
      </w:pPr>
      <w:r>
        <w:lastRenderedPageBreak/>
        <w:t>Table 2: Amount of spectrum MNOs are able to acquire under each option for consideration</w:t>
      </w:r>
    </w:p>
    <w:tbl>
      <w:tblPr>
        <w:tblStyle w:val="GridTable5Dark-Accent1"/>
        <w:tblW w:w="5000" w:type="pct"/>
        <w:tblLook w:val="04A0" w:firstRow="1" w:lastRow="0" w:firstColumn="1" w:lastColumn="0" w:noHBand="0" w:noVBand="1"/>
      </w:tblPr>
      <w:tblGrid>
        <w:gridCol w:w="851"/>
        <w:gridCol w:w="2753"/>
        <w:gridCol w:w="1703"/>
        <w:gridCol w:w="2005"/>
        <w:gridCol w:w="1704"/>
      </w:tblGrid>
      <w:tr w:rsidR="00AA42C6" w:rsidRPr="00253982" w14:paraId="0904430B" w14:textId="77777777" w:rsidTr="003D0A69">
        <w:trPr>
          <w:cnfStyle w:val="100000000000" w:firstRow="1" w:lastRow="0" w:firstColumn="0" w:lastColumn="0" w:oddVBand="0" w:evenVBand="0" w:oddHBand="0" w:evenHBand="0" w:firstRowFirstColumn="0" w:firstRowLastColumn="0" w:lastRowFirstColumn="0" w:lastRowLastColumn="0"/>
          <w:cantSplit/>
          <w:trHeight w:val="219"/>
        </w:trPr>
        <w:tc>
          <w:tcPr>
            <w:cnfStyle w:val="001000000000" w:firstRow="0" w:lastRow="0" w:firstColumn="1" w:lastColumn="0" w:oddVBand="0" w:evenVBand="0" w:oddHBand="0" w:evenHBand="0" w:firstRowFirstColumn="0" w:firstRowLastColumn="0" w:lastRowFirstColumn="0" w:lastRowLastColumn="0"/>
            <w:tcW w:w="472" w:type="pct"/>
            <w:vAlign w:val="center"/>
          </w:tcPr>
          <w:p w14:paraId="65758DD3" w14:textId="77777777" w:rsidR="00AA42C6" w:rsidRDefault="00AA42C6" w:rsidP="00561A0F"/>
        </w:tc>
        <w:tc>
          <w:tcPr>
            <w:tcW w:w="1527" w:type="pct"/>
            <w:vAlign w:val="center"/>
          </w:tcPr>
          <w:p w14:paraId="69CEC618" w14:textId="77777777" w:rsidR="00AA42C6" w:rsidRDefault="00AA42C6" w:rsidP="00561A0F">
            <w:pPr>
              <w:jc w:val="center"/>
              <w:cnfStyle w:val="100000000000" w:firstRow="1" w:lastRow="0" w:firstColumn="0" w:lastColumn="0" w:oddVBand="0" w:evenVBand="0" w:oddHBand="0" w:evenHBand="0" w:firstRowFirstColumn="0" w:firstRowLastColumn="0" w:lastRowFirstColumn="0" w:lastRowLastColumn="0"/>
            </w:pPr>
          </w:p>
        </w:tc>
        <w:tc>
          <w:tcPr>
            <w:tcW w:w="3001" w:type="pct"/>
            <w:gridSpan w:val="3"/>
            <w:vAlign w:val="center"/>
          </w:tcPr>
          <w:p w14:paraId="1FB54AD3" w14:textId="53C67FC4" w:rsidR="00AA42C6" w:rsidRPr="00253982" w:rsidRDefault="00AA42C6">
            <w:pPr>
              <w:jc w:val="center"/>
              <w:cnfStyle w:val="100000000000" w:firstRow="1" w:lastRow="0" w:firstColumn="0" w:lastColumn="0" w:oddVBand="0" w:evenVBand="0" w:oddHBand="0" w:evenHBand="0" w:firstRowFirstColumn="0" w:firstRowLastColumn="0" w:lastRowFirstColumn="0" w:lastRowLastColumn="0"/>
            </w:pPr>
            <w:r>
              <w:t xml:space="preserve">Maximum spectrum </w:t>
            </w:r>
            <w:r w:rsidR="00054261">
              <w:t>that could be</w:t>
            </w:r>
            <w:r>
              <w:t xml:space="preserve"> purchase</w:t>
            </w:r>
            <w:r w:rsidR="00054261">
              <w:t>d</w:t>
            </w:r>
            <w:r w:rsidR="006B4BD7">
              <w:t xml:space="preserve"> by each operator if they bid up to their cap</w:t>
            </w:r>
          </w:p>
        </w:tc>
      </w:tr>
      <w:tr w:rsidR="004C5791" w:rsidRPr="00253982" w14:paraId="5F9FBE88" w14:textId="6A431175" w:rsidTr="003D0A69">
        <w:trPr>
          <w:cnfStyle w:val="000000100000" w:firstRow="0" w:lastRow="0" w:firstColumn="0" w:lastColumn="0" w:oddVBand="0" w:evenVBand="0" w:oddHBand="1" w:evenHBand="0" w:firstRowFirstColumn="0" w:firstRowLastColumn="0" w:lastRowFirstColumn="0" w:lastRowLastColumn="0"/>
          <w:cantSplit/>
          <w:trHeight w:val="219"/>
        </w:trPr>
        <w:tc>
          <w:tcPr>
            <w:cnfStyle w:val="001000000000" w:firstRow="0" w:lastRow="0" w:firstColumn="1" w:lastColumn="0" w:oddVBand="0" w:evenVBand="0" w:oddHBand="0" w:evenHBand="0" w:firstRowFirstColumn="0" w:firstRowLastColumn="0" w:lastRowFirstColumn="0" w:lastRowLastColumn="0"/>
            <w:tcW w:w="472" w:type="pct"/>
            <w:vAlign w:val="center"/>
          </w:tcPr>
          <w:p w14:paraId="6561DD15" w14:textId="325B0397" w:rsidR="004C5791" w:rsidRPr="00253982" w:rsidRDefault="004C5791" w:rsidP="004C5791">
            <w:r>
              <w:t>Option</w:t>
            </w:r>
          </w:p>
        </w:tc>
        <w:tc>
          <w:tcPr>
            <w:tcW w:w="1527" w:type="pct"/>
            <w:vAlign w:val="center"/>
          </w:tcPr>
          <w:p w14:paraId="1173249C" w14:textId="047E1307" w:rsidR="004C5791" w:rsidRPr="00E247A4" w:rsidRDefault="004C5791" w:rsidP="004C5791">
            <w:pPr>
              <w:jc w:val="center"/>
              <w:cnfStyle w:val="000000100000" w:firstRow="0" w:lastRow="0" w:firstColumn="0" w:lastColumn="0" w:oddVBand="0" w:evenVBand="0" w:oddHBand="1" w:evenHBand="0" w:firstRowFirstColumn="0" w:firstRowLastColumn="0" w:lastRowFirstColumn="0" w:lastRowLastColumn="0"/>
            </w:pPr>
            <w:r w:rsidRPr="00E247A4">
              <w:t>Allocation limit/s (MHz, Metro/Regional)</w:t>
            </w:r>
          </w:p>
        </w:tc>
        <w:tc>
          <w:tcPr>
            <w:tcW w:w="944" w:type="pct"/>
            <w:vAlign w:val="center"/>
          </w:tcPr>
          <w:p w14:paraId="7A2F886A" w14:textId="14801A06" w:rsidR="004C5791" w:rsidRDefault="004C5791" w:rsidP="00CB6176">
            <w:pPr>
              <w:jc w:val="center"/>
              <w:cnfStyle w:val="000000100000" w:firstRow="0" w:lastRow="0" w:firstColumn="0" w:lastColumn="0" w:oddVBand="0" w:evenVBand="0" w:oddHBand="1" w:evenHBand="0" w:firstRowFirstColumn="0" w:firstRowLastColumn="0" w:lastRowFirstColumn="0" w:lastRowLastColumn="0"/>
            </w:pPr>
            <w:r w:rsidRPr="00253982">
              <w:t>Telstra</w:t>
            </w:r>
          </w:p>
          <w:p w14:paraId="766B4BB0" w14:textId="1851451B" w:rsidR="004C5791" w:rsidRPr="00253982" w:rsidRDefault="004C5791" w:rsidP="00CB6176">
            <w:pPr>
              <w:jc w:val="center"/>
              <w:cnfStyle w:val="000000100000" w:firstRow="0" w:lastRow="0" w:firstColumn="0" w:lastColumn="0" w:oddVBand="0" w:evenVBand="0" w:oddHBand="1" w:evenHBand="0" w:firstRowFirstColumn="0" w:firstRowLastColumn="0" w:lastRowFirstColumn="0" w:lastRowLastColumn="0"/>
            </w:pPr>
            <w:r>
              <w:t>(MHz, Metro/Regional)</w:t>
            </w:r>
          </w:p>
        </w:tc>
        <w:tc>
          <w:tcPr>
            <w:tcW w:w="1112" w:type="pct"/>
            <w:vAlign w:val="center"/>
          </w:tcPr>
          <w:p w14:paraId="4CB22516" w14:textId="77777777" w:rsidR="004C5791" w:rsidRDefault="004C5791" w:rsidP="004C5791">
            <w:pPr>
              <w:jc w:val="center"/>
              <w:cnfStyle w:val="000000100000" w:firstRow="0" w:lastRow="0" w:firstColumn="0" w:lastColumn="0" w:oddVBand="0" w:evenVBand="0" w:oddHBand="1" w:evenHBand="0" w:firstRowFirstColumn="0" w:firstRowLastColumn="0" w:lastRowFirstColumn="0" w:lastRowLastColumn="0"/>
            </w:pPr>
            <w:r w:rsidRPr="00253982">
              <w:t>Optus</w:t>
            </w:r>
          </w:p>
          <w:p w14:paraId="0D438FB5" w14:textId="69459089" w:rsidR="004C5791" w:rsidRPr="00253982" w:rsidRDefault="004C5791" w:rsidP="00CB6176">
            <w:pPr>
              <w:jc w:val="center"/>
              <w:cnfStyle w:val="000000100000" w:firstRow="0" w:lastRow="0" w:firstColumn="0" w:lastColumn="0" w:oddVBand="0" w:evenVBand="0" w:oddHBand="1" w:evenHBand="0" w:firstRowFirstColumn="0" w:firstRowLastColumn="0" w:lastRowFirstColumn="0" w:lastRowLastColumn="0"/>
            </w:pPr>
            <w:r>
              <w:t>(MHz, Metro/Regional)</w:t>
            </w:r>
          </w:p>
        </w:tc>
        <w:tc>
          <w:tcPr>
            <w:tcW w:w="945" w:type="pct"/>
            <w:vAlign w:val="center"/>
          </w:tcPr>
          <w:p w14:paraId="2AE4FDDE" w14:textId="77777777" w:rsidR="004C5791" w:rsidRDefault="004C5791" w:rsidP="004C5791">
            <w:pPr>
              <w:jc w:val="center"/>
              <w:cnfStyle w:val="000000100000" w:firstRow="0" w:lastRow="0" w:firstColumn="0" w:lastColumn="0" w:oddVBand="0" w:evenVBand="0" w:oddHBand="1" w:evenHBand="0" w:firstRowFirstColumn="0" w:firstRowLastColumn="0" w:lastRowFirstColumn="0" w:lastRowLastColumn="0"/>
            </w:pPr>
            <w:r w:rsidRPr="00253982">
              <w:t>TPG</w:t>
            </w:r>
          </w:p>
          <w:p w14:paraId="73ECD477" w14:textId="6DAA1E58" w:rsidR="004C5791" w:rsidRPr="00253982" w:rsidRDefault="004C5791" w:rsidP="00CB6176">
            <w:pPr>
              <w:jc w:val="center"/>
              <w:cnfStyle w:val="000000100000" w:firstRow="0" w:lastRow="0" w:firstColumn="0" w:lastColumn="0" w:oddVBand="0" w:evenVBand="0" w:oddHBand="1" w:evenHBand="0" w:firstRowFirstColumn="0" w:firstRowLastColumn="0" w:lastRowFirstColumn="0" w:lastRowLastColumn="0"/>
            </w:pPr>
            <w:r>
              <w:t>(MHz, Metro/Regional)</w:t>
            </w:r>
          </w:p>
        </w:tc>
      </w:tr>
      <w:tr w:rsidR="004C5791" w:rsidRPr="00253982" w14:paraId="390FF15B" w14:textId="1C12700B" w:rsidTr="003D0A69">
        <w:trPr>
          <w:cantSplit/>
          <w:trHeight w:val="163"/>
        </w:trPr>
        <w:tc>
          <w:tcPr>
            <w:cnfStyle w:val="001000000000" w:firstRow="0" w:lastRow="0" w:firstColumn="1" w:lastColumn="0" w:oddVBand="0" w:evenVBand="0" w:oddHBand="0" w:evenHBand="0" w:firstRowFirstColumn="0" w:firstRowLastColumn="0" w:lastRowFirstColumn="0" w:lastRowLastColumn="0"/>
            <w:tcW w:w="472" w:type="pct"/>
          </w:tcPr>
          <w:p w14:paraId="0E5D576D" w14:textId="27231305" w:rsidR="004C5791" w:rsidRPr="00CB6176" w:rsidRDefault="004C5791" w:rsidP="004C5791">
            <w:pPr>
              <w:rPr>
                <w:b w:val="0"/>
              </w:rPr>
            </w:pPr>
            <w:r>
              <w:rPr>
                <w:b w:val="0"/>
              </w:rPr>
              <w:t>1</w:t>
            </w:r>
          </w:p>
        </w:tc>
        <w:tc>
          <w:tcPr>
            <w:tcW w:w="1527" w:type="pct"/>
            <w:vAlign w:val="center"/>
          </w:tcPr>
          <w:p w14:paraId="64B3795E" w14:textId="0DE32C60" w:rsidR="004C5791" w:rsidRPr="00E247A4" w:rsidRDefault="004C5791" w:rsidP="00CB6176">
            <w:pPr>
              <w:jc w:val="center"/>
              <w:cnfStyle w:val="000000000000" w:firstRow="0" w:lastRow="0" w:firstColumn="0" w:lastColumn="0" w:oddVBand="0" w:evenVBand="0" w:oddHBand="0" w:evenHBand="0" w:firstRowFirstColumn="0" w:firstRowLastColumn="0" w:lastRowFirstColumn="0" w:lastRowLastColumn="0"/>
            </w:pPr>
            <w:r w:rsidRPr="00CB6176">
              <w:t>72</w:t>
            </w:r>
          </w:p>
        </w:tc>
        <w:tc>
          <w:tcPr>
            <w:tcW w:w="944" w:type="pct"/>
          </w:tcPr>
          <w:p w14:paraId="2DEFB948" w14:textId="095032A4" w:rsidR="004C5791" w:rsidRPr="00253982" w:rsidRDefault="004C5791" w:rsidP="00CB6176">
            <w:pPr>
              <w:jc w:val="center"/>
              <w:cnfStyle w:val="000000000000" w:firstRow="0" w:lastRow="0" w:firstColumn="0" w:lastColumn="0" w:oddVBand="0" w:evenVBand="0" w:oddHBand="0" w:evenHBand="0" w:firstRowFirstColumn="0" w:firstRowLastColumn="0" w:lastRowFirstColumn="0" w:lastRowLastColumn="0"/>
            </w:pPr>
            <w:r>
              <w:t>10/0</w:t>
            </w:r>
          </w:p>
        </w:tc>
        <w:tc>
          <w:tcPr>
            <w:tcW w:w="1112" w:type="pct"/>
          </w:tcPr>
          <w:p w14:paraId="60A3B9F9" w14:textId="7AE444BA" w:rsidR="004C5791" w:rsidRPr="00253982" w:rsidRDefault="004C5791" w:rsidP="00CB6176">
            <w:pPr>
              <w:jc w:val="center"/>
              <w:cnfStyle w:val="000000000000" w:firstRow="0" w:lastRow="0" w:firstColumn="0" w:lastColumn="0" w:oddVBand="0" w:evenVBand="0" w:oddHBand="0" w:evenHBand="0" w:firstRowFirstColumn="0" w:firstRowLastColumn="0" w:lastRowFirstColumn="0" w:lastRowLastColumn="0"/>
            </w:pPr>
            <w:r>
              <w:t>50/50</w:t>
            </w:r>
          </w:p>
        </w:tc>
        <w:tc>
          <w:tcPr>
            <w:tcW w:w="945" w:type="pct"/>
          </w:tcPr>
          <w:p w14:paraId="042275DA" w14:textId="1F2CEA3D" w:rsidR="004C5791" w:rsidRPr="00253982" w:rsidRDefault="004C5791" w:rsidP="00CB6176">
            <w:pPr>
              <w:jc w:val="center"/>
              <w:cnfStyle w:val="000000000000" w:firstRow="0" w:lastRow="0" w:firstColumn="0" w:lastColumn="0" w:oddVBand="0" w:evenVBand="0" w:oddHBand="0" w:evenHBand="0" w:firstRowFirstColumn="0" w:firstRowLastColumn="0" w:lastRowFirstColumn="0" w:lastRowLastColumn="0"/>
            </w:pPr>
            <w:r>
              <w:t>20/30</w:t>
            </w:r>
          </w:p>
        </w:tc>
      </w:tr>
      <w:tr w:rsidR="004C5791" w:rsidRPr="00253982" w14:paraId="253BAA45" w14:textId="4B1671B4" w:rsidTr="003D0A69">
        <w:trPr>
          <w:cnfStyle w:val="000000100000" w:firstRow="0" w:lastRow="0" w:firstColumn="0" w:lastColumn="0" w:oddVBand="0" w:evenVBand="0" w:oddHBand="1"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472" w:type="pct"/>
          </w:tcPr>
          <w:p w14:paraId="3AEC70D6" w14:textId="3D378F84" w:rsidR="004C5791" w:rsidRPr="00CB6176" w:rsidRDefault="004C5791" w:rsidP="004C5791">
            <w:pPr>
              <w:rPr>
                <w:b w:val="0"/>
              </w:rPr>
            </w:pPr>
            <w:r>
              <w:rPr>
                <w:b w:val="0"/>
              </w:rPr>
              <w:t>2</w:t>
            </w:r>
            <w:r w:rsidR="008663F6">
              <w:rPr>
                <w:b w:val="0"/>
              </w:rPr>
              <w:t>.1</w:t>
            </w:r>
          </w:p>
        </w:tc>
        <w:tc>
          <w:tcPr>
            <w:tcW w:w="1527" w:type="pct"/>
            <w:vAlign w:val="center"/>
          </w:tcPr>
          <w:p w14:paraId="512990BB" w14:textId="01F69912" w:rsidR="004C5791" w:rsidRPr="00E247A4" w:rsidRDefault="004C5791" w:rsidP="00CB6176">
            <w:pPr>
              <w:jc w:val="center"/>
              <w:cnfStyle w:val="000000100000" w:firstRow="0" w:lastRow="0" w:firstColumn="0" w:lastColumn="0" w:oddVBand="0" w:evenVBand="0" w:oddHBand="1" w:evenHBand="0" w:firstRowFirstColumn="0" w:firstRowLastColumn="0" w:lastRowFirstColumn="0" w:lastRowLastColumn="0"/>
            </w:pPr>
            <w:r w:rsidRPr="00CB6176">
              <w:t>82</w:t>
            </w:r>
          </w:p>
        </w:tc>
        <w:tc>
          <w:tcPr>
            <w:tcW w:w="944" w:type="pct"/>
          </w:tcPr>
          <w:p w14:paraId="1BB19A63" w14:textId="54440967" w:rsidR="004C5791" w:rsidRPr="00253982" w:rsidRDefault="004C5791" w:rsidP="00CB6176">
            <w:pPr>
              <w:jc w:val="center"/>
              <w:cnfStyle w:val="000000100000" w:firstRow="0" w:lastRow="0" w:firstColumn="0" w:lastColumn="0" w:oddVBand="0" w:evenVBand="0" w:oddHBand="1" w:evenHBand="0" w:firstRowFirstColumn="0" w:firstRowLastColumn="0" w:lastRowFirstColumn="0" w:lastRowLastColumn="0"/>
            </w:pPr>
            <w:r>
              <w:t>20/10</w:t>
            </w:r>
          </w:p>
        </w:tc>
        <w:tc>
          <w:tcPr>
            <w:tcW w:w="1112" w:type="pct"/>
          </w:tcPr>
          <w:p w14:paraId="077C76E0" w14:textId="3408A5F2" w:rsidR="004C5791" w:rsidRDefault="004C5791" w:rsidP="00CB6176">
            <w:pPr>
              <w:jc w:val="center"/>
              <w:cnfStyle w:val="000000100000" w:firstRow="0" w:lastRow="0" w:firstColumn="0" w:lastColumn="0" w:oddVBand="0" w:evenVBand="0" w:oddHBand="1" w:evenHBand="0" w:firstRowFirstColumn="0" w:firstRowLastColumn="0" w:lastRowFirstColumn="0" w:lastRowLastColumn="0"/>
            </w:pPr>
            <w:r>
              <w:t>60/60</w:t>
            </w:r>
          </w:p>
        </w:tc>
        <w:tc>
          <w:tcPr>
            <w:tcW w:w="945" w:type="pct"/>
          </w:tcPr>
          <w:p w14:paraId="4CE9179C" w14:textId="3D0ECED2" w:rsidR="004C5791" w:rsidRDefault="004C5791" w:rsidP="00CB6176">
            <w:pPr>
              <w:jc w:val="center"/>
              <w:cnfStyle w:val="000000100000" w:firstRow="0" w:lastRow="0" w:firstColumn="0" w:lastColumn="0" w:oddVBand="0" w:evenVBand="0" w:oddHBand="1" w:evenHBand="0" w:firstRowFirstColumn="0" w:firstRowLastColumn="0" w:lastRowFirstColumn="0" w:lastRowLastColumn="0"/>
            </w:pPr>
            <w:r>
              <w:t>30/40</w:t>
            </w:r>
          </w:p>
        </w:tc>
      </w:tr>
      <w:tr w:rsidR="004C5791" w:rsidRPr="00253982" w14:paraId="5BE15291" w14:textId="34EE3FFF" w:rsidTr="003D0A69">
        <w:trPr>
          <w:cantSplit/>
          <w:trHeight w:val="260"/>
        </w:trPr>
        <w:tc>
          <w:tcPr>
            <w:cnfStyle w:val="001000000000" w:firstRow="0" w:lastRow="0" w:firstColumn="1" w:lastColumn="0" w:oddVBand="0" w:evenVBand="0" w:oddHBand="0" w:evenHBand="0" w:firstRowFirstColumn="0" w:firstRowLastColumn="0" w:lastRowFirstColumn="0" w:lastRowLastColumn="0"/>
            <w:tcW w:w="472" w:type="pct"/>
          </w:tcPr>
          <w:p w14:paraId="35A5907A" w14:textId="79B86AFC" w:rsidR="004C5791" w:rsidRPr="00CB6176" w:rsidRDefault="008663F6" w:rsidP="004C5791">
            <w:pPr>
              <w:rPr>
                <w:b w:val="0"/>
              </w:rPr>
            </w:pPr>
            <w:r>
              <w:rPr>
                <w:b w:val="0"/>
              </w:rPr>
              <w:t>2.2</w:t>
            </w:r>
          </w:p>
        </w:tc>
        <w:tc>
          <w:tcPr>
            <w:tcW w:w="1527" w:type="pct"/>
            <w:vAlign w:val="center"/>
          </w:tcPr>
          <w:p w14:paraId="61CD9F16" w14:textId="11FD93F6" w:rsidR="004C5791" w:rsidRPr="00E247A4" w:rsidRDefault="004C5791" w:rsidP="00CB6176">
            <w:pPr>
              <w:jc w:val="center"/>
              <w:cnfStyle w:val="000000000000" w:firstRow="0" w:lastRow="0" w:firstColumn="0" w:lastColumn="0" w:oddVBand="0" w:evenVBand="0" w:oddHBand="0" w:evenHBand="0" w:firstRowFirstColumn="0" w:firstRowLastColumn="0" w:lastRowFirstColumn="0" w:lastRowLastColumn="0"/>
            </w:pPr>
            <w:r w:rsidRPr="00CB6176">
              <w:t>82</w:t>
            </w:r>
            <w:r w:rsidRPr="00E247A4">
              <w:t>/</w:t>
            </w:r>
            <w:r w:rsidRPr="00CB6176">
              <w:t>92</w:t>
            </w:r>
          </w:p>
        </w:tc>
        <w:tc>
          <w:tcPr>
            <w:tcW w:w="944" w:type="pct"/>
          </w:tcPr>
          <w:p w14:paraId="2BA45623" w14:textId="42A22761" w:rsidR="004C5791" w:rsidRPr="00253982" w:rsidRDefault="004C5791" w:rsidP="00CB6176">
            <w:pPr>
              <w:jc w:val="center"/>
              <w:cnfStyle w:val="000000000000" w:firstRow="0" w:lastRow="0" w:firstColumn="0" w:lastColumn="0" w:oddVBand="0" w:evenVBand="0" w:oddHBand="0" w:evenHBand="0" w:firstRowFirstColumn="0" w:firstRowLastColumn="0" w:lastRowFirstColumn="0" w:lastRowLastColumn="0"/>
            </w:pPr>
            <w:r w:rsidRPr="00A83AD1">
              <w:t>20</w:t>
            </w:r>
            <w:r>
              <w:t>/20</w:t>
            </w:r>
          </w:p>
        </w:tc>
        <w:tc>
          <w:tcPr>
            <w:tcW w:w="1112" w:type="pct"/>
          </w:tcPr>
          <w:p w14:paraId="5A8950EF" w14:textId="3110321E" w:rsidR="004C5791" w:rsidRDefault="004C5791" w:rsidP="00CB6176">
            <w:pPr>
              <w:jc w:val="center"/>
              <w:cnfStyle w:val="000000000000" w:firstRow="0" w:lastRow="0" w:firstColumn="0" w:lastColumn="0" w:oddVBand="0" w:evenVBand="0" w:oddHBand="0" w:evenHBand="0" w:firstRowFirstColumn="0" w:firstRowLastColumn="0" w:lastRowFirstColumn="0" w:lastRowLastColumn="0"/>
            </w:pPr>
            <w:r w:rsidRPr="00A83AD1">
              <w:t>60</w:t>
            </w:r>
            <w:r>
              <w:t>/70</w:t>
            </w:r>
          </w:p>
        </w:tc>
        <w:tc>
          <w:tcPr>
            <w:tcW w:w="945" w:type="pct"/>
          </w:tcPr>
          <w:p w14:paraId="60F2C0F5" w14:textId="7D4C0D1D" w:rsidR="004C5791" w:rsidRDefault="004C5791" w:rsidP="00CB6176">
            <w:pPr>
              <w:jc w:val="center"/>
              <w:cnfStyle w:val="000000000000" w:firstRow="0" w:lastRow="0" w:firstColumn="0" w:lastColumn="0" w:oddVBand="0" w:evenVBand="0" w:oddHBand="0" w:evenHBand="0" w:firstRowFirstColumn="0" w:firstRowLastColumn="0" w:lastRowFirstColumn="0" w:lastRowLastColumn="0"/>
            </w:pPr>
            <w:r w:rsidRPr="00A83AD1">
              <w:t>30</w:t>
            </w:r>
            <w:r>
              <w:t>/50</w:t>
            </w:r>
          </w:p>
        </w:tc>
      </w:tr>
      <w:tr w:rsidR="004C5791" w:rsidRPr="00253982" w14:paraId="276F653C" w14:textId="05A140DE" w:rsidTr="003D0A69">
        <w:trPr>
          <w:cnfStyle w:val="000000100000" w:firstRow="0" w:lastRow="0" w:firstColumn="0" w:lastColumn="0" w:oddVBand="0" w:evenVBand="0" w:oddHBand="1"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472" w:type="pct"/>
          </w:tcPr>
          <w:p w14:paraId="3FAD39E7" w14:textId="32ED34A1" w:rsidR="004C5791" w:rsidRPr="00CB6176" w:rsidRDefault="00FC2B95" w:rsidP="004C5791">
            <w:pPr>
              <w:rPr>
                <w:b w:val="0"/>
              </w:rPr>
            </w:pPr>
            <w:r>
              <w:rPr>
                <w:b w:val="0"/>
              </w:rPr>
              <w:t>3</w:t>
            </w:r>
          </w:p>
        </w:tc>
        <w:tc>
          <w:tcPr>
            <w:tcW w:w="1527" w:type="pct"/>
            <w:vAlign w:val="center"/>
          </w:tcPr>
          <w:p w14:paraId="0F79C3C3" w14:textId="4D4B8B59" w:rsidR="004C5791" w:rsidRPr="00E247A4" w:rsidRDefault="004C5791" w:rsidP="00CB6176">
            <w:pPr>
              <w:jc w:val="center"/>
              <w:cnfStyle w:val="000000100000" w:firstRow="0" w:lastRow="0" w:firstColumn="0" w:lastColumn="0" w:oddVBand="0" w:evenVBand="0" w:oddHBand="1" w:evenHBand="0" w:firstRowFirstColumn="0" w:firstRowLastColumn="0" w:lastRowFirstColumn="0" w:lastRowLastColumn="0"/>
            </w:pPr>
            <w:r w:rsidRPr="00CB6176">
              <w:t>102</w:t>
            </w:r>
          </w:p>
        </w:tc>
        <w:tc>
          <w:tcPr>
            <w:tcW w:w="944" w:type="pct"/>
          </w:tcPr>
          <w:p w14:paraId="73932496" w14:textId="285CE995" w:rsidR="004C5791" w:rsidRPr="00253982" w:rsidRDefault="004C5791" w:rsidP="00CB6176">
            <w:pPr>
              <w:jc w:val="center"/>
              <w:cnfStyle w:val="000000100000" w:firstRow="0" w:lastRow="0" w:firstColumn="0" w:lastColumn="0" w:oddVBand="0" w:evenVBand="0" w:oddHBand="1" w:evenHBand="0" w:firstRowFirstColumn="0" w:firstRowLastColumn="0" w:lastRowFirstColumn="0" w:lastRowLastColumn="0"/>
            </w:pPr>
            <w:r w:rsidRPr="00E67CCA">
              <w:t>40</w:t>
            </w:r>
            <w:r>
              <w:t>/30</w:t>
            </w:r>
          </w:p>
        </w:tc>
        <w:tc>
          <w:tcPr>
            <w:tcW w:w="1112" w:type="pct"/>
          </w:tcPr>
          <w:p w14:paraId="6EEF8E3E" w14:textId="0C5BD4CE" w:rsidR="004C5791" w:rsidRDefault="004C5791" w:rsidP="00CB6176">
            <w:pPr>
              <w:jc w:val="center"/>
              <w:cnfStyle w:val="000000100000" w:firstRow="0" w:lastRow="0" w:firstColumn="0" w:lastColumn="0" w:oddVBand="0" w:evenVBand="0" w:oddHBand="1" w:evenHBand="0" w:firstRowFirstColumn="0" w:firstRowLastColumn="0" w:lastRowFirstColumn="0" w:lastRowLastColumn="0"/>
            </w:pPr>
            <w:r w:rsidRPr="00E67CCA">
              <w:t>70</w:t>
            </w:r>
            <w:r>
              <w:t>/70</w:t>
            </w:r>
          </w:p>
        </w:tc>
        <w:tc>
          <w:tcPr>
            <w:tcW w:w="945" w:type="pct"/>
          </w:tcPr>
          <w:p w14:paraId="7730D52F" w14:textId="360E7921" w:rsidR="004C5791" w:rsidRDefault="004C5791" w:rsidP="00CB6176">
            <w:pPr>
              <w:jc w:val="center"/>
              <w:cnfStyle w:val="000000100000" w:firstRow="0" w:lastRow="0" w:firstColumn="0" w:lastColumn="0" w:oddVBand="0" w:evenVBand="0" w:oddHBand="1" w:evenHBand="0" w:firstRowFirstColumn="0" w:firstRowLastColumn="0" w:lastRowFirstColumn="0" w:lastRowLastColumn="0"/>
            </w:pPr>
            <w:r w:rsidRPr="00E67CCA">
              <w:t>50</w:t>
            </w:r>
            <w:r>
              <w:t>/60</w:t>
            </w:r>
          </w:p>
        </w:tc>
      </w:tr>
      <w:tr w:rsidR="00B910D3" w:rsidRPr="00253982" w14:paraId="7DFA9AF3" w14:textId="77777777" w:rsidTr="00B910D3">
        <w:trPr>
          <w:cantSplit/>
          <w:trHeight w:val="260"/>
        </w:trPr>
        <w:tc>
          <w:tcPr>
            <w:cnfStyle w:val="001000000000" w:firstRow="0" w:lastRow="0" w:firstColumn="1" w:lastColumn="0" w:oddVBand="0" w:evenVBand="0" w:oddHBand="0" w:evenHBand="0" w:firstRowFirstColumn="0" w:firstRowLastColumn="0" w:lastRowFirstColumn="0" w:lastRowLastColumn="0"/>
            <w:tcW w:w="472" w:type="pct"/>
            <w:vAlign w:val="center"/>
          </w:tcPr>
          <w:p w14:paraId="30051152" w14:textId="5DC3A9CA" w:rsidR="00B910D3" w:rsidRDefault="00FC2B95" w:rsidP="00B910D3">
            <w:r>
              <w:t>4</w:t>
            </w:r>
          </w:p>
        </w:tc>
        <w:tc>
          <w:tcPr>
            <w:tcW w:w="4528" w:type="pct"/>
            <w:gridSpan w:val="4"/>
            <w:vAlign w:val="center"/>
          </w:tcPr>
          <w:p w14:paraId="51FD5033" w14:textId="26F5538D" w:rsidR="00B910D3" w:rsidRPr="00E67CCA" w:rsidRDefault="00B910D3" w:rsidP="00DA2430">
            <w:pPr>
              <w:cnfStyle w:val="000000000000" w:firstRow="0" w:lastRow="0" w:firstColumn="0" w:lastColumn="0" w:oddVBand="0" w:evenVBand="0" w:oddHBand="0" w:evenHBand="0" w:firstRowFirstColumn="0" w:firstRowLastColumn="0" w:lastRowFirstColumn="0" w:lastRowLastColumn="0"/>
            </w:pPr>
            <w:r>
              <w:t xml:space="preserve">No allocation limit </w:t>
            </w:r>
          </w:p>
        </w:tc>
      </w:tr>
    </w:tbl>
    <w:p w14:paraId="386E9E63" w14:textId="5439AAB9" w:rsidR="00376F01" w:rsidRDefault="00F50819" w:rsidP="00CB6176">
      <w:r>
        <w:rPr>
          <w:rFonts w:eastAsiaTheme="majorEastAsia"/>
          <w:i/>
          <w:sz w:val="20"/>
          <w:szCs w:val="20"/>
        </w:rPr>
        <w:t>Note that there are only</w:t>
      </w:r>
      <w:r w:rsidRPr="00423F5B">
        <w:rPr>
          <w:rFonts w:eastAsiaTheme="majorEastAsia"/>
          <w:i/>
          <w:sz w:val="20"/>
          <w:szCs w:val="20"/>
        </w:rPr>
        <w:t xml:space="preserve"> </w:t>
      </w:r>
      <w:r w:rsidRPr="007F4D3D">
        <w:rPr>
          <w:rFonts w:eastAsiaTheme="majorEastAsia"/>
          <w:i/>
          <w:sz w:val="20"/>
          <w:szCs w:val="20"/>
        </w:rPr>
        <w:t>7 lots</w:t>
      </w:r>
      <w:r>
        <w:rPr>
          <w:rFonts w:eastAsiaTheme="majorEastAsia"/>
          <w:i/>
          <w:sz w:val="20"/>
          <w:szCs w:val="20"/>
        </w:rPr>
        <w:t xml:space="preserve"> or 70 MHz</w:t>
      </w:r>
      <w:r w:rsidRPr="007F4D3D">
        <w:rPr>
          <w:rFonts w:eastAsiaTheme="majorEastAsia"/>
          <w:i/>
          <w:sz w:val="20"/>
          <w:szCs w:val="20"/>
        </w:rPr>
        <w:t xml:space="preserve"> available in each </w:t>
      </w:r>
      <w:r>
        <w:rPr>
          <w:rFonts w:eastAsiaTheme="majorEastAsia"/>
          <w:i/>
          <w:sz w:val="20"/>
          <w:szCs w:val="20"/>
        </w:rPr>
        <w:t xml:space="preserve">licence </w:t>
      </w:r>
      <w:r w:rsidRPr="00423F5B">
        <w:rPr>
          <w:rFonts w:eastAsiaTheme="majorEastAsia"/>
          <w:i/>
          <w:sz w:val="20"/>
          <w:szCs w:val="20"/>
        </w:rPr>
        <w:t xml:space="preserve">area </w:t>
      </w:r>
      <w:r>
        <w:rPr>
          <w:rFonts w:eastAsiaTheme="majorEastAsia"/>
          <w:i/>
          <w:sz w:val="20"/>
          <w:szCs w:val="20"/>
        </w:rPr>
        <w:t>at the auction</w:t>
      </w:r>
      <w:r w:rsidR="001B1B1B">
        <w:rPr>
          <w:rFonts w:eastAsiaTheme="majorEastAsia"/>
          <w:i/>
          <w:sz w:val="20"/>
          <w:szCs w:val="20"/>
        </w:rPr>
        <w:t>, so not all bidders will be able to acquire spectrum up to the full amount of their cap</w:t>
      </w:r>
      <w:r>
        <w:rPr>
          <w:rFonts w:eastAsiaTheme="majorEastAsia"/>
          <w:i/>
          <w:sz w:val="20"/>
          <w:szCs w:val="20"/>
        </w:rPr>
        <w:t>. If TPG and Optus each choose to take up the offer of a set-aside of spectrum in the 900 MHz band, they would each acquire one lot of spectrum in both a metropolitan and a regional area, counting towards their overall cap.</w:t>
      </w:r>
    </w:p>
    <w:p w14:paraId="1B97852F" w14:textId="73F4766F" w:rsidR="00376F01" w:rsidRDefault="00DB5151" w:rsidP="00CB6176">
      <w:r>
        <w:t xml:space="preserve">Each bidder </w:t>
      </w:r>
      <w:r w:rsidR="00791EBA">
        <w:t>would be able to bid up to the proposed sub-1 GHz cap, taking into account their existing spectrum-licensed holdings.</w:t>
      </w:r>
      <w:r>
        <w:t xml:space="preserve"> </w:t>
      </w:r>
      <w:r w:rsidR="00C2441C">
        <w:t>Existing a</w:t>
      </w:r>
      <w:r>
        <w:t xml:space="preserve">pparatus licences </w:t>
      </w:r>
      <w:r w:rsidR="00C2441C">
        <w:t xml:space="preserve">in the 900 MHz band </w:t>
      </w:r>
      <w:r>
        <w:t xml:space="preserve">are being cleared for the auction, so </w:t>
      </w:r>
      <w:r w:rsidR="00F7581B">
        <w:t>are</w:t>
      </w:r>
      <w:r w:rsidR="00C2441C">
        <w:t xml:space="preserve"> not considered existing holdings as they are being reallocated</w:t>
      </w:r>
      <w:r w:rsidR="00BD7EC3">
        <w:t>.</w:t>
      </w:r>
      <w:r w:rsidR="00E0473C">
        <w:t xml:space="preserve"> </w:t>
      </w:r>
      <w:r w:rsidR="003B5965">
        <w:t xml:space="preserve">The </w:t>
      </w:r>
      <w:r w:rsidR="002027F7">
        <w:t>existing</w:t>
      </w:r>
      <w:r w:rsidR="00C95F6D">
        <w:t xml:space="preserve"> sub-1 GHz</w:t>
      </w:r>
      <w:r w:rsidR="002027F7">
        <w:t xml:space="preserve"> holdings for each MNO </w:t>
      </w:r>
      <w:r w:rsidR="00C95A01">
        <w:t>at the start of</w:t>
      </w:r>
      <w:r w:rsidR="001836D4">
        <w:t xml:space="preserve"> the auction</w:t>
      </w:r>
      <w:r w:rsidR="00C95F6D">
        <w:t xml:space="preserve"> and the proposed allocation limits are</w:t>
      </w:r>
      <w:r w:rsidR="001836D4">
        <w:t xml:space="preserve"> </w:t>
      </w:r>
      <w:r w:rsidR="00947AD3">
        <w:t>depicted in Figure 2 below.</w:t>
      </w:r>
    </w:p>
    <w:p w14:paraId="76C7D318" w14:textId="4B0FDC96" w:rsidR="002C171C" w:rsidRDefault="002C171C" w:rsidP="00CD2AE0">
      <w:pPr>
        <w:pStyle w:val="NoSpacing"/>
      </w:pPr>
      <w:r>
        <w:rPr>
          <w:noProof/>
          <w:lang w:eastAsia="en-AU"/>
        </w:rPr>
        <w:lastRenderedPageBreak/>
        <w:drawing>
          <wp:inline distT="0" distB="0" distL="0" distR="0" wp14:anchorId="3A8E4CC5" wp14:editId="23C4BCBC">
            <wp:extent cx="5731510" cy="43789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378960"/>
                    </a:xfrm>
                    <a:prstGeom prst="rect">
                      <a:avLst/>
                    </a:prstGeom>
                  </pic:spPr>
                </pic:pic>
              </a:graphicData>
            </a:graphic>
          </wp:inline>
        </w:drawing>
      </w:r>
    </w:p>
    <w:p w14:paraId="6CAB90C7" w14:textId="0CAF82C7" w:rsidR="00A73FE4" w:rsidRPr="00747F8F" w:rsidRDefault="00A73FE4" w:rsidP="00B63E3B">
      <w:pPr>
        <w:pStyle w:val="Caption"/>
      </w:pPr>
      <w:r>
        <w:t xml:space="preserve">Figure </w:t>
      </w:r>
      <w:r w:rsidR="00BC21A9">
        <w:t>2</w:t>
      </w:r>
      <w:r>
        <w:t xml:space="preserve">: </w:t>
      </w:r>
      <w:r w:rsidR="00054261">
        <w:t>E</w:t>
      </w:r>
      <w:r>
        <w:t>xisting holdings</w:t>
      </w:r>
      <w:r w:rsidR="00054261">
        <w:t xml:space="preserve"> going into the auction and proposed allocation limits</w:t>
      </w:r>
    </w:p>
    <w:p w14:paraId="77003399" w14:textId="47621207" w:rsidR="001B1B1B" w:rsidRDefault="00791EBA" w:rsidP="0069476D">
      <w:r>
        <w:t xml:space="preserve">The operation of the proposed limits will also </w:t>
      </w:r>
      <w:r w:rsidR="00633E94">
        <w:t xml:space="preserve">be </w:t>
      </w:r>
      <w:proofErr w:type="gramStart"/>
      <w:r w:rsidR="00633E94">
        <w:t>affected</w:t>
      </w:r>
      <w:r w:rsidR="001B1B1B">
        <w:t xml:space="preserve"> </w:t>
      </w:r>
      <w:r>
        <w:t xml:space="preserve"> </w:t>
      </w:r>
      <w:r w:rsidR="00633E94">
        <w:t>by</w:t>
      </w:r>
      <w:proofErr w:type="gramEnd"/>
      <w:r>
        <w:t xml:space="preserve"> ACMA’s decisions regarding the geographic boundaries of the licences to be auctioned</w:t>
      </w:r>
      <w:r w:rsidR="001B1B1B">
        <w:t xml:space="preserve">. On 20 July 2021, ACMA announced its in-principle decision on this matter. Of particular relevance to </w:t>
      </w:r>
      <w:r w:rsidR="0069476D">
        <w:t>this RIS, ACMA has decided that t</w:t>
      </w:r>
      <w:r w:rsidR="001B1B1B">
        <w:t>here will be a common geographic split across both the 900 MHz band and the 850 MHz expansion band, compr</w:t>
      </w:r>
      <w:r w:rsidR="009039EF">
        <w:t>i</w:t>
      </w:r>
      <w:r w:rsidR="001B1B1B">
        <w:t xml:space="preserve">sing two geographic products: </w:t>
      </w:r>
    </w:p>
    <w:p w14:paraId="4430930E" w14:textId="5244F720" w:rsidR="001B1B1B" w:rsidRDefault="001B1B1B" w:rsidP="00FE6AB3">
      <w:pPr>
        <w:pStyle w:val="ListParagraph"/>
        <w:numPr>
          <w:ilvl w:val="0"/>
          <w:numId w:val="22"/>
        </w:numPr>
      </w:pPr>
      <w:r>
        <w:lastRenderedPageBreak/>
        <w:t>a “major population area” covering metropolitan areas as well as major population centres along the east coast of Australia</w:t>
      </w:r>
      <w:r w:rsidR="0069476D">
        <w:t xml:space="preserve"> (this area will cover approximately 92% of the population of Australia)</w:t>
      </w:r>
      <w:r>
        <w:t>; and</w:t>
      </w:r>
    </w:p>
    <w:p w14:paraId="3AC966C0" w14:textId="7F27091C" w:rsidR="0069476D" w:rsidRDefault="0069476D" w:rsidP="00FE6AB3">
      <w:pPr>
        <w:pStyle w:val="ListParagraph"/>
        <w:numPr>
          <w:ilvl w:val="0"/>
          <w:numId w:val="22"/>
        </w:numPr>
      </w:pPr>
      <w:proofErr w:type="gramStart"/>
      <w:r>
        <w:t>a</w:t>
      </w:r>
      <w:proofErr w:type="gramEnd"/>
      <w:r>
        <w:t xml:space="preserve"> smaller regional area covering the remainder of Australia, excluding the Mid-West Radio Quiet Zone (this area will cover approximately 8% of the population of Australia).</w:t>
      </w:r>
    </w:p>
    <w:p w14:paraId="2EAB7ED0" w14:textId="3599C073" w:rsidR="00E564FB" w:rsidRPr="006D3D0B" w:rsidRDefault="00346E11" w:rsidP="00FE6AB3">
      <w:r>
        <w:t xml:space="preserve">The major population area will be larger than the existing metropolitan spectrum licensed areas in the 850 MHz band. Given this, and as acknowledged by the ACCC, </w:t>
      </w:r>
      <w:r w:rsidR="0069476D">
        <w:t>it will be necessary to clarify the intended operation of the allocation limit “such that existing holdings in the current 850 MHz regional lot do not operate to prevent an MNO from acquiring spectrum in the now bigger metropolitan lot”.</w:t>
      </w:r>
      <w:r w:rsidR="0069476D">
        <w:rPr>
          <w:rStyle w:val="FootnoteReference"/>
        </w:rPr>
        <w:footnoteReference w:id="16"/>
      </w:r>
      <w:r w:rsidR="0069476D">
        <w:t xml:space="preserve"> </w:t>
      </w:r>
      <w:r w:rsidR="00374657">
        <w:t>In its exposure draft consultation, the Department proposed that existing spectrum licences covering less than 15 per cent of the population of a geographic lot to be auctioned should be taken to be “insignificant” for the purposes of the allocation limits. I</w:t>
      </w:r>
      <w:r w:rsidR="00322A4D">
        <w:t xml:space="preserve">n light of ACMA’s decision, this threshold will need to be raised (to no higher than 25%) </w:t>
      </w:r>
      <w:r w:rsidR="00374657">
        <w:t xml:space="preserve">to ensure that the policy intent of the allocation limits is achieved. </w:t>
      </w:r>
      <w:r w:rsidR="00E564FB" w:rsidRPr="006D3D0B">
        <w:t xml:space="preserve">The effect of </w:t>
      </w:r>
      <w:r w:rsidR="009039EF">
        <w:lastRenderedPageBreak/>
        <w:t xml:space="preserve">ACMA’s </w:t>
      </w:r>
      <w:r w:rsidR="00E564FB" w:rsidRPr="006D3D0B">
        <w:t>geographic lot configuration</w:t>
      </w:r>
      <w:r w:rsidR="009039EF">
        <w:t xml:space="preserve"> decision</w:t>
      </w:r>
      <w:r w:rsidR="00E564FB" w:rsidRPr="006D3D0B">
        <w:t xml:space="preserve"> on the operation of the options below is discussed</w:t>
      </w:r>
      <w:r w:rsidR="003249BF" w:rsidRPr="006D3D0B">
        <w:t xml:space="preserve"> as part of the analysis of the likely net benefits of each option. </w:t>
      </w:r>
    </w:p>
    <w:p w14:paraId="42AE9C64" w14:textId="00BC4C0D" w:rsidR="005B2613" w:rsidRPr="0061676C" w:rsidRDefault="005B2613" w:rsidP="0061676C">
      <w:pPr>
        <w:pStyle w:val="Heading1"/>
        <w:rPr>
          <w:rFonts w:eastAsia="MingLiU"/>
        </w:rPr>
      </w:pPr>
      <w:bookmarkStart w:id="44" w:name="_Toc76051002"/>
      <w:bookmarkStart w:id="45" w:name="_Toc75770437"/>
      <w:bookmarkStart w:id="46" w:name="_Toc76481422"/>
      <w:bookmarkStart w:id="47" w:name="_Toc76555291"/>
      <w:bookmarkStart w:id="48" w:name="_Toc77081946"/>
      <w:bookmarkStart w:id="49" w:name="_Toc77086747"/>
      <w:bookmarkStart w:id="50" w:name="_Toc78190958"/>
      <w:r w:rsidRPr="005B2613">
        <w:rPr>
          <w:rFonts w:eastAsia="MingLiU"/>
        </w:rPr>
        <w:t xml:space="preserve">4 What is the likely net </w:t>
      </w:r>
      <w:r w:rsidRPr="005B2613" w:rsidDel="000578A6">
        <w:rPr>
          <w:rFonts w:eastAsia="MingLiU"/>
        </w:rPr>
        <w:t xml:space="preserve">benefit </w:t>
      </w:r>
      <w:r w:rsidRPr="005B2613">
        <w:rPr>
          <w:rFonts w:eastAsia="MingLiU"/>
        </w:rPr>
        <w:t>of each option?</w:t>
      </w:r>
      <w:bookmarkEnd w:id="44"/>
      <w:bookmarkEnd w:id="45"/>
      <w:bookmarkEnd w:id="46"/>
      <w:bookmarkEnd w:id="47"/>
      <w:bookmarkEnd w:id="48"/>
      <w:bookmarkEnd w:id="49"/>
      <w:bookmarkEnd w:id="50"/>
      <w:r w:rsidRPr="0061676C">
        <w:rPr>
          <w:rFonts w:eastAsia="MingLiU"/>
        </w:rPr>
        <w:t xml:space="preserve"> </w:t>
      </w:r>
    </w:p>
    <w:p w14:paraId="3FB271FC" w14:textId="369D069C" w:rsidR="0099547E" w:rsidRDefault="00D252EB" w:rsidP="005B2613">
      <w:r>
        <w:t xml:space="preserve">The Department assessed the </w:t>
      </w:r>
      <w:r w:rsidR="00E27210">
        <w:t xml:space="preserve">four </w:t>
      </w:r>
      <w:r>
        <w:t xml:space="preserve">options against the </w:t>
      </w:r>
      <w:r w:rsidR="00E27210">
        <w:t xml:space="preserve">following </w:t>
      </w:r>
      <w:r w:rsidR="0071225F">
        <w:t xml:space="preserve">assessment </w:t>
      </w:r>
      <w:r w:rsidR="00E27210">
        <w:t>criteria</w:t>
      </w:r>
      <w:r>
        <w:t>:</w:t>
      </w:r>
    </w:p>
    <w:p w14:paraId="3BCB993A" w14:textId="77777777" w:rsidR="00D252EB" w:rsidRPr="00D252EB" w:rsidRDefault="00D252EB" w:rsidP="005947D9">
      <w:pPr>
        <w:pStyle w:val="ListParagraph"/>
        <w:numPr>
          <w:ilvl w:val="0"/>
          <w:numId w:val="6"/>
        </w:numPr>
      </w:pPr>
      <w:r>
        <w:rPr>
          <w:rFonts w:cstheme="minorHAnsi"/>
          <w:color w:val="000000"/>
        </w:rPr>
        <w:t xml:space="preserve">Supporting the </w:t>
      </w:r>
      <w:r w:rsidRPr="00630170">
        <w:rPr>
          <w:rFonts w:cstheme="minorHAnsi"/>
          <w:color w:val="000000"/>
        </w:rPr>
        <w:t>efficient planning, allocation and use of the spectrum</w:t>
      </w:r>
      <w:r>
        <w:rPr>
          <w:rFonts w:cstheme="minorHAnsi"/>
          <w:color w:val="000000"/>
        </w:rPr>
        <w:t>;</w:t>
      </w:r>
      <w:r>
        <w:rPr>
          <w:rStyle w:val="FootnoteReference"/>
          <w:rFonts w:cstheme="minorHAnsi"/>
          <w:color w:val="000000"/>
        </w:rPr>
        <w:footnoteReference w:id="17"/>
      </w:r>
    </w:p>
    <w:p w14:paraId="0F68B2A5" w14:textId="77777777" w:rsidR="00D252EB" w:rsidRPr="00D252EB" w:rsidRDefault="00D252EB" w:rsidP="005947D9">
      <w:pPr>
        <w:pStyle w:val="ListParagraph"/>
        <w:numPr>
          <w:ilvl w:val="0"/>
          <w:numId w:val="6"/>
        </w:numPr>
      </w:pPr>
      <w:r>
        <w:rPr>
          <w:rFonts w:cstheme="minorHAnsi"/>
          <w:color w:val="000000"/>
        </w:rPr>
        <w:t>Supporting the deployment of 4G and 5G technologies;</w:t>
      </w:r>
    </w:p>
    <w:p w14:paraId="3E9A291A" w14:textId="77777777" w:rsidR="00D252EB" w:rsidRPr="00D252EB" w:rsidRDefault="00D252EB" w:rsidP="005947D9">
      <w:pPr>
        <w:pStyle w:val="ListParagraph"/>
        <w:numPr>
          <w:ilvl w:val="0"/>
          <w:numId w:val="6"/>
        </w:numPr>
      </w:pPr>
      <w:r>
        <w:rPr>
          <w:rFonts w:cstheme="minorHAnsi"/>
          <w:color w:val="000000"/>
        </w:rPr>
        <w:t>Promoting competitive market outcomes for the long term benefit of consumers; and</w:t>
      </w:r>
    </w:p>
    <w:p w14:paraId="3E2BE91D" w14:textId="77777777" w:rsidR="0071225F" w:rsidRPr="000330BF" w:rsidRDefault="00D252EB" w:rsidP="0071225F">
      <w:pPr>
        <w:pStyle w:val="ListParagraph"/>
        <w:numPr>
          <w:ilvl w:val="0"/>
          <w:numId w:val="6"/>
        </w:numPr>
      </w:pPr>
      <w:r>
        <w:rPr>
          <w:rFonts w:cstheme="minorHAnsi"/>
          <w:color w:val="000000"/>
        </w:rPr>
        <w:t>Encouraging investment in infrastructure, including in regional Australia</w:t>
      </w:r>
      <w:r w:rsidR="005947D9">
        <w:rPr>
          <w:rFonts w:cstheme="minorHAnsi"/>
          <w:color w:val="000000"/>
        </w:rPr>
        <w:t>.</w:t>
      </w:r>
    </w:p>
    <w:p w14:paraId="16A46089" w14:textId="77777777" w:rsidR="005150C7" w:rsidRPr="00D26C64" w:rsidRDefault="00E27210" w:rsidP="00263CC5">
      <w:r>
        <w:t xml:space="preserve">These criteria reflect the </w:t>
      </w:r>
      <w:r w:rsidR="00BF48A8">
        <w:t xml:space="preserve">object of the Act and the </w:t>
      </w:r>
      <w:r>
        <w:t xml:space="preserve">communication policy objectives relevant to this RIS. </w:t>
      </w:r>
      <w:r w:rsidR="00263CC5">
        <w:t xml:space="preserve">In responses to consultations, stakeholders expressed different views about which option achieved the </w:t>
      </w:r>
      <w:r w:rsidR="00263CC5">
        <w:lastRenderedPageBreak/>
        <w:t xml:space="preserve">best </w:t>
      </w:r>
      <w:r w:rsidR="00263CC5" w:rsidRPr="00D26C64">
        <w:t xml:space="preserve">balance between these </w:t>
      </w:r>
      <w:r w:rsidR="0071225F">
        <w:t>criteria</w:t>
      </w:r>
      <w:r w:rsidR="00D26C64">
        <w:t xml:space="preserve">, as </w:t>
      </w:r>
      <w:r w:rsidR="00BF48A8">
        <w:t xml:space="preserve">discussed in the analysis section below. </w:t>
      </w:r>
      <w:r w:rsidR="00263CC5" w:rsidRPr="00D26C64">
        <w:t xml:space="preserve"> </w:t>
      </w:r>
    </w:p>
    <w:p w14:paraId="27DDE893" w14:textId="7F8D792A" w:rsidR="005648A0" w:rsidRDefault="005648A0" w:rsidP="00CD2AE0">
      <w:r>
        <w:t xml:space="preserve">The Department’s assessment of each option against the </w:t>
      </w:r>
      <w:r w:rsidR="00D20E8D">
        <w:t xml:space="preserve">four </w:t>
      </w:r>
      <w:r>
        <w:t>criteria can be summarised as follows.</w:t>
      </w:r>
    </w:p>
    <w:tbl>
      <w:tblPr>
        <w:tblStyle w:val="TableGrid"/>
        <w:tblW w:w="0" w:type="auto"/>
        <w:tblLayout w:type="fixed"/>
        <w:tblLook w:val="04A0" w:firstRow="1" w:lastRow="0" w:firstColumn="1" w:lastColumn="0" w:noHBand="0" w:noVBand="1"/>
      </w:tblPr>
      <w:tblGrid>
        <w:gridCol w:w="2972"/>
        <w:gridCol w:w="1208"/>
        <w:gridCol w:w="1209"/>
        <w:gridCol w:w="1209"/>
        <w:gridCol w:w="1209"/>
        <w:gridCol w:w="1209"/>
      </w:tblGrid>
      <w:tr w:rsidR="00161688" w14:paraId="09E84B8B" w14:textId="6C43524D" w:rsidTr="00747F8F">
        <w:trPr>
          <w:trHeight w:val="255"/>
        </w:trPr>
        <w:tc>
          <w:tcPr>
            <w:tcW w:w="2972" w:type="dxa"/>
            <w:shd w:val="clear" w:color="auto" w:fill="E7E6E6" w:themeFill="background2"/>
          </w:tcPr>
          <w:p w14:paraId="31161F6C" w14:textId="03073C29" w:rsidR="00161688" w:rsidRDefault="00161688" w:rsidP="00161688"/>
        </w:tc>
        <w:tc>
          <w:tcPr>
            <w:tcW w:w="1208" w:type="dxa"/>
            <w:shd w:val="clear" w:color="auto" w:fill="E7E6E6" w:themeFill="background2"/>
          </w:tcPr>
          <w:p w14:paraId="38C04029" w14:textId="30659143" w:rsidR="00161688" w:rsidRDefault="00161688" w:rsidP="00161688">
            <w:r>
              <w:t>Option 1</w:t>
            </w:r>
          </w:p>
        </w:tc>
        <w:tc>
          <w:tcPr>
            <w:tcW w:w="1209" w:type="dxa"/>
            <w:shd w:val="clear" w:color="auto" w:fill="E7E6E6" w:themeFill="background2"/>
          </w:tcPr>
          <w:p w14:paraId="426A3B23" w14:textId="0B39CE65" w:rsidR="00161688" w:rsidRDefault="00161688" w:rsidP="00161688">
            <w:r>
              <w:t>Option 2</w:t>
            </w:r>
            <w:r w:rsidR="008663F6">
              <w:t>.1</w:t>
            </w:r>
          </w:p>
        </w:tc>
        <w:tc>
          <w:tcPr>
            <w:tcW w:w="1209" w:type="dxa"/>
            <w:shd w:val="clear" w:color="auto" w:fill="E7E6E6" w:themeFill="background2"/>
          </w:tcPr>
          <w:p w14:paraId="006B8A2E" w14:textId="267F5400" w:rsidR="00161688" w:rsidRDefault="00161688" w:rsidP="00161688">
            <w:r>
              <w:t xml:space="preserve">Option </w:t>
            </w:r>
            <w:r w:rsidR="008663F6">
              <w:t>2.2</w:t>
            </w:r>
          </w:p>
        </w:tc>
        <w:tc>
          <w:tcPr>
            <w:tcW w:w="1209" w:type="dxa"/>
            <w:shd w:val="clear" w:color="auto" w:fill="E7E6E6" w:themeFill="background2"/>
          </w:tcPr>
          <w:p w14:paraId="38A0BFBB" w14:textId="21209A5E" w:rsidR="00161688" w:rsidRDefault="00161688" w:rsidP="00161688">
            <w:r>
              <w:t xml:space="preserve">Option </w:t>
            </w:r>
            <w:r w:rsidR="00FC2B95">
              <w:t>3</w:t>
            </w:r>
            <w:r>
              <w:t xml:space="preserve"> </w:t>
            </w:r>
          </w:p>
        </w:tc>
        <w:tc>
          <w:tcPr>
            <w:tcW w:w="1209" w:type="dxa"/>
            <w:shd w:val="clear" w:color="auto" w:fill="E7E6E6" w:themeFill="background2"/>
          </w:tcPr>
          <w:p w14:paraId="6DB93DD8" w14:textId="3F34179E" w:rsidR="00161688" w:rsidRDefault="00161688" w:rsidP="00161688">
            <w:r>
              <w:t xml:space="preserve">Option </w:t>
            </w:r>
            <w:r w:rsidR="00FC2B95">
              <w:t>4</w:t>
            </w:r>
          </w:p>
        </w:tc>
      </w:tr>
      <w:tr w:rsidR="00161688" w14:paraId="583A3C56" w14:textId="76867AA1" w:rsidTr="00B63E3B">
        <w:trPr>
          <w:trHeight w:val="857"/>
        </w:trPr>
        <w:tc>
          <w:tcPr>
            <w:tcW w:w="2972" w:type="dxa"/>
            <w:shd w:val="clear" w:color="auto" w:fill="E7E6E6" w:themeFill="background2"/>
          </w:tcPr>
          <w:p w14:paraId="2FA6D3F0" w14:textId="3B703B3C" w:rsidR="00161688" w:rsidRDefault="00BF48A8" w:rsidP="00161688">
            <w:r>
              <w:t xml:space="preserve">1. </w:t>
            </w:r>
            <w:r w:rsidR="00161688" w:rsidRPr="00161688">
              <w:t>Supporting the efficient planning, allocation and use of the spectrum</w:t>
            </w:r>
          </w:p>
        </w:tc>
        <w:tc>
          <w:tcPr>
            <w:tcW w:w="1208" w:type="dxa"/>
            <w:shd w:val="clear" w:color="auto" w:fill="FF5050"/>
          </w:tcPr>
          <w:p w14:paraId="2E1D59C2" w14:textId="245DE1B5" w:rsidR="00161688" w:rsidRDefault="00161688" w:rsidP="00161688">
            <w:r>
              <w:t xml:space="preserve">Poor </w:t>
            </w:r>
          </w:p>
        </w:tc>
        <w:tc>
          <w:tcPr>
            <w:tcW w:w="1209" w:type="dxa"/>
            <w:shd w:val="clear" w:color="auto" w:fill="C5E0B3" w:themeFill="accent6" w:themeFillTint="66"/>
          </w:tcPr>
          <w:p w14:paraId="37092A77" w14:textId="3101937F" w:rsidR="00161688" w:rsidRDefault="00161688" w:rsidP="00161688">
            <w:r>
              <w:t xml:space="preserve">Good </w:t>
            </w:r>
          </w:p>
        </w:tc>
        <w:tc>
          <w:tcPr>
            <w:tcW w:w="1209" w:type="dxa"/>
            <w:shd w:val="clear" w:color="auto" w:fill="67D35F"/>
          </w:tcPr>
          <w:p w14:paraId="75AED98A" w14:textId="57EC8A24" w:rsidR="00161688" w:rsidRDefault="009448A8" w:rsidP="00161688">
            <w:r>
              <w:t xml:space="preserve">Very Good </w:t>
            </w:r>
          </w:p>
        </w:tc>
        <w:tc>
          <w:tcPr>
            <w:tcW w:w="1209" w:type="dxa"/>
            <w:shd w:val="clear" w:color="auto" w:fill="F7CAAC" w:themeFill="accent2" w:themeFillTint="66"/>
          </w:tcPr>
          <w:p w14:paraId="4FDC79D2" w14:textId="479BADD0" w:rsidR="00161688" w:rsidRDefault="00B171A0" w:rsidP="00161688">
            <w:r>
              <w:t>Fair</w:t>
            </w:r>
          </w:p>
        </w:tc>
        <w:tc>
          <w:tcPr>
            <w:tcW w:w="1209" w:type="dxa"/>
            <w:shd w:val="clear" w:color="auto" w:fill="F7CAAC" w:themeFill="accent2" w:themeFillTint="66"/>
          </w:tcPr>
          <w:p w14:paraId="201B79BC" w14:textId="3A67D1E4" w:rsidR="00161688" w:rsidRDefault="00B171A0" w:rsidP="00161688">
            <w:r>
              <w:t>Fair</w:t>
            </w:r>
          </w:p>
        </w:tc>
      </w:tr>
      <w:tr w:rsidR="001D64E5" w14:paraId="27C7B461" w14:textId="5919F5E4" w:rsidTr="00747F8F">
        <w:trPr>
          <w:trHeight w:val="568"/>
        </w:trPr>
        <w:tc>
          <w:tcPr>
            <w:tcW w:w="2972" w:type="dxa"/>
            <w:shd w:val="clear" w:color="auto" w:fill="E7E6E6" w:themeFill="background2"/>
          </w:tcPr>
          <w:p w14:paraId="4D29A148" w14:textId="3EAA57CC" w:rsidR="00161688" w:rsidRDefault="00BF48A8" w:rsidP="00161688">
            <w:r>
              <w:t xml:space="preserve">2. </w:t>
            </w:r>
            <w:r w:rsidR="00161688" w:rsidRPr="00161688">
              <w:t>Supporting the deployment of 4G and 5G technologies</w:t>
            </w:r>
          </w:p>
        </w:tc>
        <w:tc>
          <w:tcPr>
            <w:tcW w:w="1208" w:type="dxa"/>
            <w:shd w:val="clear" w:color="auto" w:fill="F7CAAC" w:themeFill="accent2" w:themeFillTint="66"/>
          </w:tcPr>
          <w:p w14:paraId="511D3287" w14:textId="65F09B4D" w:rsidR="00161688" w:rsidRDefault="00A86F75" w:rsidP="00A86F75">
            <w:r>
              <w:t>Fair</w:t>
            </w:r>
          </w:p>
        </w:tc>
        <w:tc>
          <w:tcPr>
            <w:tcW w:w="1209" w:type="dxa"/>
            <w:shd w:val="clear" w:color="auto" w:fill="C5E0B3" w:themeFill="accent6" w:themeFillTint="66"/>
          </w:tcPr>
          <w:p w14:paraId="68284A0B" w14:textId="39A94131" w:rsidR="00161688" w:rsidRDefault="00161688" w:rsidP="00161688">
            <w:r>
              <w:t xml:space="preserve">Good </w:t>
            </w:r>
          </w:p>
        </w:tc>
        <w:tc>
          <w:tcPr>
            <w:tcW w:w="1209" w:type="dxa"/>
            <w:shd w:val="clear" w:color="auto" w:fill="C5E0B3" w:themeFill="accent6" w:themeFillTint="66"/>
          </w:tcPr>
          <w:p w14:paraId="6CAD8280" w14:textId="337C71E2" w:rsidR="00161688" w:rsidRDefault="009448A8" w:rsidP="00161688">
            <w:r>
              <w:t xml:space="preserve">Good </w:t>
            </w:r>
          </w:p>
        </w:tc>
        <w:tc>
          <w:tcPr>
            <w:tcW w:w="1209" w:type="dxa"/>
            <w:shd w:val="clear" w:color="auto" w:fill="F7CAAC" w:themeFill="accent2" w:themeFillTint="66"/>
          </w:tcPr>
          <w:p w14:paraId="57746807" w14:textId="6C4752C9" w:rsidR="00354425" w:rsidRDefault="00B171A0" w:rsidP="00161688">
            <w:r>
              <w:t>Fair</w:t>
            </w:r>
          </w:p>
        </w:tc>
        <w:tc>
          <w:tcPr>
            <w:tcW w:w="1209" w:type="dxa"/>
            <w:shd w:val="clear" w:color="auto" w:fill="F7CAAC" w:themeFill="accent2" w:themeFillTint="66"/>
          </w:tcPr>
          <w:p w14:paraId="2C5814B7" w14:textId="073FD61E" w:rsidR="005D38B6" w:rsidRDefault="00B171A0" w:rsidP="005D38B6">
            <w:r>
              <w:t>Fair</w:t>
            </w:r>
          </w:p>
          <w:p w14:paraId="53FB0870" w14:textId="4F8221AE" w:rsidR="00161688" w:rsidRDefault="00161688" w:rsidP="00161688"/>
        </w:tc>
      </w:tr>
      <w:tr w:rsidR="00764A92" w14:paraId="736B9C0A" w14:textId="607F9E02" w:rsidTr="00B63E3B">
        <w:trPr>
          <w:trHeight w:val="822"/>
        </w:trPr>
        <w:tc>
          <w:tcPr>
            <w:tcW w:w="2972" w:type="dxa"/>
            <w:shd w:val="clear" w:color="auto" w:fill="E7E6E6" w:themeFill="background2"/>
          </w:tcPr>
          <w:p w14:paraId="335FACEE" w14:textId="05B5024A" w:rsidR="00764A92" w:rsidRDefault="00764A92" w:rsidP="00764A92">
            <w:r>
              <w:rPr>
                <w:rFonts w:cstheme="minorHAnsi"/>
                <w:color w:val="000000"/>
              </w:rPr>
              <w:t>3. Promoting competitive market outcomes for the long term benefit of consumers</w:t>
            </w:r>
          </w:p>
        </w:tc>
        <w:tc>
          <w:tcPr>
            <w:tcW w:w="1208" w:type="dxa"/>
            <w:shd w:val="clear" w:color="auto" w:fill="67D35F"/>
          </w:tcPr>
          <w:p w14:paraId="7879E912" w14:textId="7C954581" w:rsidR="00764A92" w:rsidRDefault="00764A92" w:rsidP="00764A92">
            <w:r>
              <w:t xml:space="preserve">Very Good  </w:t>
            </w:r>
          </w:p>
        </w:tc>
        <w:tc>
          <w:tcPr>
            <w:tcW w:w="1209" w:type="dxa"/>
            <w:shd w:val="clear" w:color="auto" w:fill="67D35F"/>
          </w:tcPr>
          <w:p w14:paraId="77EF43BC" w14:textId="52AC80ED" w:rsidR="00764A92" w:rsidRDefault="00764A92" w:rsidP="00764A92">
            <w:r>
              <w:t xml:space="preserve">Very Good  </w:t>
            </w:r>
          </w:p>
        </w:tc>
        <w:tc>
          <w:tcPr>
            <w:tcW w:w="1209" w:type="dxa"/>
            <w:shd w:val="clear" w:color="auto" w:fill="C5E0B3" w:themeFill="accent6" w:themeFillTint="66"/>
          </w:tcPr>
          <w:p w14:paraId="3106683A" w14:textId="1808612C" w:rsidR="00764A92" w:rsidRDefault="00764A92" w:rsidP="00764A92">
            <w:r>
              <w:t xml:space="preserve">Good </w:t>
            </w:r>
          </w:p>
        </w:tc>
        <w:tc>
          <w:tcPr>
            <w:tcW w:w="1209" w:type="dxa"/>
            <w:shd w:val="clear" w:color="auto" w:fill="FF5050"/>
          </w:tcPr>
          <w:p w14:paraId="5DD94652" w14:textId="2F5364D7" w:rsidR="00764A92" w:rsidRDefault="00764A92" w:rsidP="00764A92">
            <w:r>
              <w:t xml:space="preserve">Poor </w:t>
            </w:r>
          </w:p>
        </w:tc>
        <w:tc>
          <w:tcPr>
            <w:tcW w:w="1209" w:type="dxa"/>
            <w:shd w:val="clear" w:color="auto" w:fill="FF5050"/>
          </w:tcPr>
          <w:p w14:paraId="1ADD8D18" w14:textId="704964B8" w:rsidR="00764A92" w:rsidRDefault="00764A92" w:rsidP="00764A92">
            <w:r>
              <w:t xml:space="preserve">Poor </w:t>
            </w:r>
          </w:p>
        </w:tc>
      </w:tr>
      <w:tr w:rsidR="003D0A69" w14:paraId="57DE18CB" w14:textId="407A8771" w:rsidTr="00FE6AB3">
        <w:trPr>
          <w:trHeight w:val="827"/>
        </w:trPr>
        <w:tc>
          <w:tcPr>
            <w:tcW w:w="2972" w:type="dxa"/>
            <w:shd w:val="clear" w:color="auto" w:fill="E7E6E6" w:themeFill="background2"/>
          </w:tcPr>
          <w:p w14:paraId="024E2D30" w14:textId="0B6AFD55" w:rsidR="003D0A69" w:rsidRDefault="003D0A69" w:rsidP="003D0A69">
            <w:r>
              <w:t xml:space="preserve">4. </w:t>
            </w:r>
            <w:r w:rsidRPr="00161688">
              <w:t>Encouraging investment in infrastructure, including in regional Australia</w:t>
            </w:r>
          </w:p>
        </w:tc>
        <w:tc>
          <w:tcPr>
            <w:tcW w:w="1208" w:type="dxa"/>
            <w:shd w:val="clear" w:color="auto" w:fill="F7CAAC" w:themeFill="accent2" w:themeFillTint="66"/>
          </w:tcPr>
          <w:p w14:paraId="0C28402A" w14:textId="43C11E37" w:rsidR="003D0A69" w:rsidRDefault="00A86F75" w:rsidP="003D0A69">
            <w:r>
              <w:t>Fair</w:t>
            </w:r>
          </w:p>
        </w:tc>
        <w:tc>
          <w:tcPr>
            <w:tcW w:w="1209" w:type="dxa"/>
            <w:shd w:val="clear" w:color="auto" w:fill="C5E0B3" w:themeFill="accent6" w:themeFillTint="66"/>
          </w:tcPr>
          <w:p w14:paraId="7F3247CC" w14:textId="76EBDD29" w:rsidR="003D0A69" w:rsidRDefault="003D0A69" w:rsidP="003D0A69">
            <w:r>
              <w:t xml:space="preserve">Good </w:t>
            </w:r>
          </w:p>
        </w:tc>
        <w:tc>
          <w:tcPr>
            <w:tcW w:w="1209" w:type="dxa"/>
            <w:shd w:val="clear" w:color="auto" w:fill="67D35F"/>
          </w:tcPr>
          <w:p w14:paraId="46F96B50" w14:textId="52C856EB" w:rsidR="003D0A69" w:rsidRDefault="00D42039" w:rsidP="003D0A69">
            <w:r>
              <w:t xml:space="preserve">Very Good  </w:t>
            </w:r>
          </w:p>
        </w:tc>
        <w:tc>
          <w:tcPr>
            <w:tcW w:w="1209" w:type="dxa"/>
            <w:shd w:val="clear" w:color="auto" w:fill="FF5050"/>
          </w:tcPr>
          <w:p w14:paraId="6996C3B0" w14:textId="678142DE" w:rsidR="003D0A69" w:rsidRDefault="003D0A69" w:rsidP="003D0A69">
            <w:r>
              <w:t xml:space="preserve">Poor </w:t>
            </w:r>
          </w:p>
        </w:tc>
        <w:tc>
          <w:tcPr>
            <w:tcW w:w="1209" w:type="dxa"/>
            <w:shd w:val="clear" w:color="auto" w:fill="FF5050"/>
          </w:tcPr>
          <w:p w14:paraId="37AADCF5" w14:textId="6BB6AA13" w:rsidR="003D0A69" w:rsidRDefault="003D0A69" w:rsidP="003D0A69">
            <w:r>
              <w:t>Poor</w:t>
            </w:r>
          </w:p>
        </w:tc>
      </w:tr>
    </w:tbl>
    <w:p w14:paraId="55945CD2" w14:textId="77777777" w:rsidR="00BF48A8" w:rsidRDefault="00BF48A8" w:rsidP="005648A0"/>
    <w:p w14:paraId="43AC7978" w14:textId="77777777" w:rsidR="00874028" w:rsidRDefault="00874028" w:rsidP="00B63E3B">
      <w:r>
        <w:t>The different options will have different impacts on individual businesses (in particular the 3 MNOs) which may be positive or negative and are outlined below in the analysis of each option.</w:t>
      </w:r>
    </w:p>
    <w:p w14:paraId="7EE1F5B6" w14:textId="34A54A18" w:rsidR="00065850" w:rsidRDefault="00065850" w:rsidP="00B63E3B">
      <w:r>
        <w:rPr>
          <w:i/>
        </w:rPr>
        <w:t>Compliance costs</w:t>
      </w:r>
    </w:p>
    <w:p w14:paraId="0360AF52" w14:textId="2C24D234" w:rsidR="004F7BCF" w:rsidRDefault="005648A0" w:rsidP="00B63E3B">
      <w:r w:rsidRPr="00D26C64">
        <w:t>In assessing the costs and benefits of each option, the Department also considered compliance costs and costs to business.</w:t>
      </w:r>
      <w:r w:rsidR="00874028" w:rsidRPr="00874028">
        <w:t xml:space="preserve"> </w:t>
      </w:r>
      <w:r>
        <w:t>Options 1-3 will</w:t>
      </w:r>
      <w:r w:rsidR="00FC20A4" w:rsidDel="00021178">
        <w:t xml:space="preserve"> </w:t>
      </w:r>
      <w:r>
        <w:t xml:space="preserve">generate some compliance costs because ACMA requires bidders to check affiliations after applications for the auction have been lodged, to prevent parties from colluding to circumvent the intended </w:t>
      </w:r>
      <w:r>
        <w:lastRenderedPageBreak/>
        <w:t xml:space="preserve">operation of the allocation limits. </w:t>
      </w:r>
      <w:r w:rsidR="00FC20A4">
        <w:t xml:space="preserve">ACMA officers have provided advice that it is not possible to </w:t>
      </w:r>
      <w:r w:rsidR="00FC20A4" w:rsidRPr="00FC20A4">
        <w:t xml:space="preserve">accurately quantify predicted </w:t>
      </w:r>
      <w:r w:rsidR="00FC20A4">
        <w:t xml:space="preserve">‘average’ </w:t>
      </w:r>
      <w:r w:rsidR="00FC20A4" w:rsidRPr="00FC20A4">
        <w:t xml:space="preserve">compliance costs associated with </w:t>
      </w:r>
      <w:r w:rsidR="00FC20A4">
        <w:t xml:space="preserve">affiliation checks. </w:t>
      </w:r>
      <w:r w:rsidR="004D10F0">
        <w:t xml:space="preserve">However, the </w:t>
      </w:r>
      <w:r w:rsidR="005D0BD5">
        <w:t>D</w:t>
      </w:r>
      <w:r w:rsidR="004D10F0">
        <w:t>epartment has considered a range of potential compliance burdens</w:t>
      </w:r>
      <w:r w:rsidR="00021178">
        <w:t xml:space="preserve"> that</w:t>
      </w:r>
      <w:r w:rsidR="004D10F0">
        <w:t xml:space="preserve"> bidders may</w:t>
      </w:r>
      <w:r w:rsidR="00FA0D09">
        <w:t xml:space="preserve"> </w:t>
      </w:r>
      <w:r w:rsidR="004D10F0">
        <w:t>experience depending on their characteristic</w:t>
      </w:r>
      <w:r w:rsidR="00FA0D09">
        <w:t>s</w:t>
      </w:r>
      <w:r w:rsidR="004D10F0">
        <w:t xml:space="preserve"> and other </w:t>
      </w:r>
      <w:r w:rsidR="00FA0D09">
        <w:t xml:space="preserve">external </w:t>
      </w:r>
      <w:r w:rsidR="004D10F0">
        <w:t xml:space="preserve">variables. Several of the factors which contribute to this complexity are outlined below. </w:t>
      </w:r>
    </w:p>
    <w:p w14:paraId="76EBFCAE" w14:textId="2D620D3B" w:rsidR="00FC20A4" w:rsidRDefault="004F7BCF" w:rsidP="00B63E3B">
      <w:r>
        <w:t xml:space="preserve">Firstly, the number and identities of bidders who </w:t>
      </w:r>
      <w:r w:rsidR="00874028">
        <w:t>will</w:t>
      </w:r>
      <w:r>
        <w:t xml:space="preserve"> participate in the auction is unknown, and will not be </w:t>
      </w:r>
      <w:r w:rsidR="00874028">
        <w:t>known</w:t>
      </w:r>
      <w:r>
        <w:t xml:space="preserve"> until the end of the application period (after an allocation limits direction would need to be made). </w:t>
      </w:r>
      <w:r w:rsidR="00C236C5">
        <w:t xml:space="preserve">Therefore, it is not possible </w:t>
      </w:r>
      <w:r w:rsidR="003D6071">
        <w:t xml:space="preserve">to </w:t>
      </w:r>
      <w:r w:rsidR="00C236C5">
        <w:t xml:space="preserve">calculate an overall compliance cost, or a meaningful average that reflects the circumstance of individual bidders. </w:t>
      </w:r>
    </w:p>
    <w:p w14:paraId="0DB9EA57" w14:textId="632CED17" w:rsidR="00E50713" w:rsidRDefault="004D10F0" w:rsidP="00B63E3B">
      <w:r>
        <w:t>Secondly, p</w:t>
      </w:r>
      <w:r w:rsidR="00AD0704">
        <w:t xml:space="preserve">rospective bidders will have </w:t>
      </w:r>
      <w:r w:rsidR="004F7BCF">
        <w:t xml:space="preserve">very different </w:t>
      </w:r>
      <w:r w:rsidR="00AD0704">
        <w:t>corporate structures</w:t>
      </w:r>
      <w:r w:rsidR="004F7BCF">
        <w:t>, which affect</w:t>
      </w:r>
      <w:r w:rsidR="00874028">
        <w:t>s</w:t>
      </w:r>
      <w:r w:rsidR="004F7BCF">
        <w:t xml:space="preserve"> the </w:t>
      </w:r>
      <w:r w:rsidR="002119C5">
        <w:t xml:space="preserve">complexity </w:t>
      </w:r>
      <w:r w:rsidR="008C3246">
        <w:t xml:space="preserve">required to </w:t>
      </w:r>
      <w:r w:rsidR="00874028">
        <w:t>identify</w:t>
      </w:r>
      <w:r w:rsidR="008C3246">
        <w:t xml:space="preserve"> </w:t>
      </w:r>
      <w:r w:rsidR="002119C5">
        <w:t>affiliations</w:t>
      </w:r>
      <w:r w:rsidR="008C3246">
        <w:t xml:space="preserve"> with other bidders. </w:t>
      </w:r>
      <w:r w:rsidR="00FA0D09">
        <w:t xml:space="preserve">For example, </w:t>
      </w:r>
      <w:r w:rsidR="008C3246">
        <w:t xml:space="preserve">MNOs will generally </w:t>
      </w:r>
      <w:r w:rsidR="002119C5">
        <w:t>have larger</w:t>
      </w:r>
      <w:r w:rsidR="008C3246">
        <w:t xml:space="preserve"> and more complex corporate structures, which may include several layers of subsidiary bodies across several international jurisdictions. The complexity of th</w:t>
      </w:r>
      <w:r w:rsidR="00FA0D09">
        <w:t>ese</w:t>
      </w:r>
      <w:r w:rsidR="008C3246">
        <w:t xml:space="preserve"> structure</w:t>
      </w:r>
      <w:r w:rsidR="00FA0D09">
        <w:t>s</w:t>
      </w:r>
      <w:r w:rsidR="008C3246">
        <w:t xml:space="preserve"> mean</w:t>
      </w:r>
      <w:r w:rsidR="002119C5">
        <w:t xml:space="preserve">s </w:t>
      </w:r>
      <w:r w:rsidR="00021178">
        <w:t xml:space="preserve">that </w:t>
      </w:r>
      <w:r w:rsidR="00FA0D09">
        <w:t>those</w:t>
      </w:r>
      <w:r w:rsidR="008C3246">
        <w:t xml:space="preserve"> bidder</w:t>
      </w:r>
      <w:r w:rsidR="003D6071">
        <w:t>s</w:t>
      </w:r>
      <w:r w:rsidR="008C3246">
        <w:t xml:space="preserve"> </w:t>
      </w:r>
      <w:r w:rsidR="00874028">
        <w:t>will likely</w:t>
      </w:r>
      <w:r w:rsidR="008C3246">
        <w:t xml:space="preserve"> have to dedicate a larger amount of time to work through</w:t>
      </w:r>
      <w:r w:rsidR="008C3246" w:rsidDel="00021178">
        <w:t xml:space="preserve"> </w:t>
      </w:r>
      <w:r w:rsidR="00E50713">
        <w:t>relevant individuals</w:t>
      </w:r>
      <w:r w:rsidR="008C3246">
        <w:t xml:space="preserve"> </w:t>
      </w:r>
      <w:r w:rsidR="00FA0D09">
        <w:t xml:space="preserve">connected to </w:t>
      </w:r>
      <w:r w:rsidR="008C3246">
        <w:t xml:space="preserve">their </w:t>
      </w:r>
      <w:r w:rsidR="00FA0D09">
        <w:t xml:space="preserve">organisation to </w:t>
      </w:r>
      <w:r w:rsidR="008C3246">
        <w:t>identify</w:t>
      </w:r>
      <w:r w:rsidR="00874028">
        <w:t xml:space="preserve"> potential </w:t>
      </w:r>
      <w:r w:rsidR="008C3246">
        <w:t xml:space="preserve">links </w:t>
      </w:r>
      <w:r w:rsidR="00874028">
        <w:t>to</w:t>
      </w:r>
      <w:r w:rsidR="00021178">
        <w:t xml:space="preserve"> other</w:t>
      </w:r>
      <w:r w:rsidR="008C3246">
        <w:t xml:space="preserve"> bidders. </w:t>
      </w:r>
      <w:r w:rsidR="008C3246">
        <w:lastRenderedPageBreak/>
        <w:t>ACMA provides bidders with a 10 day window to identify and resolve any affiliations</w:t>
      </w:r>
      <w:r w:rsidR="00874028">
        <w:t>. Therefore, for</w:t>
      </w:r>
      <w:r w:rsidR="008C3246">
        <w:t xml:space="preserve"> an upper threshold of cost, a larger bidder could </w:t>
      </w:r>
      <w:r w:rsidR="008C3246" w:rsidRPr="00B63E3B">
        <w:rPr>
          <w:i/>
        </w:rPr>
        <w:t>theoretically</w:t>
      </w:r>
      <w:r w:rsidR="008C3246">
        <w:t xml:space="preserve"> elect to commit multiple staff to this task for the entire 10 day period</w:t>
      </w:r>
      <w:r w:rsidR="00FA0D09">
        <w:t>. However</w:t>
      </w:r>
      <w:r w:rsidR="00021178">
        <w:t>,</w:t>
      </w:r>
      <w:r w:rsidR="00FA0D09">
        <w:t xml:space="preserve"> t</w:t>
      </w:r>
      <w:r w:rsidR="002119C5">
        <w:t>h</w:t>
      </w:r>
      <w:r w:rsidR="00021178">
        <w:t>is may be more than necessary and the</w:t>
      </w:r>
      <w:r w:rsidR="002119C5">
        <w:t xml:space="preserve"> </w:t>
      </w:r>
      <w:r w:rsidR="00C236C5">
        <w:t xml:space="preserve">actual </w:t>
      </w:r>
      <w:r w:rsidR="002119C5">
        <w:t>number</w:t>
      </w:r>
      <w:r w:rsidR="00FA0D09">
        <w:t xml:space="preserve">, </w:t>
      </w:r>
      <w:r w:rsidR="00C236C5">
        <w:t xml:space="preserve">pay </w:t>
      </w:r>
      <w:r w:rsidR="002119C5">
        <w:t>level</w:t>
      </w:r>
      <w:r w:rsidR="00021178">
        <w:t>,</w:t>
      </w:r>
      <w:r w:rsidR="002119C5">
        <w:t xml:space="preserve"> </w:t>
      </w:r>
      <w:r w:rsidR="00FA0D09">
        <w:t>and time</w:t>
      </w:r>
      <w:r w:rsidR="002119C5">
        <w:t xml:space="preserve"> </w:t>
      </w:r>
      <w:r w:rsidR="00021178">
        <w:t xml:space="preserve">commitment </w:t>
      </w:r>
      <w:r w:rsidR="002119C5">
        <w:t>of</w:t>
      </w:r>
      <w:r w:rsidR="00C236C5">
        <w:t xml:space="preserve"> those</w:t>
      </w:r>
      <w:r w:rsidR="002119C5">
        <w:t xml:space="preserve"> resourc</w:t>
      </w:r>
      <w:r w:rsidR="00C236C5">
        <w:t xml:space="preserve">es </w:t>
      </w:r>
      <w:r w:rsidR="002119C5">
        <w:t xml:space="preserve">would ultimately be a </w:t>
      </w:r>
      <w:r w:rsidR="00FA0D09">
        <w:t>choice</w:t>
      </w:r>
      <w:r w:rsidR="002119C5">
        <w:t xml:space="preserve"> for </w:t>
      </w:r>
      <w:r w:rsidR="00C236C5">
        <w:t>individual</w:t>
      </w:r>
      <w:r w:rsidR="002119C5">
        <w:t xml:space="preserve"> business</w:t>
      </w:r>
      <w:r w:rsidR="00B6412B">
        <w:t>es</w:t>
      </w:r>
      <w:r w:rsidR="002119C5">
        <w:t xml:space="preserve">. </w:t>
      </w:r>
    </w:p>
    <w:p w14:paraId="2F329A4E" w14:textId="4B8DD098" w:rsidR="00C236C5" w:rsidRDefault="002119C5" w:rsidP="00B63E3B">
      <w:r>
        <w:t>By contrast, smaller bidder</w:t>
      </w:r>
      <w:r w:rsidR="00C236C5">
        <w:t>s are</w:t>
      </w:r>
      <w:r>
        <w:t xml:space="preserve"> likely to have </w:t>
      </w:r>
      <w:r w:rsidR="00C236C5">
        <w:t xml:space="preserve">smaller and less </w:t>
      </w:r>
      <w:r w:rsidR="000C2EBC">
        <w:t>complex structures</w:t>
      </w:r>
      <w:r w:rsidR="00C236C5">
        <w:t xml:space="preserve">. This </w:t>
      </w:r>
      <w:r w:rsidR="000C2EBC">
        <w:t>can</w:t>
      </w:r>
      <w:r w:rsidR="00C236C5">
        <w:t xml:space="preserve"> simplify the process of cross checking </w:t>
      </w:r>
      <w:r w:rsidR="000C2EBC">
        <w:t>individuals</w:t>
      </w:r>
      <w:r w:rsidR="00C236C5">
        <w:t xml:space="preserve"> against other bidders, and reduce </w:t>
      </w:r>
      <w:r w:rsidR="000C2EBC">
        <w:t xml:space="preserve">their </w:t>
      </w:r>
      <w:r w:rsidR="00C236C5">
        <w:t xml:space="preserve">compliance </w:t>
      </w:r>
      <w:r w:rsidR="000C2EBC">
        <w:t>time</w:t>
      </w:r>
      <w:r w:rsidR="004D10F0">
        <w:t xml:space="preserve">. </w:t>
      </w:r>
      <w:r w:rsidR="00FA0D09">
        <w:t>For example, i</w:t>
      </w:r>
      <w:r w:rsidR="004D10F0">
        <w:t xml:space="preserve">t would be theoretically possible for a </w:t>
      </w:r>
      <w:r w:rsidR="00251AF6">
        <w:t xml:space="preserve">bidder with a </w:t>
      </w:r>
      <w:r w:rsidR="004D10F0">
        <w:t>small, simple corporate structure</w:t>
      </w:r>
      <w:r w:rsidR="00864C56">
        <w:t xml:space="preserve"> to</w:t>
      </w:r>
      <w:r w:rsidR="004D10F0">
        <w:t xml:space="preserve"> meet their compliance obligations in an hour (if they had the cooperation of other bidders). </w:t>
      </w:r>
      <w:r w:rsidR="00C236C5">
        <w:t>However, it is also important to consider that larger bidder</w:t>
      </w:r>
      <w:r w:rsidR="00251AF6">
        <w:t>s</w:t>
      </w:r>
      <w:r w:rsidR="00C236C5">
        <w:t xml:space="preserve"> (such as MNO</w:t>
      </w:r>
      <w:r w:rsidR="00251AF6">
        <w:t>s</w:t>
      </w:r>
      <w:r w:rsidR="00C236C5">
        <w:t>) may also have greater capacity to absorb the resourcing requirements of identifying affiliates so the relative impact</w:t>
      </w:r>
      <w:r w:rsidR="00E50713">
        <w:t>s</w:t>
      </w:r>
      <w:r w:rsidR="000C2EBC">
        <w:t xml:space="preserve"> of compliance</w:t>
      </w:r>
      <w:r w:rsidR="004B4485">
        <w:t xml:space="preserve"> on a business</w:t>
      </w:r>
      <w:r w:rsidR="00C236C5">
        <w:t xml:space="preserve"> may not</w:t>
      </w:r>
      <w:r w:rsidR="000C2EBC">
        <w:t xml:space="preserve"> neatly</w:t>
      </w:r>
      <w:r w:rsidR="00C236C5">
        <w:t xml:space="preserve"> </w:t>
      </w:r>
      <w:r w:rsidR="00E50713">
        <w:t>align to</w:t>
      </w:r>
      <w:r w:rsidR="00C236C5">
        <w:t xml:space="preserve"> </w:t>
      </w:r>
      <w:r w:rsidR="004D10F0">
        <w:t>time required</w:t>
      </w:r>
      <w:r w:rsidR="00C236C5">
        <w:t xml:space="preserve">. </w:t>
      </w:r>
    </w:p>
    <w:p w14:paraId="5EC6D83C" w14:textId="2DA63B07" w:rsidR="00E50713" w:rsidRDefault="008B163F" w:rsidP="00C236C5">
      <w:r>
        <w:t>Thirdly</w:t>
      </w:r>
      <w:r w:rsidR="00E50713">
        <w:t xml:space="preserve">, </w:t>
      </w:r>
      <w:r w:rsidR="00FA0D09">
        <w:t>there are variables that will impact compliance costs that cannot be known until affiliation checking is already in progress. I</w:t>
      </w:r>
      <w:r w:rsidR="00E50713">
        <w:t xml:space="preserve">n the event an affiliation is identified, there will be a time cost associated with how the </w:t>
      </w:r>
      <w:r w:rsidR="00FA0D09">
        <w:t>relevant</w:t>
      </w:r>
      <w:r w:rsidR="00E50713">
        <w:t xml:space="preserve"> parties negotiate to resolve </w:t>
      </w:r>
      <w:r w:rsidR="004B4485">
        <w:t xml:space="preserve">the </w:t>
      </w:r>
      <w:r w:rsidR="00E50713">
        <w:t>issue. However, the</w:t>
      </w:r>
      <w:r w:rsidR="00FA0D09">
        <w:t xml:space="preserve"> precise</w:t>
      </w:r>
      <w:r w:rsidR="00E50713">
        <w:t xml:space="preserve"> </w:t>
      </w:r>
      <w:r w:rsidR="00FA0D09">
        <w:t>level of effort</w:t>
      </w:r>
      <w:r w:rsidR="00E50713">
        <w:t xml:space="preserve"> required to resolve </w:t>
      </w:r>
      <w:r w:rsidR="00FA0D09">
        <w:t>an</w:t>
      </w:r>
      <w:r w:rsidR="00E50713">
        <w:t xml:space="preserve"> issue </w:t>
      </w:r>
      <w:r w:rsidR="00FA0D09">
        <w:t xml:space="preserve">will </w:t>
      </w:r>
      <w:r w:rsidR="00E50713">
        <w:t xml:space="preserve">depend </w:t>
      </w:r>
      <w:r w:rsidR="00FA0D09">
        <w:lastRenderedPageBreak/>
        <w:t xml:space="preserve">heavily </w:t>
      </w:r>
      <w:r w:rsidR="00E50713">
        <w:t xml:space="preserve">on </w:t>
      </w:r>
      <w:r w:rsidR="00FA0D09">
        <w:t xml:space="preserve">the cooperation, preferences and </w:t>
      </w:r>
      <w:r w:rsidR="00E50713">
        <w:t>decisions</w:t>
      </w:r>
      <w:r w:rsidR="00FA0D09">
        <w:t xml:space="preserve"> of</w:t>
      </w:r>
      <w:r w:rsidR="00E50713">
        <w:t xml:space="preserve"> the two affected parties. If an affiliation is not identified, a bidder will not incur these costs</w:t>
      </w:r>
      <w:r w:rsidR="003D6071">
        <w:t>;</w:t>
      </w:r>
      <w:r w:rsidR="00E50713">
        <w:t xml:space="preserve"> however, </w:t>
      </w:r>
      <w:r>
        <w:t>neither the bidder nor</w:t>
      </w:r>
      <w:r w:rsidR="00FA0D09">
        <w:t xml:space="preserve"> the government would be able to</w:t>
      </w:r>
      <w:r w:rsidR="00E50713">
        <w:t xml:space="preserve"> confirm </w:t>
      </w:r>
      <w:r w:rsidR="00FA0D09">
        <w:t xml:space="preserve">if </w:t>
      </w:r>
      <w:r w:rsidR="00E50713">
        <w:t>affiliation</w:t>
      </w:r>
      <w:r w:rsidR="00FA0D09">
        <w:t>s</w:t>
      </w:r>
      <w:r w:rsidR="00E50713">
        <w:t xml:space="preserve"> exist in advance. </w:t>
      </w:r>
    </w:p>
    <w:p w14:paraId="4A287667" w14:textId="3207069B" w:rsidR="00874028" w:rsidRDefault="008B163F" w:rsidP="00B63E3B">
      <w:r>
        <w:t>It is particularly important to note that d</w:t>
      </w:r>
      <w:r w:rsidR="00FC20A4">
        <w:t xml:space="preserve">espite the variation in potential compliance burden between bidders, each bidder’s compliance burden would not vary in response to the level which allocation limits that are set, that is to say it would be consistent across options 1-3. </w:t>
      </w:r>
      <w:r w:rsidRPr="008B163F">
        <w:t xml:space="preserve">Bidders who have participated in previous </w:t>
      </w:r>
      <w:r>
        <w:t xml:space="preserve">spectrum </w:t>
      </w:r>
      <w:r w:rsidRPr="008B163F">
        <w:t>auctions will already be familiar with this process and</w:t>
      </w:r>
      <w:r>
        <w:t xml:space="preserve"> will most likely have a similar compliance cost to the previous auctions they have participated in. </w:t>
      </w:r>
    </w:p>
    <w:p w14:paraId="6CF4FB96" w14:textId="2020A4A9" w:rsidR="00FC20A4" w:rsidRDefault="00C53963" w:rsidP="00B63E3B">
      <w:r>
        <w:t>The Department notes that t</w:t>
      </w:r>
      <w:r w:rsidR="00874028">
        <w:t xml:space="preserve">hese compliance costs will </w:t>
      </w:r>
      <w:r>
        <w:t xml:space="preserve">likely </w:t>
      </w:r>
      <w:r w:rsidR="00874028">
        <w:t xml:space="preserve">be very </w:t>
      </w:r>
      <w:r>
        <w:t xml:space="preserve">small compared to the </w:t>
      </w:r>
      <w:r w:rsidR="00874028">
        <w:t xml:space="preserve">relative cost of the spectrum and </w:t>
      </w:r>
      <w:r w:rsidR="006D1B4E">
        <w:t xml:space="preserve">the </w:t>
      </w:r>
      <w:r w:rsidR="00874028">
        <w:t xml:space="preserve">economic </w:t>
      </w:r>
      <w:r>
        <w:t xml:space="preserve">benefits </w:t>
      </w:r>
      <w:r w:rsidR="00874028">
        <w:t xml:space="preserve">derived from </w:t>
      </w:r>
      <w:r w:rsidR="006D1B4E">
        <w:t xml:space="preserve">successful bidders </w:t>
      </w:r>
      <w:r w:rsidR="00874028">
        <w:t xml:space="preserve">utilising that spectrum. </w:t>
      </w:r>
    </w:p>
    <w:p w14:paraId="4D06388B" w14:textId="77777777" w:rsidR="005947D9" w:rsidRDefault="005947D9" w:rsidP="005947D9">
      <w:pPr>
        <w:pStyle w:val="Heading2"/>
      </w:pPr>
      <w:bookmarkStart w:id="51" w:name="_Toc76051003"/>
      <w:bookmarkStart w:id="52" w:name="_Toc75770438"/>
      <w:bookmarkStart w:id="53" w:name="_Toc76481423"/>
      <w:bookmarkStart w:id="54" w:name="_Toc76555292"/>
      <w:bookmarkStart w:id="55" w:name="_Toc77081947"/>
      <w:bookmarkStart w:id="56" w:name="_Toc77086748"/>
      <w:bookmarkStart w:id="57" w:name="_Toc78190959"/>
      <w:r>
        <w:t>Option 1 – a 72 MHz allocation limit applied across all sub-1 GHz band holdings.</w:t>
      </w:r>
      <w:bookmarkEnd w:id="51"/>
      <w:bookmarkEnd w:id="52"/>
      <w:bookmarkEnd w:id="53"/>
      <w:bookmarkEnd w:id="54"/>
      <w:bookmarkEnd w:id="55"/>
      <w:bookmarkEnd w:id="56"/>
      <w:bookmarkEnd w:id="57"/>
    </w:p>
    <w:p w14:paraId="02666E3E" w14:textId="602126AE" w:rsidR="0050098C" w:rsidRDefault="0050098C" w:rsidP="00D26C64">
      <w:pPr>
        <w:rPr>
          <w:lang w:eastAsia="zh-TW"/>
        </w:rPr>
      </w:pPr>
      <w:r>
        <w:rPr>
          <w:lang w:eastAsia="zh-TW"/>
        </w:rPr>
        <w:t>This is the option preferred by Optus.</w:t>
      </w:r>
      <w:r w:rsidR="00F54343">
        <w:rPr>
          <w:lang w:eastAsia="zh-TW"/>
        </w:rPr>
        <w:t xml:space="preserve"> Compared to the other options, Option 1 </w:t>
      </w:r>
      <w:r w:rsidR="00F54343">
        <w:t xml:space="preserve">would maximise the opportunity for Optus to acquire spectrum in the auction relative to other bidders, by creating the strongest </w:t>
      </w:r>
      <w:r w:rsidR="00F54343">
        <w:lastRenderedPageBreak/>
        <w:t>constraints on the ability of Telstra and TPG to increase their sub-1 GHz band holdings.</w:t>
      </w:r>
    </w:p>
    <w:p w14:paraId="5E85FB8E" w14:textId="4CBA4312" w:rsidR="006D3D0B" w:rsidRDefault="00692D7B" w:rsidP="00692D7B">
      <w:pPr>
        <w:rPr>
          <w:lang w:eastAsia="zh-TW"/>
        </w:rPr>
      </w:pPr>
      <w:r>
        <w:rPr>
          <w:lang w:eastAsia="zh-TW"/>
        </w:rPr>
        <w:t xml:space="preserve">Option 1 would constrain Telstra’s ability to acquire spectrum at the auction, as it would be limited to acquiring one metropolitan lot (10 MHz) and would lose the ability to bid for any of the 16.8 MHz </w:t>
      </w:r>
      <w:r w:rsidR="00FB024E">
        <w:rPr>
          <w:lang w:eastAsia="zh-TW"/>
        </w:rPr>
        <w:t xml:space="preserve">of regional spectrum </w:t>
      </w:r>
      <w:r>
        <w:rPr>
          <w:lang w:eastAsia="zh-TW"/>
        </w:rPr>
        <w:t>it currently holds under apparatus licences</w:t>
      </w:r>
      <w:r w:rsidR="009A0DEB">
        <w:rPr>
          <w:lang w:eastAsia="zh-TW"/>
        </w:rPr>
        <w:t xml:space="preserve">, as shown in Figure </w:t>
      </w:r>
      <w:r w:rsidR="0043675C">
        <w:rPr>
          <w:lang w:eastAsia="zh-TW"/>
        </w:rPr>
        <w:t>3</w:t>
      </w:r>
      <w:r w:rsidR="009A0DEB">
        <w:rPr>
          <w:lang w:eastAsia="zh-TW"/>
        </w:rPr>
        <w:t xml:space="preserve"> below.</w:t>
      </w:r>
      <w:r w:rsidR="008F035E">
        <w:rPr>
          <w:lang w:eastAsia="zh-TW"/>
        </w:rPr>
        <w:t xml:space="preserve"> </w:t>
      </w:r>
    </w:p>
    <w:p w14:paraId="5D19F5EB" w14:textId="77777777" w:rsidR="002F4A12" w:rsidRDefault="002F4A12" w:rsidP="002F4A12">
      <w:r>
        <w:rPr>
          <w:noProof/>
          <w:lang w:eastAsia="en-AU"/>
        </w:rPr>
        <w:drawing>
          <wp:inline distT="0" distB="0" distL="0" distR="0" wp14:anchorId="06E03E46" wp14:editId="63C1B9AD">
            <wp:extent cx="5343525" cy="3876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3525" cy="3876675"/>
                    </a:xfrm>
                    <a:prstGeom prst="rect">
                      <a:avLst/>
                    </a:prstGeom>
                  </pic:spPr>
                </pic:pic>
              </a:graphicData>
            </a:graphic>
          </wp:inline>
        </w:drawing>
      </w:r>
    </w:p>
    <w:p w14:paraId="47FC0D6A" w14:textId="20ABDA04" w:rsidR="002F4A12" w:rsidRDefault="002F4A12" w:rsidP="002F4A12">
      <w:pPr>
        <w:pStyle w:val="Caption"/>
      </w:pPr>
      <w:r>
        <w:t xml:space="preserve">Figure </w:t>
      </w:r>
      <w:r w:rsidR="0043675C">
        <w:t>3</w:t>
      </w:r>
      <w:r>
        <w:t>: Option 1 – a 72 MHz limit applied across all sub-1 GHz band holdings</w:t>
      </w:r>
    </w:p>
    <w:p w14:paraId="14199D31" w14:textId="58DC58FE" w:rsidR="002F4A12" w:rsidRPr="00423F5B" w:rsidRDefault="002F4A12" w:rsidP="00CB6176">
      <w:pPr>
        <w:pStyle w:val="NoSpacing"/>
        <w:rPr>
          <w:i/>
          <w:sz w:val="20"/>
          <w:szCs w:val="20"/>
        </w:rPr>
      </w:pPr>
      <w:r w:rsidRPr="00CD2AE0">
        <w:rPr>
          <w:rFonts w:eastAsiaTheme="majorEastAsia"/>
          <w:i/>
          <w:sz w:val="20"/>
          <w:szCs w:val="20"/>
        </w:rPr>
        <w:t>(Dark c</w:t>
      </w:r>
      <w:r w:rsidRPr="00423F5B">
        <w:rPr>
          <w:rFonts w:eastAsiaTheme="majorEastAsia"/>
          <w:i/>
          <w:sz w:val="20"/>
          <w:szCs w:val="20"/>
        </w:rPr>
        <w:t>olours represent existing sub-1 GHz spectrum licence holdings, checked colours represent the</w:t>
      </w:r>
      <w:r w:rsidR="00E0473C">
        <w:rPr>
          <w:rFonts w:eastAsiaTheme="majorEastAsia"/>
          <w:i/>
          <w:sz w:val="20"/>
          <w:szCs w:val="20"/>
        </w:rPr>
        <w:t xml:space="preserve"> amount each bidder could acquire if they bid up their allocation limit (noting that there are only</w:t>
      </w:r>
      <w:r w:rsidRPr="00423F5B">
        <w:rPr>
          <w:rFonts w:eastAsiaTheme="majorEastAsia"/>
          <w:i/>
          <w:sz w:val="20"/>
          <w:szCs w:val="20"/>
        </w:rPr>
        <w:t xml:space="preserve"> 7 lots available in each </w:t>
      </w:r>
      <w:r w:rsidR="00E0473C">
        <w:rPr>
          <w:rFonts w:eastAsiaTheme="majorEastAsia"/>
          <w:i/>
          <w:sz w:val="20"/>
          <w:szCs w:val="20"/>
        </w:rPr>
        <w:t xml:space="preserve">licence </w:t>
      </w:r>
      <w:r w:rsidRPr="00423F5B">
        <w:rPr>
          <w:rFonts w:eastAsiaTheme="majorEastAsia"/>
          <w:i/>
          <w:sz w:val="20"/>
          <w:szCs w:val="20"/>
        </w:rPr>
        <w:t xml:space="preserve">area </w:t>
      </w:r>
      <w:r w:rsidR="00E0473C">
        <w:rPr>
          <w:rFonts w:eastAsiaTheme="majorEastAsia"/>
          <w:i/>
          <w:sz w:val="20"/>
          <w:szCs w:val="20"/>
        </w:rPr>
        <w:lastRenderedPageBreak/>
        <w:t>at the auction, so not all bidders will be able to bid up to the full amount of their cap).</w:t>
      </w:r>
      <w:r w:rsidRPr="00423F5B">
        <w:rPr>
          <w:rFonts w:eastAsiaTheme="majorEastAsia"/>
          <w:i/>
          <w:sz w:val="20"/>
          <w:szCs w:val="20"/>
        </w:rPr>
        <w:t>)</w:t>
      </w:r>
      <w:r w:rsidR="005B2295">
        <w:rPr>
          <w:rFonts w:eastAsiaTheme="majorEastAsia"/>
          <w:i/>
          <w:sz w:val="20"/>
          <w:szCs w:val="20"/>
        </w:rPr>
        <w:t xml:space="preserve"> If TPG and Optus each choose to take up the offer of a set-aside of spectrum in the 900 MHz band, they would each acquire one lot of spectrum in both a metropolitan and a regional area</w:t>
      </w:r>
      <w:r w:rsidR="00304F0F">
        <w:rPr>
          <w:rFonts w:eastAsiaTheme="majorEastAsia"/>
          <w:i/>
          <w:sz w:val="20"/>
          <w:szCs w:val="20"/>
        </w:rPr>
        <w:t>, counting towards their overall cap</w:t>
      </w:r>
      <w:r w:rsidR="005B2295">
        <w:rPr>
          <w:rFonts w:eastAsiaTheme="majorEastAsia"/>
          <w:i/>
          <w:sz w:val="20"/>
          <w:szCs w:val="20"/>
        </w:rPr>
        <w:t>.</w:t>
      </w:r>
    </w:p>
    <w:p w14:paraId="32FAA57F" w14:textId="77777777" w:rsidR="009448A8" w:rsidRDefault="009448A8" w:rsidP="00CB6176">
      <w:pPr>
        <w:pStyle w:val="NoSpacing"/>
      </w:pPr>
    </w:p>
    <w:p w14:paraId="0A26CA19" w14:textId="77777777" w:rsidR="006D3D0B" w:rsidRDefault="001A2B67" w:rsidP="001A2B67">
      <w:r>
        <w:t xml:space="preserve">Optus argued that this option would best meet the Government’s policy objectives and provide the best outcomes for regional consumers, because choice and competition-driven investment in regional Australia would improve if the significant asymmetries in low-band spectrum in regional areas are addressed.  </w:t>
      </w:r>
    </w:p>
    <w:p w14:paraId="39F98A45" w14:textId="40B9D9E9" w:rsidR="00E83A47" w:rsidRDefault="006D3D0B" w:rsidP="001A2B67">
      <w:r w:rsidRPr="00BF004D">
        <w:t>Citing analysis completed by</w:t>
      </w:r>
      <w:r w:rsidR="006D1B4E">
        <w:t xml:space="preserve"> PWC, </w:t>
      </w:r>
      <w:r w:rsidRPr="00BF004D">
        <w:t>Optus stated</w:t>
      </w:r>
      <w:r w:rsidRPr="00CD2AE0">
        <w:t xml:space="preserve"> that</w:t>
      </w:r>
      <w:r w:rsidR="00E83A47">
        <w:t>:</w:t>
      </w:r>
      <w:r w:rsidRPr="00CD2AE0">
        <w:t xml:space="preserve"> </w:t>
      </w:r>
    </w:p>
    <w:p w14:paraId="6FA9DBC8" w14:textId="0DB5966E" w:rsidR="00E83A47" w:rsidRDefault="006D3D0B" w:rsidP="00CD2AE0">
      <w:pPr>
        <w:ind w:left="720"/>
      </w:pPr>
      <w:r w:rsidRPr="00CD2AE0">
        <w:t>“</w:t>
      </w:r>
      <w:r w:rsidRPr="006D3D0B">
        <w:t>The</w:t>
      </w:r>
      <w:r>
        <w:t xml:space="preserve"> efficient allocation of low band spectrum is a key element to ensure that the full $</w:t>
      </w:r>
      <w:r w:rsidR="00BB5266">
        <w:t>130 </w:t>
      </w:r>
      <w:r>
        <w:t>billion of economic growth from national 5G networks can be achieved. Failure to efficiently allocate low-band spectrum, including encouraging deployment of mobile assets, risks $</w:t>
      </w:r>
      <w:r w:rsidR="00BB5266">
        <w:t>55 </w:t>
      </w:r>
      <w:r>
        <w:t>billion in economic growth over the decade to 2030”.</w:t>
      </w:r>
      <w:r>
        <w:rPr>
          <w:rStyle w:val="FootnoteReference"/>
        </w:rPr>
        <w:footnoteReference w:id="18"/>
      </w:r>
      <w:r>
        <w:t xml:space="preserve"> </w:t>
      </w:r>
    </w:p>
    <w:p w14:paraId="03678C13" w14:textId="5AA8F40B" w:rsidR="00E83A47" w:rsidRDefault="006D3D0B" w:rsidP="00E83A47">
      <w:r>
        <w:t xml:space="preserve">On the other hand (as outlined under option 2.1 below), Telstra submitted alternative analysis suggesting </w:t>
      </w:r>
      <w:r w:rsidR="00E83A47">
        <w:t xml:space="preserve">that even a less restrictive limit </w:t>
      </w:r>
      <w:r w:rsidR="00E83A47">
        <w:lastRenderedPageBreak/>
        <w:t>of 82 MHz would risk regional loss</w:t>
      </w:r>
      <w:r w:rsidR="00A85BE8">
        <w:t xml:space="preserve"> in service quality valued at</w:t>
      </w:r>
      <w:r w:rsidR="00E83A47">
        <w:t xml:space="preserve"> $488m-</w:t>
      </w:r>
      <w:r w:rsidR="003D6071">
        <w:t>$</w:t>
      </w:r>
      <w:r w:rsidR="00E83A47">
        <w:t xml:space="preserve">697m </w:t>
      </w:r>
      <w:r w:rsidR="005F0939">
        <w:t>per </w:t>
      </w:r>
      <w:r w:rsidR="00E83A47">
        <w:t xml:space="preserve">annum by 2030 because if Telstra cannot acquire additional spectrum </w:t>
      </w:r>
      <w:r w:rsidR="00376D2F">
        <w:t xml:space="preserve">licences </w:t>
      </w:r>
      <w:r w:rsidR="00E83A47">
        <w:t xml:space="preserve">in regional areas, it will need to rely on </w:t>
      </w:r>
      <w:r w:rsidR="00165F5B">
        <w:t xml:space="preserve">more costly </w:t>
      </w:r>
      <w:r w:rsidR="00E83A47">
        <w:t>site densification to meet its customers</w:t>
      </w:r>
      <w:r w:rsidR="003D6071">
        <w:t>’ increasing</w:t>
      </w:r>
      <w:r w:rsidR="00E83A47">
        <w:t xml:space="preserve"> demand for data, which Telstra argued would lead to more congestion and put at risk benefits of 5G services in outer regional and remote areas.</w:t>
      </w:r>
      <w:r w:rsidR="00794F4D">
        <w:rPr>
          <w:rStyle w:val="FootnoteReference"/>
        </w:rPr>
        <w:footnoteReference w:id="19"/>
      </w:r>
      <w:r w:rsidR="00165F5B">
        <w:t xml:space="preserve"> Telstra argued that the proposed limit of 82 MHz (option 2.1 in this RIS) “creates a high risk of poor customer outcomes in areas where Optus and TPG do not make the network investment needed to put this spectrum to use”.</w:t>
      </w:r>
      <w:r w:rsidR="00165F5B">
        <w:rPr>
          <w:rStyle w:val="FootnoteReference"/>
        </w:rPr>
        <w:footnoteReference w:id="20"/>
      </w:r>
      <w:r w:rsidR="0058077D">
        <w:t xml:space="preserve"> </w:t>
      </w:r>
    </w:p>
    <w:p w14:paraId="0BD1B03C" w14:textId="6D3BCEC3" w:rsidR="00165F5B" w:rsidRDefault="006D3D0B" w:rsidP="00E83A47">
      <w:r>
        <w:t xml:space="preserve">The Department </w:t>
      </w:r>
      <w:r w:rsidR="004363E1">
        <w:t xml:space="preserve">considers that the modelling underpinning the </w:t>
      </w:r>
      <w:r>
        <w:t xml:space="preserve">analysis provided by both Optus and </w:t>
      </w:r>
      <w:r w:rsidR="00420468">
        <w:t xml:space="preserve">Telstra </w:t>
      </w:r>
      <w:r>
        <w:t>is based on very different premises</w:t>
      </w:r>
      <w:r w:rsidR="003264B0">
        <w:t>.</w:t>
      </w:r>
      <w:r>
        <w:t xml:space="preserve"> Optus</w:t>
      </w:r>
      <w:r w:rsidR="003264B0">
        <w:t xml:space="preserve"> cites the benefits of a competitive market in which “tit-for-tat</w:t>
      </w:r>
      <w:r>
        <w:t xml:space="preserve"> </w:t>
      </w:r>
      <w:r w:rsidR="003264B0">
        <w:t>investment benefits all Australian consumers whichever mobile operator they subscribe to and drives the competitive dividend further into regional Australia”, and observes that “Telstra is targeting its 5G roll-out in areas where Optus has invested with strong network performance”.</w:t>
      </w:r>
      <w:r w:rsidR="003264B0">
        <w:rPr>
          <w:rStyle w:val="FootnoteReference"/>
        </w:rPr>
        <w:footnoteReference w:id="21"/>
      </w:r>
      <w:r w:rsidR="003264B0">
        <w:t xml:space="preserve"> Telstra argues that “Telstra’s regional investment relies on </w:t>
      </w:r>
      <w:r w:rsidR="003264B0">
        <w:lastRenderedPageBreak/>
        <w:t>appropriate Government policy settings that enable us to gain access to sufficient spectrum to keep improving the quality of our network and services through Australia”</w:t>
      </w:r>
      <w:r w:rsidR="00075DC8">
        <w:rPr>
          <w:rStyle w:val="FootnoteReference"/>
        </w:rPr>
        <w:footnoteReference w:id="22"/>
      </w:r>
      <w:r w:rsidR="003264B0">
        <w:t xml:space="preserve"> </w:t>
      </w:r>
      <w:r w:rsidR="00794F4D">
        <w:t xml:space="preserve">and that </w:t>
      </w:r>
      <w:r w:rsidR="00165F5B">
        <w:t>if Telstra’s network is constrained in regional areas, this would “weaken the competitive constraint on the other operators in these areas, which could lead to worse outcomes for customers and the economy in regional areas more generally”.</w:t>
      </w:r>
      <w:r w:rsidR="00165F5B">
        <w:rPr>
          <w:rStyle w:val="FootnoteReference"/>
        </w:rPr>
        <w:footnoteReference w:id="23"/>
      </w:r>
      <w:r w:rsidR="00D462B4">
        <w:t xml:space="preserve"> The Department’s view is that a balance needs to be found between supporting a competitive market in which consumers will benefit from 4G and 5G rollout across Australia</w:t>
      </w:r>
      <w:r w:rsidR="00454391">
        <w:t>, and acknowledging that there does not need to be perfect symmetry in spectrum holdings to achieve a competitive market.</w:t>
      </w:r>
    </w:p>
    <w:p w14:paraId="78D7BE23" w14:textId="3CBB8B35" w:rsidR="00FD5C49" w:rsidRDefault="00165F5B" w:rsidP="00263CC5">
      <w:r>
        <w:t xml:space="preserve">The Department agrees with the ACCC’s strong view that if Optus is unable to </w:t>
      </w:r>
      <w:r w:rsidR="00376D2F">
        <w:t xml:space="preserve">have a reasonable opportunity to </w:t>
      </w:r>
      <w:r>
        <w:t xml:space="preserve">acquire sufficient spectrum to roll out 5G widely and efficiently in Australia, competition in the mobile services market (particularly in regional areas) would be adversely affected to the detriment of consumers. Allocation limits for this auction need to provide Optus with a reasonable opportunity to </w:t>
      </w:r>
      <w:r w:rsidR="004363E1">
        <w:lastRenderedPageBreak/>
        <w:t xml:space="preserve">acquire the spectrum that it needs to compete effectively in the mobile services market. </w:t>
      </w:r>
    </w:p>
    <w:p w14:paraId="4C540B68" w14:textId="5D61E0E5" w:rsidR="00973092" w:rsidRDefault="00973092" w:rsidP="00263CC5">
      <w:r>
        <w:t>In the Department’s assessment, option 1 would strongly support competitive outcomes for the benefit of consumers (assessment criteri</w:t>
      </w:r>
      <w:r w:rsidR="00522825">
        <w:t>on</w:t>
      </w:r>
      <w:r>
        <w:t xml:space="preserve"> 3), given it would provide Optus with the best opportunity to address its </w:t>
      </w:r>
      <w:r w:rsidR="00D765FF">
        <w:t xml:space="preserve">relatively low sub-1 GHz spectrum holdings compared to other MNOs. </w:t>
      </w:r>
      <w:r w:rsidR="00376D2F">
        <w:t xml:space="preserve">However, this criterion must be balanced against the other criterion reflecting the Government’s communications policy objectives. </w:t>
      </w:r>
    </w:p>
    <w:p w14:paraId="7E24973F" w14:textId="7EF74FA2" w:rsidR="007F242D" w:rsidRDefault="007F242D" w:rsidP="00263CC5">
      <w:r>
        <w:t xml:space="preserve">On balance, the Department considers that option 1 should be assessed as “fair” against assessment criteria 2 and 4. </w:t>
      </w:r>
      <w:r w:rsidR="001F7116">
        <w:t>T</w:t>
      </w:r>
      <w:r>
        <w:t>his option would provide Optus the strongest opportunity to acquire more spectrum to deploy 4G and 5G technologies (assessment criteri</w:t>
      </w:r>
      <w:r w:rsidR="007D4461">
        <w:t xml:space="preserve">on </w:t>
      </w:r>
      <w:r>
        <w:t>2) and to invest in regional Australia (assessment criteri</w:t>
      </w:r>
      <w:r w:rsidR="007D4461">
        <w:t>on</w:t>
      </w:r>
      <w:r>
        <w:t xml:space="preserve"> 4), </w:t>
      </w:r>
      <w:r w:rsidR="001F7116">
        <w:t xml:space="preserve">alongside other regional players potentially looking to acquire spectrum in the auction. However, </w:t>
      </w:r>
      <w:r>
        <w:t xml:space="preserve">it would constrain Telstra’s ability to acquire spectrum to support these objectives and would result in Telstra losing all of its current 900 MHz </w:t>
      </w:r>
      <w:r w:rsidR="00FD5C49">
        <w:t xml:space="preserve">apparatus-licensed </w:t>
      </w:r>
      <w:r>
        <w:t xml:space="preserve">holdings, which may </w:t>
      </w:r>
      <w:r w:rsidR="00D462B4">
        <w:t>undermine Telstra’s ability to deliver improved services to its r</w:t>
      </w:r>
      <w:r>
        <w:t>egional and rural customers</w:t>
      </w:r>
      <w:r w:rsidR="00D462B4">
        <w:t xml:space="preserve"> over time</w:t>
      </w:r>
      <w:r>
        <w:t>.</w:t>
      </w:r>
    </w:p>
    <w:p w14:paraId="3AB63AF1" w14:textId="77EE1FA3" w:rsidR="00D26C64" w:rsidRDefault="00F54343" w:rsidP="00263CC5">
      <w:r>
        <w:lastRenderedPageBreak/>
        <w:t>Compared to options 2 and 3, t</w:t>
      </w:r>
      <w:r w:rsidR="00263CC5">
        <w:t xml:space="preserve">his option is likely to have negative impacts on </w:t>
      </w:r>
      <w:r w:rsidR="0071225F">
        <w:t>assessment criteri</w:t>
      </w:r>
      <w:r w:rsidR="00903E16">
        <w:t>on</w:t>
      </w:r>
      <w:r w:rsidR="00F56870">
        <w:t xml:space="preserve"> 1 (supporting the efficient planning, allocation and use of the spectrum)</w:t>
      </w:r>
      <w:r w:rsidR="00263CC5">
        <w:t xml:space="preserve">. In particular, this option would </w:t>
      </w:r>
      <w:r w:rsidR="00A836C2">
        <w:t xml:space="preserve">suppress aggregate demand at the auction to the point where there may not be sufficient competitive tension to support an efficient allocation of spectrum. </w:t>
      </w:r>
      <w:r w:rsidR="00C061EB">
        <w:t xml:space="preserve">While there has been interest expressed in the auction by potential bidders apart from the three MNOs, </w:t>
      </w:r>
      <w:r w:rsidR="00E504CA">
        <w:t>the competitive</w:t>
      </w:r>
      <w:r w:rsidR="004B75F8">
        <w:t xml:space="preserve"> tension would be lowest under option 1</w:t>
      </w:r>
      <w:r w:rsidR="00E504CA">
        <w:t xml:space="preserve">. </w:t>
      </w:r>
      <w:r w:rsidR="009C1E7C">
        <w:t>Given the</w:t>
      </w:r>
      <w:r w:rsidR="00343947">
        <w:t xml:space="preserve"> potential</w:t>
      </w:r>
      <w:r w:rsidR="009C1E7C">
        <w:t xml:space="preserve"> reduction in competitive tension under this option, it also presents the greatest risks of unsold lots and/or </w:t>
      </w:r>
      <w:r w:rsidR="00F023A7">
        <w:t>to not promoting the opportunity for price discovery</w:t>
      </w:r>
      <w:r w:rsidR="009C1E7C">
        <w:t>, which would not be consistent with an efficient allocation of spectrum. The Government does not seek to maximise revenue through spectrum allocations, and revenue maximisation would not be consistent with the object of the Act. However, a</w:t>
      </w:r>
      <w:r w:rsidR="00C60133">
        <w:t>n efficient allocation of spectrum is more likely to be achieved where market mechanisms can operate so that an equilibrium is reached between supply and demand.</w:t>
      </w:r>
      <w:r w:rsidR="00C60133">
        <w:rPr>
          <w:rStyle w:val="FootnoteReference"/>
        </w:rPr>
        <w:footnoteReference w:id="24"/>
      </w:r>
    </w:p>
    <w:p w14:paraId="0152F052" w14:textId="393EC637" w:rsidR="00E745B2" w:rsidRDefault="00CF30EA" w:rsidP="0058613C">
      <w:r>
        <w:lastRenderedPageBreak/>
        <w:t>For the above reasons, the Department does not support option 1 over the other options under consideration.</w:t>
      </w:r>
      <w:bookmarkStart w:id="58" w:name="_Toc76051004"/>
      <w:bookmarkStart w:id="59" w:name="_Toc75770439"/>
    </w:p>
    <w:p w14:paraId="054A0E15" w14:textId="0854E148" w:rsidR="008663F6" w:rsidRDefault="00686C33" w:rsidP="008663F6">
      <w:pPr>
        <w:pStyle w:val="Heading2"/>
      </w:pPr>
      <w:bookmarkStart w:id="60" w:name="_Toc76555293"/>
      <w:bookmarkStart w:id="61" w:name="_Toc77081948"/>
      <w:bookmarkStart w:id="62" w:name="_Toc77086749"/>
      <w:bookmarkStart w:id="63" w:name="_Toc78190960"/>
      <w:bookmarkStart w:id="64" w:name="_Toc76481424"/>
      <w:r>
        <w:t>Option 2 –</w:t>
      </w:r>
      <w:r w:rsidR="008663F6">
        <w:t>a</w:t>
      </w:r>
      <w:r>
        <w:t xml:space="preserve">n 82 MHz allocation limit </w:t>
      </w:r>
      <w:r w:rsidR="006C3A02">
        <w:t>(with two sub-options)</w:t>
      </w:r>
      <w:bookmarkEnd w:id="60"/>
      <w:bookmarkEnd w:id="61"/>
      <w:bookmarkEnd w:id="62"/>
      <w:bookmarkEnd w:id="63"/>
      <w:r w:rsidR="006C3A02">
        <w:t xml:space="preserve"> </w:t>
      </w:r>
      <w:bookmarkEnd w:id="58"/>
      <w:bookmarkEnd w:id="59"/>
      <w:bookmarkEnd w:id="64"/>
    </w:p>
    <w:p w14:paraId="298632C8" w14:textId="156326F9" w:rsidR="008D61CF" w:rsidRDefault="00D462B4" w:rsidP="008D61CF">
      <w:pPr>
        <w:rPr>
          <w:lang w:eastAsia="zh-TW"/>
        </w:rPr>
      </w:pPr>
      <w:r>
        <w:rPr>
          <w:lang w:eastAsia="zh-TW"/>
        </w:rPr>
        <w:br/>
      </w:r>
      <w:r w:rsidR="008A7B2C">
        <w:rPr>
          <w:lang w:eastAsia="zh-TW"/>
        </w:rPr>
        <w:t>Both sub-options under option 2 propose an 82 MHz allocation limit for sub 1 GHz holding in metropolitan lots, but vary on limits permitted in regional/remote locations. Both s</w:t>
      </w:r>
      <w:r w:rsidR="008D61CF">
        <w:rPr>
          <w:lang w:eastAsia="zh-TW"/>
        </w:rPr>
        <w:t>ub</w:t>
      </w:r>
      <w:r w:rsidR="008A7B2C">
        <w:rPr>
          <w:lang w:eastAsia="zh-TW"/>
        </w:rPr>
        <w:t>-o</w:t>
      </w:r>
      <w:r w:rsidR="008D61CF">
        <w:rPr>
          <w:lang w:eastAsia="zh-TW"/>
        </w:rPr>
        <w:t xml:space="preserve">ptions are similar and both support the </w:t>
      </w:r>
      <w:r w:rsidR="0082669B">
        <w:rPr>
          <w:lang w:eastAsia="zh-TW"/>
        </w:rPr>
        <w:t xml:space="preserve">majority of the </w:t>
      </w:r>
      <w:r w:rsidR="008D61CF">
        <w:rPr>
          <w:lang w:eastAsia="zh-TW"/>
        </w:rPr>
        <w:t xml:space="preserve">four </w:t>
      </w:r>
      <w:r w:rsidR="0071225F" w:rsidRPr="0071225F">
        <w:rPr>
          <w:lang w:eastAsia="zh-TW"/>
        </w:rPr>
        <w:t xml:space="preserve">assessment criteria, </w:t>
      </w:r>
      <w:r w:rsidR="008D61CF">
        <w:rPr>
          <w:lang w:eastAsia="zh-TW"/>
        </w:rPr>
        <w:t>outlined above.</w:t>
      </w:r>
      <w:r w:rsidR="008D61CF" w:rsidRPr="008D61CF">
        <w:rPr>
          <w:lang w:eastAsia="zh-TW"/>
        </w:rPr>
        <w:t xml:space="preserve"> </w:t>
      </w:r>
      <w:r w:rsidR="008D61CF">
        <w:rPr>
          <w:lang w:eastAsia="zh-TW"/>
        </w:rPr>
        <w:t xml:space="preserve">However, </w:t>
      </w:r>
      <w:r w:rsidR="003F2F92">
        <w:rPr>
          <w:lang w:eastAsia="zh-TW"/>
        </w:rPr>
        <w:t>the</w:t>
      </w:r>
      <w:r w:rsidR="008D61CF">
        <w:rPr>
          <w:lang w:eastAsia="zh-TW"/>
        </w:rPr>
        <w:t xml:space="preserve"> two sub-options vary in the degree to </w:t>
      </w:r>
      <w:r w:rsidR="00C57F18" w:rsidRPr="00F927C1">
        <w:rPr>
          <w:lang w:eastAsia="zh-TW"/>
        </w:rPr>
        <w:t xml:space="preserve">which they </w:t>
      </w:r>
      <w:r w:rsidR="008D61CF" w:rsidRPr="00F927C1">
        <w:rPr>
          <w:lang w:eastAsia="zh-TW"/>
        </w:rPr>
        <w:t xml:space="preserve">support </w:t>
      </w:r>
      <w:r w:rsidR="003F2F92" w:rsidRPr="00F927C1">
        <w:rPr>
          <w:lang w:eastAsia="zh-TW"/>
        </w:rPr>
        <w:t xml:space="preserve">the </w:t>
      </w:r>
      <w:r w:rsidR="008D61CF" w:rsidRPr="00F927C1">
        <w:rPr>
          <w:lang w:eastAsia="zh-TW"/>
        </w:rPr>
        <w:t xml:space="preserve">different </w:t>
      </w:r>
      <w:r w:rsidR="0071225F" w:rsidRPr="00F927C1">
        <w:rPr>
          <w:lang w:eastAsia="zh-TW"/>
        </w:rPr>
        <w:t xml:space="preserve">assessment criteria </w:t>
      </w:r>
      <w:r w:rsidR="0082669B" w:rsidRPr="00F927C1">
        <w:rPr>
          <w:lang w:eastAsia="zh-TW"/>
        </w:rPr>
        <w:t>over</w:t>
      </w:r>
      <w:r w:rsidR="008D61CF" w:rsidRPr="00F927C1">
        <w:rPr>
          <w:lang w:eastAsia="zh-TW"/>
        </w:rPr>
        <w:t xml:space="preserve"> other</w:t>
      </w:r>
      <w:r w:rsidR="008A7B2C" w:rsidRPr="00F927C1">
        <w:rPr>
          <w:lang w:eastAsia="zh-TW"/>
        </w:rPr>
        <w:t>s, with option 2.1 providing more favourable conditions to support competitive markets and option 2.2 providing more favourable conditions to support efficient allocation</w:t>
      </w:r>
      <w:r w:rsidR="00FD5C49">
        <w:rPr>
          <w:lang w:eastAsia="zh-TW"/>
        </w:rPr>
        <w:t xml:space="preserve"> and regional investment</w:t>
      </w:r>
      <w:r w:rsidR="008A7B2C" w:rsidRPr="00F927C1">
        <w:rPr>
          <w:lang w:eastAsia="zh-TW"/>
        </w:rPr>
        <w:t xml:space="preserve">. </w:t>
      </w:r>
    </w:p>
    <w:p w14:paraId="59B0DA02" w14:textId="4404D4D4" w:rsidR="007B5DA3" w:rsidRDefault="008D61CF" w:rsidP="007B5DA3">
      <w:pPr>
        <w:rPr>
          <w:lang w:eastAsia="zh-TW"/>
        </w:rPr>
      </w:pPr>
      <w:r>
        <w:rPr>
          <w:lang w:eastAsia="zh-TW"/>
        </w:rPr>
        <w:t>Due to their similarities the two sub-options have been grouped together in this analysis</w:t>
      </w:r>
      <w:r w:rsidR="0082669B">
        <w:rPr>
          <w:lang w:eastAsia="zh-TW"/>
        </w:rPr>
        <w:t>.</w:t>
      </w:r>
      <w:r>
        <w:rPr>
          <w:lang w:eastAsia="zh-TW"/>
        </w:rPr>
        <w:t xml:space="preserve"> </w:t>
      </w:r>
      <w:r w:rsidR="008A7B2C">
        <w:rPr>
          <w:lang w:eastAsia="zh-TW"/>
        </w:rPr>
        <w:t xml:space="preserve">The relative </w:t>
      </w:r>
      <w:r w:rsidR="00CC0237">
        <w:rPr>
          <w:lang w:eastAsia="zh-TW"/>
        </w:rPr>
        <w:t xml:space="preserve">merits </w:t>
      </w:r>
      <w:r w:rsidR="000725B7">
        <w:rPr>
          <w:lang w:eastAsia="zh-TW"/>
        </w:rPr>
        <w:t xml:space="preserve">and possible drawbacks </w:t>
      </w:r>
      <w:r w:rsidR="00CC0237">
        <w:rPr>
          <w:lang w:eastAsia="zh-TW"/>
        </w:rPr>
        <w:t>of each sub</w:t>
      </w:r>
      <w:r w:rsidR="000725B7">
        <w:rPr>
          <w:lang w:eastAsia="zh-TW"/>
        </w:rPr>
        <w:t>-</w:t>
      </w:r>
      <w:r w:rsidR="00CC0237">
        <w:rPr>
          <w:lang w:eastAsia="zh-TW"/>
        </w:rPr>
        <w:t xml:space="preserve">option are discussed below. </w:t>
      </w:r>
    </w:p>
    <w:p w14:paraId="461BC9DC" w14:textId="08659E23" w:rsidR="00AD21F1" w:rsidRPr="0082669B" w:rsidRDefault="008663F6" w:rsidP="00613F4E">
      <w:pPr>
        <w:pStyle w:val="Heading3"/>
      </w:pPr>
      <w:bookmarkStart w:id="65" w:name="_Toc76481425"/>
      <w:bookmarkStart w:id="66" w:name="_Toc76555294"/>
      <w:bookmarkStart w:id="67" w:name="_Toc77081949"/>
      <w:bookmarkStart w:id="68" w:name="_Toc77086750"/>
      <w:bookmarkStart w:id="69" w:name="_Toc78190961"/>
      <w:r>
        <w:t xml:space="preserve">Option 2.1 </w:t>
      </w:r>
      <w:r w:rsidR="003A57CA">
        <w:t>–</w:t>
      </w:r>
      <w:r>
        <w:t xml:space="preserve"> </w:t>
      </w:r>
      <w:r w:rsidR="0084221E" w:rsidRPr="0084221E">
        <w:t>an 82 MHz allocation limit applied across all sub-1 GHz band holdings</w:t>
      </w:r>
      <w:bookmarkEnd w:id="65"/>
      <w:bookmarkEnd w:id="66"/>
      <w:bookmarkEnd w:id="67"/>
      <w:bookmarkEnd w:id="68"/>
      <w:bookmarkEnd w:id="69"/>
    </w:p>
    <w:p w14:paraId="491A42FD" w14:textId="6584218E" w:rsidR="0050098C" w:rsidRDefault="0050098C" w:rsidP="00686C33">
      <w:r>
        <w:t>This option reflects the ACCC’s recommended approach, and is the option preferred by TPG.</w:t>
      </w:r>
    </w:p>
    <w:p w14:paraId="68A5EB39" w14:textId="3282D3B9" w:rsidR="00AD21F1" w:rsidRDefault="001A19E8" w:rsidP="00686C33">
      <w:r>
        <w:lastRenderedPageBreak/>
        <w:t>Compared to option 1, option 2</w:t>
      </w:r>
      <w:r w:rsidR="008663F6">
        <w:t>.1</w:t>
      </w:r>
      <w:r>
        <w:t xml:space="preserve"> provides the opportunity for greater competitive tension at auction (supporting </w:t>
      </w:r>
      <w:r w:rsidR="0071225F" w:rsidRPr="0071225F">
        <w:t>criteri</w:t>
      </w:r>
      <w:r w:rsidR="004E569C">
        <w:t>on</w:t>
      </w:r>
      <w:r w:rsidR="0071225F" w:rsidRPr="0071225F">
        <w:t xml:space="preserve"> </w:t>
      </w:r>
      <w:r>
        <w:t>1 by providing more opportunity for an efficient allocation of spectrum</w:t>
      </w:r>
      <w:r w:rsidR="00F736A0">
        <w:t xml:space="preserve"> through the reduced risk of spectrum going unsold, thus unused, at the auction</w:t>
      </w:r>
      <w:r>
        <w:t xml:space="preserve">), while also supporting </w:t>
      </w:r>
      <w:r w:rsidR="0071225F">
        <w:t>criteria</w:t>
      </w:r>
      <w:r>
        <w:t xml:space="preserve"> 2, 3 and 4 by providing a reasonable opportunity for Optus to acquire additional low-band spectrum in both metropolitan and regional areas</w:t>
      </w:r>
      <w:r w:rsidR="00AD21F1">
        <w:t xml:space="preserve">, as shown in Figure </w:t>
      </w:r>
      <w:r w:rsidR="0043675C">
        <w:t>4</w:t>
      </w:r>
      <w:r w:rsidR="00AD21F1">
        <w:t xml:space="preserve"> below.</w:t>
      </w:r>
    </w:p>
    <w:p w14:paraId="5DA57D72" w14:textId="71FFB07F" w:rsidR="00AD21F1" w:rsidRDefault="00AD21F1" w:rsidP="00AD21F1">
      <w:pPr>
        <w:rPr>
          <w:lang w:eastAsia="zh-TW"/>
        </w:rPr>
      </w:pPr>
      <w:r>
        <w:rPr>
          <w:noProof/>
          <w:lang w:eastAsia="en-AU"/>
        </w:rPr>
        <w:drawing>
          <wp:inline distT="0" distB="0" distL="0" distR="0" wp14:anchorId="0F761F5B" wp14:editId="419D9603">
            <wp:extent cx="5372100" cy="425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72100" cy="4257675"/>
                    </a:xfrm>
                    <a:prstGeom prst="rect">
                      <a:avLst/>
                    </a:prstGeom>
                  </pic:spPr>
                </pic:pic>
              </a:graphicData>
            </a:graphic>
          </wp:inline>
        </w:drawing>
      </w:r>
    </w:p>
    <w:p w14:paraId="30CA618C" w14:textId="60013566" w:rsidR="00AD21F1" w:rsidRDefault="00AD21F1" w:rsidP="00AD21F1">
      <w:pPr>
        <w:pStyle w:val="Caption"/>
      </w:pPr>
      <w:r>
        <w:t xml:space="preserve">Figure </w:t>
      </w:r>
      <w:r w:rsidR="0043675C">
        <w:t>4</w:t>
      </w:r>
      <w:r>
        <w:t>: Option 2.1 – an 82 MHz limit applied across all sub-1 GHz band holdings</w:t>
      </w:r>
    </w:p>
    <w:p w14:paraId="07EFBA9E" w14:textId="5DEAE61A" w:rsidR="00850124" w:rsidRPr="007F4D3D" w:rsidRDefault="00850124" w:rsidP="00850124">
      <w:pPr>
        <w:pStyle w:val="NoSpacing"/>
        <w:rPr>
          <w:i/>
          <w:sz w:val="20"/>
          <w:szCs w:val="20"/>
        </w:rPr>
      </w:pPr>
      <w:r w:rsidRPr="007F4D3D">
        <w:rPr>
          <w:rFonts w:eastAsiaTheme="majorEastAsia"/>
          <w:i/>
          <w:sz w:val="20"/>
          <w:szCs w:val="20"/>
        </w:rPr>
        <w:lastRenderedPageBreak/>
        <w:t xml:space="preserve">(Dark colours represent existing sub-1 GHz spectrum licence holdings, checked colours represent the </w:t>
      </w:r>
      <w:r>
        <w:rPr>
          <w:rFonts w:eastAsiaTheme="majorEastAsia"/>
          <w:i/>
          <w:sz w:val="20"/>
          <w:szCs w:val="20"/>
        </w:rPr>
        <w:t>amount each bidder could acquire if they bid up their allocation limit (noting that there are only</w:t>
      </w:r>
      <w:r w:rsidRPr="00423F5B">
        <w:rPr>
          <w:rFonts w:eastAsiaTheme="majorEastAsia"/>
          <w:i/>
          <w:sz w:val="20"/>
          <w:szCs w:val="20"/>
        </w:rPr>
        <w:t xml:space="preserve"> </w:t>
      </w:r>
      <w:r w:rsidRPr="007F4D3D">
        <w:rPr>
          <w:rFonts w:eastAsiaTheme="majorEastAsia"/>
          <w:i/>
          <w:sz w:val="20"/>
          <w:szCs w:val="20"/>
        </w:rPr>
        <w:t xml:space="preserve">7 lots available in each </w:t>
      </w:r>
      <w:r>
        <w:rPr>
          <w:rFonts w:eastAsiaTheme="majorEastAsia"/>
          <w:i/>
          <w:sz w:val="20"/>
          <w:szCs w:val="20"/>
        </w:rPr>
        <w:t xml:space="preserve">licence </w:t>
      </w:r>
      <w:r w:rsidRPr="00423F5B">
        <w:rPr>
          <w:rFonts w:eastAsiaTheme="majorEastAsia"/>
          <w:i/>
          <w:sz w:val="20"/>
          <w:szCs w:val="20"/>
        </w:rPr>
        <w:t xml:space="preserve">area </w:t>
      </w:r>
      <w:r>
        <w:rPr>
          <w:rFonts w:eastAsiaTheme="majorEastAsia"/>
          <w:i/>
          <w:sz w:val="20"/>
          <w:szCs w:val="20"/>
        </w:rPr>
        <w:t>at the auction, so not all bidders will be able to bid up to the full amount of their cap).</w:t>
      </w:r>
      <w:r w:rsidRPr="007F4D3D">
        <w:rPr>
          <w:rFonts w:eastAsiaTheme="majorEastAsia"/>
          <w:i/>
          <w:sz w:val="20"/>
          <w:szCs w:val="20"/>
        </w:rPr>
        <w:t>)</w:t>
      </w:r>
      <w:r w:rsidR="00AF0046">
        <w:rPr>
          <w:rFonts w:eastAsiaTheme="majorEastAsia"/>
          <w:i/>
          <w:sz w:val="20"/>
          <w:szCs w:val="20"/>
        </w:rPr>
        <w:t xml:space="preserve"> If TPG and Optus each choose to take up the offer of a set-aside of spectrum in the 900 MHz band, they would each acquire one lot of spectrum in both a metropolitan and a regional area, counting towards their overall cap.</w:t>
      </w:r>
    </w:p>
    <w:p w14:paraId="35290A06" w14:textId="28D37FB1" w:rsidR="003F2F92" w:rsidRDefault="003F2F92" w:rsidP="00686C33"/>
    <w:p w14:paraId="6F2DC88D" w14:textId="296A780D" w:rsidR="00820F57" w:rsidRDefault="003F2F92" w:rsidP="00686C33">
      <w:r>
        <w:t xml:space="preserve">The ACCC stated that an allocation limit of 82 MHz will </w:t>
      </w:r>
      <w:r w:rsidR="005373D8">
        <w:t>“</w:t>
      </w:r>
      <w:r>
        <w:t>provide a reasonable opportunity for Optus to acquire the spectrum it needs to compete effectively in the mobile services market in the medium to long term, but does not prevent Telstra and TPG from participating in a potential price-based allocation.</w:t>
      </w:r>
      <w:r w:rsidRPr="003F2F92">
        <w:t xml:space="preserve"> </w:t>
      </w:r>
      <w:r>
        <w:t>In doing so, the recommended allocation limit will promote competition and investment in the mobile services market, including in regional Australia and support the deployment of 4G and 5G technologies to the benefit of consumers”.</w:t>
      </w:r>
      <w:r>
        <w:rPr>
          <w:rStyle w:val="FootnoteReference"/>
        </w:rPr>
        <w:footnoteReference w:id="25"/>
      </w:r>
    </w:p>
    <w:p w14:paraId="55CA058D" w14:textId="006C8352" w:rsidR="00990BD7" w:rsidRDefault="00990BD7" w:rsidP="00231A87">
      <w:r>
        <w:t xml:space="preserve">As outlined under option 1 above, Optus </w:t>
      </w:r>
      <w:r w:rsidRPr="00423F5B">
        <w:t xml:space="preserve">argued that the proposed 82 MHz limit should be reduced to 72 MHz to support the competitive rollout of 5G. </w:t>
      </w:r>
      <w:r w:rsidR="00C60133" w:rsidRPr="008E6EEC">
        <w:t>Conversely</w:t>
      </w:r>
      <w:r w:rsidR="00C60133">
        <w:t xml:space="preserve">, Telstra has argued that a limit of </w:t>
      </w:r>
      <w:r w:rsidR="00E32C23">
        <w:t>82 </w:t>
      </w:r>
      <w:r w:rsidR="00C60133">
        <w:t xml:space="preserve">MHz will </w:t>
      </w:r>
      <w:r w:rsidR="00C60133">
        <w:lastRenderedPageBreak/>
        <w:t xml:space="preserve">constrain it </w:t>
      </w:r>
      <w:r w:rsidR="00303248">
        <w:t>because such a limit will decrease the amount of spectrum Telstra can access to deliver or improve services to its existing customer base (because it will not have the ability to bid to maintain access to 6.8 MHz of spectrum it currently holds under apparatus licences in the 900 MHz band</w:t>
      </w:r>
      <w:r w:rsidR="000A3BB5">
        <w:t>, although it could acquire 10 MHz of its existing 16.8 MHz of apparatus-licensed holdings</w:t>
      </w:r>
      <w:r w:rsidR="00303248">
        <w:t xml:space="preserve">). </w:t>
      </w:r>
      <w:r w:rsidR="00465FB8">
        <w:t xml:space="preserve">It suggested that efficiency and overall consumer benefits will be promoted by spectrum being allocated to where it can be used most intensively, and suggested that because Telstra has relatively little spectrum in regional areas </w:t>
      </w:r>
      <w:r w:rsidR="00475958">
        <w:t>where it has a greater share of</w:t>
      </w:r>
      <w:r w:rsidR="00465FB8">
        <w:t xml:space="preserve"> subscribers and traffic, Telstra would need to rely on site densification if it is to meet customers’ </w:t>
      </w:r>
      <w:r w:rsidR="00475958">
        <w:t xml:space="preserve">increasing </w:t>
      </w:r>
      <w:r w:rsidR="00465FB8">
        <w:t xml:space="preserve">demand for data </w:t>
      </w:r>
      <w:r w:rsidR="00AC3362">
        <w:t>(</w:t>
      </w:r>
      <w:r w:rsidR="00465FB8">
        <w:t xml:space="preserve">which </w:t>
      </w:r>
      <w:r w:rsidR="00AC3362">
        <w:t xml:space="preserve">it argues </w:t>
      </w:r>
      <w:r w:rsidR="00465FB8">
        <w:t>would be more costly than obtaining additional spectrum</w:t>
      </w:r>
      <w:r w:rsidR="00AC3362">
        <w:t>)</w:t>
      </w:r>
      <w:r w:rsidR="00497685">
        <w:t>, or alternatively to set higher prices for end-users to otherwise seek to manage demand</w:t>
      </w:r>
      <w:r w:rsidR="00465FB8">
        <w:t xml:space="preserve">. </w:t>
      </w:r>
      <w:r w:rsidR="00475958">
        <w:t xml:space="preserve">Telstra has argued that the </w:t>
      </w:r>
      <w:r w:rsidR="00497685">
        <w:t xml:space="preserve">constraints on its network </w:t>
      </w:r>
      <w:r w:rsidR="00475958">
        <w:t xml:space="preserve">that </w:t>
      </w:r>
      <w:r w:rsidR="00AA6E14">
        <w:t xml:space="preserve">could </w:t>
      </w:r>
      <w:r w:rsidR="00497685">
        <w:t xml:space="preserve">arise </w:t>
      </w:r>
      <w:r w:rsidR="00AA6E14">
        <w:t xml:space="preserve">from </w:t>
      </w:r>
      <w:r w:rsidR="00497685">
        <w:t>an 82</w:t>
      </w:r>
      <w:r>
        <w:t> </w:t>
      </w:r>
      <w:r w:rsidR="00497685">
        <w:t>MHz limit</w:t>
      </w:r>
      <w:r w:rsidR="00475958">
        <w:t xml:space="preserve"> would </w:t>
      </w:r>
      <w:r w:rsidR="00497685">
        <w:t>weaken competition in downstream markets</w:t>
      </w:r>
      <w:r w:rsidR="00C42B7E">
        <w:t xml:space="preserve"> due to reduced competitive pressure on other operators</w:t>
      </w:r>
      <w:r w:rsidR="00497685">
        <w:t>.</w:t>
      </w:r>
      <w:r>
        <w:rPr>
          <w:rStyle w:val="FootnoteReference"/>
        </w:rPr>
        <w:footnoteReference w:id="26"/>
      </w:r>
      <w:r>
        <w:t xml:space="preserve"> </w:t>
      </w:r>
      <w:r w:rsidR="00465FB8" w:rsidRPr="00423F5B">
        <w:t>Telstra submitted analysis to the Department suggesting that a limit of 82</w:t>
      </w:r>
      <w:r w:rsidR="008C235C">
        <w:t> </w:t>
      </w:r>
      <w:r w:rsidR="00465FB8" w:rsidRPr="00423F5B">
        <w:t xml:space="preserve">MHz could potentially leave 1.4 million people who rely on Telstra’s network in outer regional and remote areas worse off by up to $1,210 per person </w:t>
      </w:r>
      <w:r w:rsidR="00465FB8" w:rsidRPr="00423F5B">
        <w:lastRenderedPageBreak/>
        <w:t>per year by 2035 (in March 2021 dollars) and would reduce overall consumer welfare</w:t>
      </w:r>
      <w:r w:rsidR="00465FB8" w:rsidRPr="00990BD7">
        <w:t>.</w:t>
      </w:r>
      <w:r w:rsidRPr="00990BD7">
        <w:rPr>
          <w:rStyle w:val="FootnoteReference"/>
        </w:rPr>
        <w:footnoteReference w:id="27"/>
      </w:r>
      <w:r w:rsidR="00091972" w:rsidRPr="00990BD7">
        <w:t xml:space="preserve"> </w:t>
      </w:r>
      <w:r w:rsidR="002E3E06">
        <w:t>Similarly</w:t>
      </w:r>
      <w:r w:rsidR="002E3E06" w:rsidRPr="0058077D">
        <w:t xml:space="preserve">, </w:t>
      </w:r>
      <w:r w:rsidR="002E3E06">
        <w:t xml:space="preserve">the Regional Rural and Remote Communication Coalition and WA Farmers </w:t>
      </w:r>
      <w:r w:rsidR="002E3E06" w:rsidRPr="00141D98">
        <w:t>both made submissions to the Department expressing concerns that Telstra would lose spectrum under the proposed 82 MHz allocation limit, and that service quality to regional and rural users may suffer as a result.</w:t>
      </w:r>
    </w:p>
    <w:p w14:paraId="2D7F6383" w14:textId="3C5AE636" w:rsidR="008E1BA8" w:rsidRDefault="009B13A8" w:rsidP="00F37261">
      <w:r>
        <w:t xml:space="preserve">The ACCC </w:t>
      </w:r>
      <w:r w:rsidR="00231A87">
        <w:t>o</w:t>
      </w:r>
      <w:r w:rsidR="000725B7">
        <w:t>p</w:t>
      </w:r>
      <w:r w:rsidR="00231A87">
        <w:t>pose</w:t>
      </w:r>
      <w:r w:rsidR="001C163A">
        <w:t>s</w:t>
      </w:r>
      <w:r>
        <w:t xml:space="preserve"> Telstra’s position, noting that, “</w:t>
      </w:r>
      <w:r w:rsidRPr="0033390A">
        <w:t>Determining the spectrum requirements of an operator based on its existing customer base at any given point risks entrenching existing market structure, and restricts the ability of operators to improve their services in order to gain market shares over time”</w:t>
      </w:r>
      <w:r>
        <w:rPr>
          <w:rStyle w:val="FootnoteReference"/>
        </w:rPr>
        <w:footnoteReference w:id="28"/>
      </w:r>
      <w:r>
        <w:t xml:space="preserve">. </w:t>
      </w:r>
      <w:r w:rsidR="006C0399">
        <w:t xml:space="preserve">The Department agrees with Telstra’s assessment that operators can choose to invest in site densification as an alternative to obtaining more spectrum, but </w:t>
      </w:r>
      <w:r w:rsidR="006C40BF">
        <w:t xml:space="preserve">notes </w:t>
      </w:r>
      <w:r w:rsidR="006C0399">
        <w:t xml:space="preserve">that Telstra’s arguments about the relative cost of this would also apply to Optus </w:t>
      </w:r>
      <w:r w:rsidR="006C40BF">
        <w:t xml:space="preserve">and any other competing networks </w:t>
      </w:r>
      <w:r w:rsidR="006C0399">
        <w:t>(and imply that Telstra has enjoyed a cost advantage to date given its considerable low-band holdings compared to Optus</w:t>
      </w:r>
      <w:r w:rsidR="00BF03FD">
        <w:t>)</w:t>
      </w:r>
      <w:r w:rsidR="006C0399">
        <w:t xml:space="preserve">. </w:t>
      </w:r>
      <w:r w:rsidR="00990BD7" w:rsidRPr="008E1BA8">
        <w:t xml:space="preserve">The Department accepts the ACCC’s view that in the long term, facilitating competition in regional and remote </w:t>
      </w:r>
      <w:r w:rsidR="00990BD7" w:rsidRPr="008E1BA8">
        <w:lastRenderedPageBreak/>
        <w:t xml:space="preserve">areas is the most effective way to support the interests of consumers in these areas. </w:t>
      </w:r>
    </w:p>
    <w:p w14:paraId="6077EA92" w14:textId="34250910" w:rsidR="00F37261" w:rsidRDefault="00F37261" w:rsidP="00F37261">
      <w:r w:rsidRPr="008E1BA8">
        <w:t>In addition, as noted above, the allocation limits will need to take account of the overlapping boundaries between the proposed major population area and the existing 850 MHz spectrum licence boundaries. The effect of a larger metropolitan area is that under option 2.1, Telstra would be able to bid for two of the larger metropolitan lots to be auctioned, with the result that Telstra would be able to obtain holdings of 92 MHz in some areas (those that are covered by its existing regional holdings but would be included in the larger m</w:t>
      </w:r>
      <w:r w:rsidR="00804007" w:rsidRPr="008E1BA8">
        <w:t xml:space="preserve">ajor population area </w:t>
      </w:r>
      <w:r w:rsidRPr="008E1BA8">
        <w:t>to be auctioned). This would ameliorate some of Telstra’s concerns about losing access to existing regional spectrum holdings, as in these “overlap areas” Telstra would not need to lose spectrum (and in fact could bid for 3.2 MHz more, or a total of 10 MHz more usable spectrum than it currently holds).</w:t>
      </w:r>
      <w:r>
        <w:t xml:space="preserve"> </w:t>
      </w:r>
      <w:r w:rsidR="008E1BA8">
        <w:t xml:space="preserve">In the smaller population area covered by the regional area to be auctioned, </w:t>
      </w:r>
      <w:r w:rsidR="008E1BA8" w:rsidRPr="008E1BA8">
        <w:t xml:space="preserve">option 2.1 would allow Telstra the opportunity to acquire the same amount of </w:t>
      </w:r>
      <w:r w:rsidR="008E1BA8" w:rsidRPr="008E1BA8">
        <w:rPr>
          <w:i/>
        </w:rPr>
        <w:t>usable</w:t>
      </w:r>
      <w:r w:rsidR="008E1BA8" w:rsidRPr="008E1BA8">
        <w:t xml:space="preserve"> spectrum as it currently holds in some regional areas (given the 6.8 MHz of spectrum it would lose is not usable at present because it is optimised for 2G services).</w:t>
      </w:r>
    </w:p>
    <w:p w14:paraId="736EDAFF" w14:textId="6D91A600" w:rsidR="00F37261" w:rsidRDefault="00F37261" w:rsidP="00F37261">
      <w:r>
        <w:lastRenderedPageBreak/>
        <w:t xml:space="preserve">On </w:t>
      </w:r>
      <w:r w:rsidR="00190EF9">
        <w:t>the matter of overlapping boundaries</w:t>
      </w:r>
      <w:r>
        <w:t>, the Department notes that TPG expressed the view that the proposed 15 per cent te</w:t>
      </w:r>
      <w:r w:rsidR="00804007">
        <w:t>s</w:t>
      </w:r>
      <w:r>
        <w:t xml:space="preserve">t for “significance” of existing holdings was too high. However, as noted above the Department considers it appropriate to raise this threshold (to no more than 25 per cent) to take account of ACMA’s decision on geographic lot configuration. A lower threshold would undermine the intent of the 82 MHz limit by precluding MNOs from bidding for spectrum in </w:t>
      </w:r>
      <w:r w:rsidR="00501653">
        <w:t xml:space="preserve">the major population area </w:t>
      </w:r>
      <w:r>
        <w:t>due to existing holdings covering a relatively small proportion, by population, of the licence area to be auctioned.</w:t>
      </w:r>
    </w:p>
    <w:p w14:paraId="66183D8B" w14:textId="44E1F370" w:rsidR="00322A4D" w:rsidRDefault="00F37261" w:rsidP="00B63E3B">
      <w:r>
        <w:t xml:space="preserve">On balance, and after considering the views expressed in consultation responses and the advice from the ACCC, the Department has assessed option 2.1 as achieving “good” outcomes against assessment criteria 1, 2 and 4, and very good outcomes against assessment criterion 3, for the reasons outlined above. </w:t>
      </w:r>
    </w:p>
    <w:p w14:paraId="2824557B" w14:textId="04928CE0" w:rsidR="008D16E9" w:rsidRPr="008D16E9" w:rsidRDefault="008D16E9" w:rsidP="00CB6176">
      <w:pPr>
        <w:pStyle w:val="Heading3"/>
      </w:pPr>
      <w:bookmarkStart w:id="70" w:name="_Toc76481426"/>
      <w:bookmarkStart w:id="71" w:name="_Toc76555295"/>
      <w:bookmarkStart w:id="72" w:name="_Toc77081950"/>
      <w:bookmarkStart w:id="73" w:name="_Toc77086751"/>
      <w:bookmarkStart w:id="74" w:name="_Toc78190962"/>
      <w:r w:rsidRPr="00B60566">
        <w:lastRenderedPageBreak/>
        <w:t xml:space="preserve">Option </w:t>
      </w:r>
      <w:r w:rsidR="0084221E" w:rsidRPr="007B5DA3">
        <w:t>2.2</w:t>
      </w:r>
      <w:r w:rsidRPr="00B60566">
        <w:t xml:space="preserve"> </w:t>
      </w:r>
      <w:r>
        <w:t>–</w:t>
      </w:r>
      <w:r w:rsidRPr="00B60566">
        <w:t xml:space="preserve"> an 82 MHz allocation limit applied across all metropolitan sub-1 GHz band holdings and a 92 MHz allocation limit applied across all regional sub-1 GHz band holdings</w:t>
      </w:r>
      <w:bookmarkEnd w:id="70"/>
      <w:bookmarkEnd w:id="71"/>
      <w:bookmarkEnd w:id="72"/>
      <w:bookmarkEnd w:id="73"/>
      <w:bookmarkEnd w:id="74"/>
    </w:p>
    <w:p w14:paraId="4CB22EAC" w14:textId="072A7F28" w:rsidR="008E1BA8" w:rsidRDefault="00342C0E" w:rsidP="008E1BA8">
      <w:r>
        <w:t>Option</w:t>
      </w:r>
      <w:r w:rsidR="001A6433">
        <w:t xml:space="preserve"> </w:t>
      </w:r>
      <w:r>
        <w:t xml:space="preserve">2.2 </w:t>
      </w:r>
      <w:r w:rsidR="00C53CFC">
        <w:t>would apply the ACCC’s recommended 82 MH</w:t>
      </w:r>
      <w:r w:rsidR="00422F4F">
        <w:t>z</w:t>
      </w:r>
      <w:r w:rsidR="00C53CFC">
        <w:t xml:space="preserve"> limit </w:t>
      </w:r>
      <w:r w:rsidR="00C53CFC" w:rsidRPr="005D0B8D">
        <w:t>across the largest area (by population) to be auctioned, and support investment in areas with more dispersed population by applying a higher limit (92 MHz) to those areas</w:t>
      </w:r>
      <w:r w:rsidR="00C53CFC" w:rsidRPr="005A5817">
        <w:t>.</w:t>
      </w:r>
      <w:r w:rsidR="008E1BA8">
        <w:t xml:space="preserve"> </w:t>
      </w:r>
    </w:p>
    <w:p w14:paraId="25D35A7F" w14:textId="106605D8" w:rsidR="00C53CFC" w:rsidRDefault="00C53CFC" w:rsidP="00C53CFC">
      <w:r>
        <w:t xml:space="preserve">The Department notes that given ACMA’s decision that the regional lot to be auctioned will be substantially smaller than the existing 850 MHz licence areas (and consequently covers a lower and more geographically dispersed population), </w:t>
      </w:r>
      <w:r w:rsidRPr="005D0B8D">
        <w:t>the relative difference between options 2.1 and 2.2 is reduced</w:t>
      </w:r>
      <w:r>
        <w:t xml:space="preserve"> compared to the scenario in which the boundaries of the licences to be auctioned match the boundaries of the existing 850 MHz licences. </w:t>
      </w:r>
    </w:p>
    <w:p w14:paraId="71C1CCED" w14:textId="7CD2F2EE" w:rsidR="002609AA" w:rsidRDefault="00431481" w:rsidP="00CB0E3C">
      <w:r>
        <w:t>Compared with option 2</w:t>
      </w:r>
      <w:r w:rsidR="003F2F92">
        <w:t>.1</w:t>
      </w:r>
      <w:r>
        <w:t xml:space="preserve">, this option would create increased competitive tension </w:t>
      </w:r>
      <w:r w:rsidR="00422F4F">
        <w:t>for</w:t>
      </w:r>
      <w:r>
        <w:t xml:space="preserve"> regional </w:t>
      </w:r>
      <w:r w:rsidR="00422F4F">
        <w:t>lots</w:t>
      </w:r>
      <w:r>
        <w:t xml:space="preserve">, and </w:t>
      </w:r>
      <w:r w:rsidR="00884E93">
        <w:t xml:space="preserve">compared with option 1 would create increased competitive tension </w:t>
      </w:r>
      <w:r w:rsidR="00422F4F">
        <w:t>for</w:t>
      </w:r>
      <w:r w:rsidR="00884E93">
        <w:t xml:space="preserve"> both metropolitan and regional </w:t>
      </w:r>
      <w:r w:rsidR="00422F4F">
        <w:t>lots</w:t>
      </w:r>
      <w:r w:rsidR="00884E93">
        <w:t xml:space="preserve">. </w:t>
      </w:r>
      <w:r w:rsidR="00CF30EA">
        <w:t xml:space="preserve">This option may improve allocative efficiency by enabling greater demand-shifting between the 850 MHz and 900 MHz bands during the </w:t>
      </w:r>
      <w:r w:rsidR="00CF30EA">
        <w:lastRenderedPageBreak/>
        <w:t>auction, which would reduce the risk of unsold lots and/or some spectrum selling at the starting price, and increase the likelihood of an efficient allocation of spectrum.</w:t>
      </w:r>
    </w:p>
    <w:p w14:paraId="62EE9F81" w14:textId="251E41F3" w:rsidR="008E1BA8" w:rsidRDefault="008E1BA8" w:rsidP="00CB0E3C">
      <w:r>
        <w:t xml:space="preserve">On previous occasions (for example, for the 3.6 GHz spectrum auction conducted in 2018) the Government has set a higher allocation limit for regional areas in order to encourage investment in regional infrastructure. Option 2.2, which would allow bidders to acquire up to 92 MHz of regional sub-1 GHz spectrum holdings, may support </w:t>
      </w:r>
      <w:r w:rsidRPr="00DE68CD">
        <w:t>efficient delivery of 4G and 5G services in remote and underserved areas</w:t>
      </w:r>
      <w:r>
        <w:t>.</w:t>
      </w:r>
    </w:p>
    <w:p w14:paraId="36D0BB44" w14:textId="042429A4" w:rsidR="00246AF3" w:rsidRDefault="00A3593C" w:rsidP="00CB0E3C">
      <w:r>
        <w:t>Option 2.2</w:t>
      </w:r>
      <w:r w:rsidR="00884E93">
        <w:t xml:space="preserve"> </w:t>
      </w:r>
      <w:r w:rsidR="00431481">
        <w:t xml:space="preserve">would allow Telstra </w:t>
      </w:r>
      <w:r w:rsidR="000B65A5">
        <w:t xml:space="preserve">the opportunity to </w:t>
      </w:r>
      <w:r w:rsidR="00C53CFC">
        <w:t xml:space="preserve">bid to </w:t>
      </w:r>
      <w:r w:rsidR="000B65A5">
        <w:t>effectively</w:t>
      </w:r>
      <w:r w:rsidR="00431481">
        <w:t xml:space="preserve"> retain the same </w:t>
      </w:r>
      <w:r w:rsidR="00E247A4">
        <w:t xml:space="preserve">total </w:t>
      </w:r>
      <w:r w:rsidR="00431481">
        <w:t>amount of spectrum in regional Australia that it currently holds</w:t>
      </w:r>
      <w:r w:rsidR="00E247A4">
        <w:t xml:space="preserve"> </w:t>
      </w:r>
      <w:r w:rsidR="00246AF3">
        <w:t xml:space="preserve">through apparatus licences </w:t>
      </w:r>
      <w:r w:rsidR="00E247A4">
        <w:t>(2 x 8.4 MHz in the 900 MHz band)</w:t>
      </w:r>
      <w:r w:rsidR="00884E93">
        <w:t xml:space="preserve">, which Telstra argues is critical to it being able to </w:t>
      </w:r>
      <w:r w:rsidR="00D15CD3">
        <w:t xml:space="preserve">able to meet consumers’ increasing demand for data and to keep pace with growing expectations </w:t>
      </w:r>
      <w:r w:rsidR="00884E93">
        <w:t>without</w:t>
      </w:r>
      <w:r w:rsidR="00E22986">
        <w:t xml:space="preserve"> either</w:t>
      </w:r>
      <w:r w:rsidR="00884E93">
        <w:t xml:space="preserve"> increasing prices for consumers</w:t>
      </w:r>
      <w:r w:rsidR="00E22986">
        <w:t xml:space="preserve"> or decreasing its service </w:t>
      </w:r>
      <w:r w:rsidR="00246AF3">
        <w:t>footprint</w:t>
      </w:r>
      <w:r w:rsidR="00431481">
        <w:t>.</w:t>
      </w:r>
      <w:r w:rsidR="00E247A4">
        <w:t xml:space="preserve"> </w:t>
      </w:r>
    </w:p>
    <w:p w14:paraId="65A534E3" w14:textId="77777777" w:rsidR="000820B3" w:rsidRDefault="000820B3" w:rsidP="000820B3">
      <w:r>
        <w:rPr>
          <w:noProof/>
          <w:lang w:eastAsia="en-AU"/>
        </w:rPr>
        <w:lastRenderedPageBreak/>
        <w:drawing>
          <wp:inline distT="0" distB="0" distL="0" distR="0" wp14:anchorId="5A90F565" wp14:editId="062301CE">
            <wp:extent cx="5067300" cy="427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67300" cy="4276725"/>
                    </a:xfrm>
                    <a:prstGeom prst="rect">
                      <a:avLst/>
                    </a:prstGeom>
                  </pic:spPr>
                </pic:pic>
              </a:graphicData>
            </a:graphic>
          </wp:inline>
        </w:drawing>
      </w:r>
    </w:p>
    <w:p w14:paraId="0DEACB73" w14:textId="45007801" w:rsidR="000820B3" w:rsidRDefault="000820B3" w:rsidP="000820B3">
      <w:pPr>
        <w:pStyle w:val="Caption"/>
      </w:pPr>
      <w:r>
        <w:t xml:space="preserve">Figure </w:t>
      </w:r>
      <w:r w:rsidR="0043675C">
        <w:t>5</w:t>
      </w:r>
      <w:r>
        <w:t xml:space="preserve">: Option 2.2 – </w:t>
      </w:r>
      <w:r w:rsidRPr="000343D0">
        <w:t>an 82 MHz allocation limit applied across all metropolitan sub-1 GHz band holdings and a 92 MHz allocation limit applied across all regional sub-1 GHz band holdings</w:t>
      </w:r>
    </w:p>
    <w:p w14:paraId="038BAC3C" w14:textId="77777777" w:rsidR="000820B3" w:rsidRPr="00423F5B" w:rsidRDefault="000820B3" w:rsidP="000820B3">
      <w:pPr>
        <w:pStyle w:val="NoSpacing"/>
        <w:rPr>
          <w:rFonts w:eastAsiaTheme="majorEastAsia"/>
          <w:i/>
          <w:sz w:val="20"/>
          <w:szCs w:val="20"/>
        </w:rPr>
      </w:pPr>
      <w:r w:rsidRPr="00423F5B">
        <w:rPr>
          <w:rFonts w:eastAsiaTheme="majorEastAsia"/>
          <w:i/>
          <w:sz w:val="20"/>
          <w:szCs w:val="20"/>
        </w:rPr>
        <w:t xml:space="preserve">*Optus could only acquire 7th regional lot if TPG declines set-aside </w:t>
      </w:r>
    </w:p>
    <w:p w14:paraId="205B28C7" w14:textId="77777777" w:rsidR="000820B3" w:rsidRPr="00423F5B" w:rsidRDefault="000820B3" w:rsidP="000820B3">
      <w:pPr>
        <w:pStyle w:val="NoSpacing"/>
        <w:rPr>
          <w:rFonts w:eastAsiaTheme="majorEastAsia"/>
          <w:i/>
          <w:sz w:val="20"/>
          <w:szCs w:val="20"/>
        </w:rPr>
      </w:pPr>
    </w:p>
    <w:p w14:paraId="29D83376" w14:textId="7784AB2E" w:rsidR="00D96902" w:rsidRDefault="000820B3" w:rsidP="00747F8F">
      <w:pPr>
        <w:pStyle w:val="NoSpacing"/>
        <w:rPr>
          <w:rFonts w:eastAsiaTheme="majorEastAsia"/>
          <w:i/>
          <w:sz w:val="20"/>
          <w:szCs w:val="20"/>
        </w:rPr>
      </w:pPr>
      <w:r w:rsidRPr="00423F5B">
        <w:rPr>
          <w:rFonts w:eastAsiaTheme="majorEastAsia"/>
          <w:i/>
          <w:sz w:val="20"/>
          <w:szCs w:val="20"/>
        </w:rPr>
        <w:t xml:space="preserve">(Dark colours represent existing sub-1 GHz spectrum licence holdings, checked colours represent the </w:t>
      </w:r>
      <w:r w:rsidR="008E6735">
        <w:rPr>
          <w:rFonts w:eastAsiaTheme="majorEastAsia"/>
          <w:i/>
          <w:sz w:val="20"/>
          <w:szCs w:val="20"/>
        </w:rPr>
        <w:t>amount each bidder could acquire if they bid up their allocation limit (noting that there are only</w:t>
      </w:r>
      <w:r w:rsidR="008E6735" w:rsidRPr="00423F5B">
        <w:rPr>
          <w:rFonts w:eastAsiaTheme="majorEastAsia"/>
          <w:i/>
          <w:sz w:val="20"/>
          <w:szCs w:val="20"/>
        </w:rPr>
        <w:t xml:space="preserve"> </w:t>
      </w:r>
      <w:r w:rsidR="008E6735" w:rsidRPr="007F4D3D">
        <w:rPr>
          <w:rFonts w:eastAsiaTheme="majorEastAsia"/>
          <w:i/>
          <w:sz w:val="20"/>
          <w:szCs w:val="20"/>
        </w:rPr>
        <w:t xml:space="preserve">7 lots available in each </w:t>
      </w:r>
      <w:r w:rsidR="008E6735">
        <w:rPr>
          <w:rFonts w:eastAsiaTheme="majorEastAsia"/>
          <w:i/>
          <w:sz w:val="20"/>
          <w:szCs w:val="20"/>
        </w:rPr>
        <w:t xml:space="preserve">licence </w:t>
      </w:r>
      <w:r w:rsidR="008E6735" w:rsidRPr="00423F5B">
        <w:rPr>
          <w:rFonts w:eastAsiaTheme="majorEastAsia"/>
          <w:i/>
          <w:sz w:val="20"/>
          <w:szCs w:val="20"/>
        </w:rPr>
        <w:t xml:space="preserve">area </w:t>
      </w:r>
      <w:r w:rsidR="008E6735">
        <w:rPr>
          <w:rFonts w:eastAsiaTheme="majorEastAsia"/>
          <w:i/>
          <w:sz w:val="20"/>
          <w:szCs w:val="20"/>
        </w:rPr>
        <w:t>at the auction, so not all bidders will be able to bid up to the full amount of their cap).</w:t>
      </w:r>
      <w:r w:rsidR="008E6735" w:rsidRPr="007F4D3D">
        <w:rPr>
          <w:rFonts w:eastAsiaTheme="majorEastAsia"/>
          <w:i/>
          <w:sz w:val="20"/>
          <w:szCs w:val="20"/>
        </w:rPr>
        <w:t>)</w:t>
      </w:r>
      <w:r w:rsidR="00AF0046">
        <w:rPr>
          <w:rFonts w:eastAsiaTheme="majorEastAsia"/>
          <w:i/>
          <w:sz w:val="20"/>
          <w:szCs w:val="20"/>
        </w:rPr>
        <w:t xml:space="preserve"> If TPG and Optus each choose to take up the offer of a set-aside of spectrum in the 900 MHz band, they would each acquire one lot of spectrum </w:t>
      </w:r>
      <w:r w:rsidR="00AF0046">
        <w:rPr>
          <w:rFonts w:eastAsiaTheme="majorEastAsia"/>
          <w:i/>
          <w:sz w:val="20"/>
          <w:szCs w:val="20"/>
        </w:rPr>
        <w:lastRenderedPageBreak/>
        <w:t>in both a metropolitan and a regional area, counting towards their overall cap.</w:t>
      </w:r>
    </w:p>
    <w:p w14:paraId="3008DFBF" w14:textId="77777777" w:rsidR="00F364FB" w:rsidRDefault="00F364FB" w:rsidP="00747F8F">
      <w:pPr>
        <w:pStyle w:val="NoSpacing"/>
      </w:pPr>
    </w:p>
    <w:p w14:paraId="3894C944" w14:textId="0FF78DA4" w:rsidR="00246AF3" w:rsidRPr="00451C6C" w:rsidRDefault="00D96902" w:rsidP="00CB0E3C">
      <w:pPr>
        <w:rPr>
          <w:b/>
        </w:rPr>
      </w:pPr>
      <w:r>
        <w:t xml:space="preserve">This option was opposed by the ACCC, </w:t>
      </w:r>
      <w:r w:rsidR="0025003A">
        <w:t>noting that</w:t>
      </w:r>
      <w:r w:rsidR="00B861BD">
        <w:t>, “Telstra has limited 4G deployment in the 900</w:t>
      </w:r>
      <w:r w:rsidR="00422F4F">
        <w:t> </w:t>
      </w:r>
      <w:r w:rsidR="00B861BD">
        <w:t>MHz band and mainly relies on the 700 MHz band for 4G coverage. As such, the reallocation of the 900 MHz band is unlikely to affect Telstra’s provision of existing services.”</w:t>
      </w:r>
      <w:r w:rsidR="00B861BD">
        <w:rPr>
          <w:rStyle w:val="FootnoteReference"/>
        </w:rPr>
        <w:footnoteReference w:id="29"/>
      </w:r>
      <w:r w:rsidR="00B861BD">
        <w:t xml:space="preserve"> </w:t>
      </w:r>
      <w:r w:rsidR="00451C6C" w:rsidRPr="00451C6C">
        <w:rPr>
          <w:highlight w:val="black"/>
        </w:rPr>
        <w:t>XXXXXXXXXXXXXXXX</w:t>
      </w:r>
      <w:r w:rsidR="00451C6C" w:rsidRPr="00451C6C">
        <w:rPr>
          <w:b/>
          <w:highlight w:val="black"/>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w:t>
      </w:r>
      <w:r w:rsidR="00451C6C">
        <w:rPr>
          <w:b/>
        </w:rPr>
        <w:t xml:space="preserve"> </w:t>
      </w:r>
      <w:r w:rsidR="00453F5D">
        <w:rPr>
          <w:rStyle w:val="FootnoteReference"/>
        </w:rPr>
        <w:footnoteReference w:id="30"/>
      </w:r>
      <w:r w:rsidR="00012B54">
        <w:t xml:space="preserve"> </w:t>
      </w:r>
      <w:r w:rsidR="00E416F8">
        <w:t xml:space="preserve">However, the Department notes that </w:t>
      </w:r>
      <w:r w:rsidR="00C53CFC">
        <w:t>given ACMA has decided on a g</w:t>
      </w:r>
      <w:r w:rsidR="00E416F8">
        <w:t xml:space="preserve">eographic lot configuration that involves a much smaller regional lot than the existing 850 MHz licence areas, the ACCC’s concerns </w:t>
      </w:r>
      <w:r w:rsidR="00376D2F">
        <w:t>are likely to</w:t>
      </w:r>
      <w:r w:rsidR="00E416F8">
        <w:t xml:space="preserve"> be ameliorated to a degree because under option 2.2, the 82 MHz cap would apply to a large number of areas currently considered “regional” that would fall within the larger </w:t>
      </w:r>
      <w:r w:rsidR="00C53CFC">
        <w:t xml:space="preserve">major population </w:t>
      </w:r>
      <w:r w:rsidR="00E416F8">
        <w:t>area to be auctioned.</w:t>
      </w:r>
      <w:r>
        <w:t xml:space="preserve"> </w:t>
      </w:r>
    </w:p>
    <w:p w14:paraId="653C96D3" w14:textId="3421AD84" w:rsidR="00012B54" w:rsidRDefault="00012B54" w:rsidP="00012B54">
      <w:r>
        <w:lastRenderedPageBreak/>
        <w:t>The Department notes that u</w:t>
      </w:r>
      <w:r w:rsidRPr="00E416F8">
        <w:t>nder this option, Telstra could bid to retain its existing apparatus-licensed spectrum in the 900 MHz band, but its overall low-band spectrum dominance would be reduced in percentage terms. Telstra currently holds 54% of spectrum-licensed spectrum in regional areas, or 48% of regional spectrum if the 900 MHz apparatus-licensed spectrum is included. Because more low-band spectrum is being made available in this auction, in the event that Telstra bid up to its cap and acquired two lots of in both geographic areas to be auctioned, it would hold 45% of sub-1</w:t>
      </w:r>
      <w:r w:rsidR="00422F4F">
        <w:t> </w:t>
      </w:r>
      <w:r w:rsidRPr="00E416F8">
        <w:t>GHz spectrum-licensed holdings in regional areas, thereby reducing its overall low-band spectrum dominance.</w:t>
      </w:r>
    </w:p>
    <w:p w14:paraId="27086FCF" w14:textId="62C99997" w:rsidR="006E0D97" w:rsidRDefault="003E3ED7" w:rsidP="00E96C77">
      <w:r>
        <w:t xml:space="preserve">The Department assessed this option as </w:t>
      </w:r>
      <w:r w:rsidR="00E96C77">
        <w:t>achieving very good outcomes against criteri</w:t>
      </w:r>
      <w:r w:rsidR="005550F9">
        <w:t>a</w:t>
      </w:r>
      <w:r w:rsidR="00E96C77">
        <w:t xml:space="preserve"> 1</w:t>
      </w:r>
      <w:r w:rsidR="005550F9">
        <w:t xml:space="preserve"> and 4</w:t>
      </w:r>
      <w:r w:rsidR="00E96C77">
        <w:t>, and good outcomes for criteria 2</w:t>
      </w:r>
      <w:r w:rsidR="005550F9">
        <w:t xml:space="preserve"> and 3</w:t>
      </w:r>
      <w:r w:rsidR="00E96C77">
        <w:t xml:space="preserve">. On balance, </w:t>
      </w:r>
      <w:r w:rsidR="006E0D97">
        <w:t xml:space="preserve">the Department considers that </w:t>
      </w:r>
      <w:r w:rsidR="005550F9">
        <w:t>in light of ACMA’s geographic lot disaggregation decision, option 2.2 should be preferred over option 2.1.</w:t>
      </w:r>
    </w:p>
    <w:p w14:paraId="49DEB10C" w14:textId="191A4B7C" w:rsidR="00686C33" w:rsidRDefault="00686C33" w:rsidP="00686C33">
      <w:pPr>
        <w:pStyle w:val="Heading2"/>
      </w:pPr>
      <w:bookmarkStart w:id="75" w:name="_Toc76051006"/>
      <w:bookmarkStart w:id="76" w:name="_Toc75770441"/>
      <w:bookmarkStart w:id="77" w:name="_Toc76481427"/>
      <w:bookmarkStart w:id="78" w:name="_Toc76555296"/>
      <w:bookmarkStart w:id="79" w:name="_Toc77081951"/>
      <w:bookmarkStart w:id="80" w:name="_Toc77086752"/>
      <w:bookmarkStart w:id="81" w:name="_Toc78190963"/>
      <w:r>
        <w:t xml:space="preserve">Option </w:t>
      </w:r>
      <w:r w:rsidR="00A3593C">
        <w:t xml:space="preserve">3 </w:t>
      </w:r>
      <w:r>
        <w:t>– 102 MHz allocation limit applied across all sub-1 GHz band</w:t>
      </w:r>
      <w:bookmarkEnd w:id="75"/>
      <w:bookmarkEnd w:id="76"/>
      <w:r w:rsidR="006C3A02">
        <w:t xml:space="preserve"> holdings</w:t>
      </w:r>
      <w:bookmarkEnd w:id="77"/>
      <w:bookmarkEnd w:id="78"/>
      <w:bookmarkEnd w:id="79"/>
      <w:bookmarkEnd w:id="80"/>
      <w:bookmarkEnd w:id="81"/>
    </w:p>
    <w:p w14:paraId="7F3AFD9C" w14:textId="73AF2F51" w:rsidR="00686C33" w:rsidRDefault="009C1E7C" w:rsidP="00686C33">
      <w:r>
        <w:t>This opt</w:t>
      </w:r>
      <w:r w:rsidR="00FF4A77">
        <w:t xml:space="preserve">ion was put forward by Telstra. </w:t>
      </w:r>
    </w:p>
    <w:p w14:paraId="588FFC82" w14:textId="27F59113" w:rsidR="00095665" w:rsidRDefault="00937387" w:rsidP="00686C33">
      <w:r>
        <w:lastRenderedPageBreak/>
        <w:t xml:space="preserve">Compared with options 1 and </w:t>
      </w:r>
      <w:r w:rsidR="00095665">
        <w:t xml:space="preserve">2, this option would </w:t>
      </w:r>
      <w:r w:rsidR="00AE79B0">
        <w:t xml:space="preserve">provide more </w:t>
      </w:r>
      <w:r w:rsidR="00095665">
        <w:t>competitive tension and create the lowest risk of unsold lots at auction.</w:t>
      </w:r>
      <w:r w:rsidR="002F41D2">
        <w:t xml:space="preserve"> While this option would likely support the deployment of 4G and 5G technologies (</w:t>
      </w:r>
      <w:r w:rsidR="0071225F">
        <w:t>criteri</w:t>
      </w:r>
      <w:r w:rsidR="00101930">
        <w:t>on</w:t>
      </w:r>
      <w:r w:rsidR="002F41D2">
        <w:t xml:space="preserve"> </w:t>
      </w:r>
      <w:r w:rsidR="00101930">
        <w:t>2</w:t>
      </w:r>
      <w:r w:rsidR="002F41D2">
        <w:t>) by Telstra, it is also likely to constrain the deployment of these technologies by</w:t>
      </w:r>
      <w:r w:rsidR="008819DB">
        <w:t xml:space="preserve"> other bidders</w:t>
      </w:r>
      <w:r w:rsidR="006158B5">
        <w:t xml:space="preserve">, which would likely negatively impact on </w:t>
      </w:r>
      <w:r>
        <w:t>assessment criterion</w:t>
      </w:r>
      <w:r w:rsidR="006158B5">
        <w:t xml:space="preserve"> </w:t>
      </w:r>
      <w:r w:rsidR="00101930">
        <w:t>2</w:t>
      </w:r>
      <w:r w:rsidR="006158B5">
        <w:t>.</w:t>
      </w:r>
    </w:p>
    <w:p w14:paraId="731BB473" w14:textId="1A894B83" w:rsidR="009927C5" w:rsidRDefault="000A109F" w:rsidP="000A109F">
      <w:r>
        <w:t xml:space="preserve">This option may improve allocative efficiency by only lightly suppressing expressible demand from MNOs with existing spectrum holdings of more than 30 MHz of sub-1 GHz band spectrum. </w:t>
      </w:r>
      <w:r w:rsidR="00C00C27">
        <w:t xml:space="preserve">Telstra </w:t>
      </w:r>
      <w:r w:rsidR="005A11AD">
        <w:t xml:space="preserve">has argued that a 102 MHz limit would allow it to bid for and secure 43 per cent of the spectrum available at auction, which would enable it to maintain its current spectrum holdings in both regional and metropolitan areas, while securing additional spectrum to allow meet </w:t>
      </w:r>
      <w:r w:rsidR="00AF78D6">
        <w:t>its</w:t>
      </w:r>
      <w:r w:rsidR="005A11AD">
        <w:t xml:space="preserve"> expected growth in demand for new services over the 20 year period of the licences</w:t>
      </w:r>
      <w:r w:rsidR="00095AB7">
        <w:t xml:space="preserve"> and</w:t>
      </w:r>
      <w:r w:rsidR="005A11AD">
        <w:t xml:space="preserve"> still enabling Optus and TPG to secure adequate levels of spectrum to meet the government’s communications policy objectives.</w:t>
      </w:r>
      <w:r w:rsidR="00593397">
        <w:t xml:space="preserve"> Effectively, this option would create the most favourable conditions to allow Telstra to maintain its current</w:t>
      </w:r>
      <w:r w:rsidR="008819DB">
        <w:t xml:space="preserve"> dominant</w:t>
      </w:r>
      <w:r w:rsidR="00593397">
        <w:t xml:space="preserve"> market share of spectrum</w:t>
      </w:r>
      <w:r w:rsidR="000C027E">
        <w:t>. Under this option, the difference between Telstra</w:t>
      </w:r>
      <w:r w:rsidR="00711E37">
        <w:t>’s</w:t>
      </w:r>
      <w:r w:rsidR="000C027E">
        <w:t xml:space="preserve"> and Optus</w:t>
      </w:r>
      <w:r w:rsidR="00711E37">
        <w:t>’</w:t>
      </w:r>
      <w:r w:rsidR="000C027E">
        <w:t xml:space="preserve"> holdings may increase</w:t>
      </w:r>
      <w:r w:rsidR="00E32EC8">
        <w:t xml:space="preserve"> </w:t>
      </w:r>
      <w:r w:rsidR="002F0334">
        <w:t>if Telstra outbids other participants to obtain spectrum up to its cap</w:t>
      </w:r>
      <w:r w:rsidR="006F7A11">
        <w:t>,</w:t>
      </w:r>
      <w:r w:rsidR="009927C5">
        <w:t xml:space="preserve"> as shown in Figure </w:t>
      </w:r>
      <w:r w:rsidR="0043675C">
        <w:t>6</w:t>
      </w:r>
      <w:r w:rsidR="009927C5">
        <w:t xml:space="preserve"> below.</w:t>
      </w:r>
    </w:p>
    <w:p w14:paraId="78F3A8D5" w14:textId="3BE66613" w:rsidR="009927C5" w:rsidRDefault="009927C5" w:rsidP="009927C5">
      <w:pPr>
        <w:pStyle w:val="NoSpacing"/>
      </w:pPr>
      <w:r>
        <w:rPr>
          <w:noProof/>
          <w:lang w:eastAsia="en-AU"/>
        </w:rPr>
        <w:lastRenderedPageBreak/>
        <w:drawing>
          <wp:inline distT="0" distB="0" distL="0" distR="0" wp14:anchorId="10E6C6F7" wp14:editId="006B9FF7">
            <wp:extent cx="5105400" cy="461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05400" cy="4610100"/>
                    </a:xfrm>
                    <a:prstGeom prst="rect">
                      <a:avLst/>
                    </a:prstGeom>
                  </pic:spPr>
                </pic:pic>
              </a:graphicData>
            </a:graphic>
          </wp:inline>
        </w:drawing>
      </w:r>
    </w:p>
    <w:p w14:paraId="36A0FBF9" w14:textId="2022A680" w:rsidR="009927C5" w:rsidRDefault="009927C5" w:rsidP="009927C5">
      <w:pPr>
        <w:pStyle w:val="Caption"/>
      </w:pPr>
      <w:r>
        <w:t xml:space="preserve">Figure </w:t>
      </w:r>
      <w:r w:rsidR="0043675C">
        <w:t>6</w:t>
      </w:r>
      <w:r>
        <w:t xml:space="preserve">: Option </w:t>
      </w:r>
      <w:r w:rsidR="003D44DA">
        <w:t xml:space="preserve">3 </w:t>
      </w:r>
      <w:r>
        <w:t>– 102 MHz allocation limit applied across all sub-1 GHz band</w:t>
      </w:r>
    </w:p>
    <w:p w14:paraId="58EF5E64" w14:textId="77777777" w:rsidR="009927C5" w:rsidRPr="00423F5B" w:rsidRDefault="009927C5" w:rsidP="009927C5">
      <w:pPr>
        <w:pStyle w:val="NoSpacing"/>
        <w:rPr>
          <w:rFonts w:eastAsiaTheme="majorEastAsia"/>
          <w:i/>
          <w:sz w:val="20"/>
          <w:szCs w:val="20"/>
        </w:rPr>
      </w:pPr>
      <w:r w:rsidRPr="00423F5B">
        <w:rPr>
          <w:rFonts w:eastAsiaTheme="majorEastAsia"/>
          <w:i/>
          <w:sz w:val="20"/>
          <w:szCs w:val="20"/>
        </w:rPr>
        <w:t xml:space="preserve">*Optus could only acquire 7th lots if TPG declines set-aside </w:t>
      </w:r>
    </w:p>
    <w:p w14:paraId="4516E61C" w14:textId="77777777" w:rsidR="009927C5" w:rsidRPr="00423F5B" w:rsidRDefault="009927C5" w:rsidP="009927C5">
      <w:pPr>
        <w:pStyle w:val="NoSpacing"/>
        <w:rPr>
          <w:rFonts w:eastAsiaTheme="majorEastAsia"/>
          <w:i/>
          <w:sz w:val="20"/>
          <w:szCs w:val="20"/>
        </w:rPr>
      </w:pPr>
    </w:p>
    <w:p w14:paraId="3C3E9B13" w14:textId="41FA4B33" w:rsidR="001B7AD4" w:rsidRDefault="001B7AD4" w:rsidP="00747F8F">
      <w:pPr>
        <w:pStyle w:val="NoSpacing"/>
        <w:rPr>
          <w:rFonts w:eastAsiaTheme="majorEastAsia"/>
          <w:i/>
          <w:sz w:val="20"/>
          <w:szCs w:val="20"/>
        </w:rPr>
      </w:pPr>
      <w:r w:rsidRPr="007F4D3D">
        <w:rPr>
          <w:rFonts w:eastAsiaTheme="majorEastAsia"/>
          <w:i/>
          <w:sz w:val="20"/>
          <w:szCs w:val="20"/>
        </w:rPr>
        <w:t xml:space="preserve">(Dark colours represent existing sub-1 GHz spectrum licence holdings, checked colours represent the </w:t>
      </w:r>
      <w:r>
        <w:rPr>
          <w:rFonts w:eastAsiaTheme="majorEastAsia"/>
          <w:i/>
          <w:sz w:val="20"/>
          <w:szCs w:val="20"/>
        </w:rPr>
        <w:t>amount each bidder could acquire if they bid up their allocation limit (noting that there are only</w:t>
      </w:r>
      <w:r w:rsidRPr="00423F5B">
        <w:rPr>
          <w:rFonts w:eastAsiaTheme="majorEastAsia"/>
          <w:i/>
          <w:sz w:val="20"/>
          <w:szCs w:val="20"/>
        </w:rPr>
        <w:t xml:space="preserve"> </w:t>
      </w:r>
      <w:r w:rsidRPr="007F4D3D">
        <w:rPr>
          <w:rFonts w:eastAsiaTheme="majorEastAsia"/>
          <w:i/>
          <w:sz w:val="20"/>
          <w:szCs w:val="20"/>
        </w:rPr>
        <w:t xml:space="preserve">7 lots available in each </w:t>
      </w:r>
      <w:r>
        <w:rPr>
          <w:rFonts w:eastAsiaTheme="majorEastAsia"/>
          <w:i/>
          <w:sz w:val="20"/>
          <w:szCs w:val="20"/>
        </w:rPr>
        <w:t xml:space="preserve">licence </w:t>
      </w:r>
      <w:r w:rsidRPr="00423F5B">
        <w:rPr>
          <w:rFonts w:eastAsiaTheme="majorEastAsia"/>
          <w:i/>
          <w:sz w:val="20"/>
          <w:szCs w:val="20"/>
        </w:rPr>
        <w:t xml:space="preserve">area </w:t>
      </w:r>
      <w:r>
        <w:rPr>
          <w:rFonts w:eastAsiaTheme="majorEastAsia"/>
          <w:i/>
          <w:sz w:val="20"/>
          <w:szCs w:val="20"/>
        </w:rPr>
        <w:t>at the auction, so not all bidders will be able to bid up to the full amount of their cap).</w:t>
      </w:r>
      <w:r w:rsidRPr="007F4D3D">
        <w:rPr>
          <w:rFonts w:eastAsiaTheme="majorEastAsia"/>
          <w:i/>
          <w:sz w:val="20"/>
          <w:szCs w:val="20"/>
        </w:rPr>
        <w:t>)</w:t>
      </w:r>
      <w:r w:rsidR="00AF0046">
        <w:rPr>
          <w:rFonts w:eastAsiaTheme="majorEastAsia"/>
          <w:i/>
          <w:sz w:val="20"/>
          <w:szCs w:val="20"/>
        </w:rPr>
        <w:t xml:space="preserve"> If TPG and Optus each choose to take up the offer of a set-aside of spectrum in the 900 MHz band, they would each acquire one lot of spectrum in both a metropolitan and a regional area, counting towards their overall cap.</w:t>
      </w:r>
    </w:p>
    <w:p w14:paraId="73C47FFE" w14:textId="2EE08F34" w:rsidR="005A11AD" w:rsidRDefault="005A11AD" w:rsidP="00747F8F">
      <w:pPr>
        <w:pStyle w:val="NoSpacing"/>
      </w:pPr>
    </w:p>
    <w:p w14:paraId="06834EC7" w14:textId="54FD904F" w:rsidR="00567143" w:rsidRDefault="00723D2C" w:rsidP="000A109F">
      <w:r>
        <w:t xml:space="preserve">As noted above, </w:t>
      </w:r>
      <w:r w:rsidR="00567143" w:rsidRPr="00567143">
        <w:t xml:space="preserve">Telstra has submitted analysis suggesting that not acquiring </w:t>
      </w:r>
      <w:r w:rsidR="00012B54">
        <w:t xml:space="preserve">additional </w:t>
      </w:r>
      <w:r w:rsidR="00567143" w:rsidRPr="00567143">
        <w:t xml:space="preserve">spectrum will increase its marginal cost of capacity in regional areas, and argued that Optus can reach its rollout targets with far less spectrum than Telstra requires because Optus has a lower number of customers. </w:t>
      </w:r>
    </w:p>
    <w:p w14:paraId="5BEA4DC8" w14:textId="5DA41C53" w:rsidR="00246AF3" w:rsidRDefault="00095AB7" w:rsidP="00246AF3">
      <w:r>
        <w:t>However</w:t>
      </w:r>
      <w:r w:rsidR="00AF78D6">
        <w:t xml:space="preserve">, option </w:t>
      </w:r>
      <w:r w:rsidR="00A3593C">
        <w:t>3</w:t>
      </w:r>
      <w:r w:rsidR="00AF78D6">
        <w:t xml:space="preserve"> would likely </w:t>
      </w:r>
      <w:r w:rsidR="00FE6D39">
        <w:t xml:space="preserve">have the effect of </w:t>
      </w:r>
      <w:r w:rsidR="00AF78D6">
        <w:t>constrain</w:t>
      </w:r>
      <w:r w:rsidR="00FE6D39">
        <w:t>ing</w:t>
      </w:r>
      <w:r w:rsidR="00AF78D6">
        <w:t xml:space="preserve"> Optus’ ability to acquire the amount of spectrum it would need to support the </w:t>
      </w:r>
      <w:r w:rsidR="002261E3">
        <w:t xml:space="preserve">competitive </w:t>
      </w:r>
      <w:r w:rsidR="00AF78D6">
        <w:t>deployment of 5G technologies in regional Australia, while maint</w:t>
      </w:r>
      <w:r w:rsidR="006A4E35">
        <w:t>a</w:t>
      </w:r>
      <w:r w:rsidR="00AF78D6">
        <w:t xml:space="preserve">ining its existing 3G </w:t>
      </w:r>
      <w:r w:rsidR="00593397">
        <w:t xml:space="preserve">and 4G </w:t>
      </w:r>
      <w:r w:rsidR="00AF78D6">
        <w:t xml:space="preserve">services. </w:t>
      </w:r>
      <w:r w:rsidR="001770DC">
        <w:t xml:space="preserve">This option may additionally constrain the prospects of new entrants </w:t>
      </w:r>
      <w:r w:rsidR="00532D52">
        <w:t>to obtain enough spectrum</w:t>
      </w:r>
      <w:r w:rsidR="003B130D">
        <w:t xml:space="preserve"> to competitively enter the market utilising the sub-1 GHz band. </w:t>
      </w:r>
      <w:r w:rsidR="00593397">
        <w:t>With a</w:t>
      </w:r>
      <w:r w:rsidR="00E838EA">
        <w:t>n allocation</w:t>
      </w:r>
      <w:r w:rsidR="00593397">
        <w:t xml:space="preserve"> limit of 102 MHz, Telstra would have the opportunity to obtain 30 MHz of </w:t>
      </w:r>
      <w:r w:rsidR="00E22986">
        <w:t xml:space="preserve">regional </w:t>
      </w:r>
      <w:r w:rsidR="00593397">
        <w:t xml:space="preserve">spectrum </w:t>
      </w:r>
      <w:r w:rsidR="00E22986">
        <w:t xml:space="preserve">and 40 MHz of metropolitan spectrum </w:t>
      </w:r>
      <w:r w:rsidR="00593397">
        <w:t>i</w:t>
      </w:r>
      <w:r w:rsidR="00E838EA">
        <w:t xml:space="preserve">n the </w:t>
      </w:r>
      <w:r w:rsidR="00441B9C">
        <w:t>850/</w:t>
      </w:r>
      <w:r w:rsidR="00206C30">
        <w:t>900 </w:t>
      </w:r>
      <w:r w:rsidR="00E838EA">
        <w:t xml:space="preserve">MHz </w:t>
      </w:r>
      <w:r w:rsidR="00441B9C">
        <w:t>auction</w:t>
      </w:r>
      <w:r w:rsidR="00E838EA">
        <w:t xml:space="preserve">, which would leave </w:t>
      </w:r>
      <w:r w:rsidR="00602C65">
        <w:t xml:space="preserve">40 </w:t>
      </w:r>
      <w:r w:rsidR="00E838EA">
        <w:t xml:space="preserve">MHz </w:t>
      </w:r>
      <w:r w:rsidR="00E22986">
        <w:t xml:space="preserve">and </w:t>
      </w:r>
      <w:r w:rsidR="00602C65">
        <w:t>3</w:t>
      </w:r>
      <w:r w:rsidR="00E22986">
        <w:t xml:space="preserve">0 MHz respectively </w:t>
      </w:r>
      <w:r w:rsidR="00E838EA">
        <w:t xml:space="preserve">available for other bidders, </w:t>
      </w:r>
      <w:r w:rsidR="00602C65">
        <w:t xml:space="preserve">which would constrain Optus’ ability to </w:t>
      </w:r>
      <w:r w:rsidR="00BF1023">
        <w:t xml:space="preserve">obtain the </w:t>
      </w:r>
      <w:r w:rsidR="00E22986">
        <w:t xml:space="preserve">sub-1 GHz </w:t>
      </w:r>
      <w:r w:rsidR="00BF1023">
        <w:t>spectrum it would need to improve its 4G network</w:t>
      </w:r>
      <w:r w:rsidR="0064108F">
        <w:t>,</w:t>
      </w:r>
      <w:r w:rsidR="00BF1023">
        <w:t xml:space="preserve"> deploy 5G networks</w:t>
      </w:r>
      <w:r w:rsidR="00E22986">
        <w:t xml:space="preserve"> </w:t>
      </w:r>
      <w:r w:rsidR="0064108F">
        <w:t>and continue to maintain</w:t>
      </w:r>
      <w:r w:rsidR="00E22986">
        <w:t xml:space="preserve"> its existing 3G </w:t>
      </w:r>
      <w:r w:rsidR="00D924CD">
        <w:t>netwo</w:t>
      </w:r>
      <w:r w:rsidR="00E22986">
        <w:t>rk</w:t>
      </w:r>
      <w:r w:rsidR="001B4F56">
        <w:t>s</w:t>
      </w:r>
      <w:r w:rsidR="00BF1023">
        <w:t xml:space="preserve"> in </w:t>
      </w:r>
      <w:r w:rsidR="00E22986">
        <w:t xml:space="preserve">either </w:t>
      </w:r>
      <w:r w:rsidR="00BF1023">
        <w:t xml:space="preserve">regional </w:t>
      </w:r>
      <w:r w:rsidR="00BF1023" w:rsidRPr="001B4F56">
        <w:t>or metropolitan</w:t>
      </w:r>
      <w:r w:rsidR="00BF1023">
        <w:t xml:space="preserve"> Australia.</w:t>
      </w:r>
    </w:p>
    <w:p w14:paraId="10C87A1F" w14:textId="07A05AAF" w:rsidR="00DF719A" w:rsidRDefault="00884E93" w:rsidP="00DF719A">
      <w:r>
        <w:lastRenderedPageBreak/>
        <w:t>For these reasons,</w:t>
      </w:r>
      <w:r w:rsidR="000A109F">
        <w:t xml:space="preserve"> the ACCC considered this option would be to the detriment of consumers, on the basis that it would significantly increase the risk that Optus would be unable to acquire sufficient spectrum to compete effectively in the mobile services market. </w:t>
      </w:r>
      <w:r w:rsidR="00A1519A">
        <w:t xml:space="preserve">While </w:t>
      </w:r>
      <w:r w:rsidR="005074E0">
        <w:t>o</w:t>
      </w:r>
      <w:r w:rsidR="000A109F">
        <w:t xml:space="preserve">ption </w:t>
      </w:r>
      <w:r w:rsidR="00A3593C">
        <w:t>3</w:t>
      </w:r>
      <w:r w:rsidR="000A109F">
        <w:t xml:space="preserve"> </w:t>
      </w:r>
      <w:r w:rsidR="00A1519A">
        <w:t xml:space="preserve">is the most likely option to create competitive </w:t>
      </w:r>
      <w:r w:rsidR="001501E3">
        <w:t xml:space="preserve">tension </w:t>
      </w:r>
      <w:r w:rsidR="00A1519A">
        <w:t xml:space="preserve">and reduce </w:t>
      </w:r>
      <w:r w:rsidR="001B4F56">
        <w:t xml:space="preserve">the likelihood and number of </w:t>
      </w:r>
      <w:r w:rsidR="00A1519A">
        <w:t xml:space="preserve">unsold lots at auction, it </w:t>
      </w:r>
      <w:r w:rsidR="000A109F">
        <w:t>is</w:t>
      </w:r>
      <w:r w:rsidR="00ED5465">
        <w:t xml:space="preserve"> </w:t>
      </w:r>
      <w:r w:rsidR="00A1519A">
        <w:t xml:space="preserve">also </w:t>
      </w:r>
      <w:r w:rsidR="00ED5465">
        <w:t>highly</w:t>
      </w:r>
      <w:r w:rsidR="000A109F">
        <w:t xml:space="preserve"> likely to further increase the disparity in sub-1 GHz spectrum holdings in regional areas, and would likely entrench Telstra’s spectrum dominance in regional areas which the ACCC considers would be to the detriment of competition and consumers. </w:t>
      </w:r>
      <w:r w:rsidR="00D924CD">
        <w:t xml:space="preserve">As noted in the analysis of option 1, the Government does not seek to maximise revenue through spectrum allocations, and so while this option may be the most likely to </w:t>
      </w:r>
      <w:r w:rsidR="00453E29">
        <w:t>promote price discovery and maximise revenue</w:t>
      </w:r>
      <w:r w:rsidR="00D924CD">
        <w:t xml:space="preserve">, the associated trade-offs for competition in downstream markets are likely to outweigh the benefits of a more economically efficient auction. </w:t>
      </w:r>
      <w:r w:rsidR="00E945CF">
        <w:t>Importantly, t</w:t>
      </w:r>
      <w:r w:rsidR="000A109F">
        <w:t>he ACCC did not find that Telstra requires more spectrum in regional areas to compete or deliver services</w:t>
      </w:r>
      <w:r w:rsidR="00E945CF">
        <w:t xml:space="preserve">, while finding the converse </w:t>
      </w:r>
      <w:r w:rsidR="00D924CD">
        <w:t>to be</w:t>
      </w:r>
      <w:r w:rsidR="00E945CF">
        <w:t xml:space="preserve"> true for Optus</w:t>
      </w:r>
      <w:r w:rsidR="000A109F">
        <w:t xml:space="preserve">. </w:t>
      </w:r>
      <w:r w:rsidR="00AF78D6">
        <w:t xml:space="preserve">As </w:t>
      </w:r>
      <w:r>
        <w:t>noted in the above analysis of o</w:t>
      </w:r>
      <w:r w:rsidR="00AF78D6">
        <w:t>ption 2</w:t>
      </w:r>
      <w:r w:rsidR="00A3593C">
        <w:t>.1</w:t>
      </w:r>
      <w:r w:rsidR="00AF78D6">
        <w:t>, t</w:t>
      </w:r>
      <w:r w:rsidR="000A109F">
        <w:t xml:space="preserve">he ACCC also rejected Telstra’s position that its larger existing customer base should permit it to acquire a higher share of spectrum.  </w:t>
      </w:r>
    </w:p>
    <w:p w14:paraId="13983ACA" w14:textId="018418CD" w:rsidR="00BD1B4F" w:rsidRDefault="003D2A99" w:rsidP="00CB6176">
      <w:pPr>
        <w:pStyle w:val="NoSpacing"/>
      </w:pPr>
      <w:r>
        <w:t xml:space="preserve">In light of this analysis, the Department does not support </w:t>
      </w:r>
      <w:r w:rsidR="00C2701C">
        <w:t>o</w:t>
      </w:r>
      <w:r>
        <w:t>ption 3.</w:t>
      </w:r>
    </w:p>
    <w:p w14:paraId="20BC4177" w14:textId="77777777" w:rsidR="003D2A99" w:rsidRDefault="003D2A99" w:rsidP="00CB6176">
      <w:pPr>
        <w:pStyle w:val="NoSpacing"/>
      </w:pPr>
    </w:p>
    <w:p w14:paraId="7269DAB8" w14:textId="1718EC5A" w:rsidR="001B4F56" w:rsidRDefault="00E366A4" w:rsidP="00CB6176">
      <w:pPr>
        <w:pStyle w:val="Heading2"/>
      </w:pPr>
      <w:bookmarkStart w:id="82" w:name="_Toc76481428"/>
      <w:bookmarkStart w:id="83" w:name="_Toc76555297"/>
      <w:bookmarkStart w:id="84" w:name="_Toc77081952"/>
      <w:bookmarkStart w:id="85" w:name="_Toc77086753"/>
      <w:bookmarkStart w:id="86" w:name="_Toc78190964"/>
      <w:r>
        <w:t xml:space="preserve">Option </w:t>
      </w:r>
      <w:r w:rsidR="00A3593C">
        <w:t>4</w:t>
      </w:r>
      <w:r w:rsidR="005649B3">
        <w:t xml:space="preserve"> –</w:t>
      </w:r>
      <w:r>
        <w:t xml:space="preserve"> no allocation limits</w:t>
      </w:r>
      <w:bookmarkEnd w:id="82"/>
      <w:bookmarkEnd w:id="83"/>
      <w:bookmarkEnd w:id="84"/>
      <w:bookmarkEnd w:id="85"/>
      <w:bookmarkEnd w:id="86"/>
    </w:p>
    <w:p w14:paraId="110D2299" w14:textId="5C9B2BED" w:rsidR="00A60B26" w:rsidRDefault="006E0D97" w:rsidP="00A60B26">
      <w:r>
        <w:t xml:space="preserve">This option </w:t>
      </w:r>
      <w:r w:rsidR="00AF3372">
        <w:t xml:space="preserve">is likely </w:t>
      </w:r>
      <w:r w:rsidR="00691230">
        <w:t xml:space="preserve">to </w:t>
      </w:r>
      <w:r w:rsidR="00441B9C">
        <w:t xml:space="preserve">generate </w:t>
      </w:r>
      <w:r w:rsidR="00AF3372">
        <w:t xml:space="preserve">a </w:t>
      </w:r>
      <w:r w:rsidR="00AF3372" w:rsidRPr="006F3916">
        <w:t>net cost rather than a net benefit</w:t>
      </w:r>
      <w:r w:rsidR="007C6A76">
        <w:t xml:space="preserve">. </w:t>
      </w:r>
    </w:p>
    <w:p w14:paraId="7117136B" w14:textId="737F78C0" w:rsidR="00363377" w:rsidRPr="00ED7EA9" w:rsidRDefault="00363377" w:rsidP="00363377">
      <w:pPr>
        <w:rPr>
          <w:rFonts w:eastAsiaTheme="minorEastAsia"/>
          <w:lang w:eastAsia="zh-TW"/>
        </w:rPr>
      </w:pPr>
      <w:r>
        <w:rPr>
          <w:rFonts w:eastAsiaTheme="minorEastAsia"/>
          <w:lang w:eastAsia="zh-TW"/>
        </w:rPr>
        <w:t xml:space="preserve">If </w:t>
      </w:r>
      <w:r w:rsidR="002B3297">
        <w:rPr>
          <w:rFonts w:eastAsiaTheme="minorEastAsia"/>
          <w:lang w:eastAsia="zh-TW"/>
        </w:rPr>
        <w:t>o</w:t>
      </w:r>
      <w:r>
        <w:rPr>
          <w:rFonts w:eastAsiaTheme="minorEastAsia"/>
          <w:lang w:eastAsia="zh-TW"/>
        </w:rPr>
        <w:t>ption 4 was pursued and allocation limits were not imposed</w:t>
      </w:r>
      <w:r w:rsidRPr="00ED7EA9">
        <w:rPr>
          <w:rFonts w:eastAsiaTheme="minorEastAsia"/>
          <w:lang w:eastAsia="zh-TW"/>
        </w:rPr>
        <w:t xml:space="preserve">, it would be possible to rely on section 50 of the Competition and Consumer Act 2010 (CCA), however this option would generate higher uncertainty for business and would therefore be less effective in fostering strong investment conditions. Under section 50 of the CCA, the ACCC has the discretion to intervene in the issue of spectrum licences if it believes that the acquisition of the licences will have the effect or likely effect of substantially lessening competition in the relevant market. The ACCC’s discretionary power remains an important safeguard for preserving competitive conditions, however, there are difficulties relying on it exclusively as there may be some variation in stakeholders’ perceptions of when intervention would occur, therefore increasing ambiguity around what market conditions for the auction may be. </w:t>
      </w:r>
      <w:r w:rsidR="00A35B73">
        <w:rPr>
          <w:rFonts w:eastAsiaTheme="minorEastAsia"/>
          <w:lang w:eastAsia="zh-TW"/>
        </w:rPr>
        <w:t>These</w:t>
      </w:r>
      <w:r w:rsidR="00A35B73" w:rsidRPr="00ED7EA9">
        <w:rPr>
          <w:rFonts w:eastAsiaTheme="minorEastAsia"/>
          <w:lang w:eastAsia="zh-TW"/>
        </w:rPr>
        <w:t xml:space="preserve"> </w:t>
      </w:r>
      <w:r w:rsidRPr="00ED7EA9">
        <w:rPr>
          <w:rFonts w:eastAsiaTheme="minorEastAsia"/>
          <w:lang w:eastAsia="zh-TW"/>
        </w:rPr>
        <w:t xml:space="preserve">risks creating an additional burden for both participants and ACMA which would have to prepare for a greater range of contingencies. By contrast, allocation limits provide transparent parameters for prospective bidders prior to auction, which provides a stronger foundation for informed investment decisions. </w:t>
      </w:r>
    </w:p>
    <w:p w14:paraId="1D50D15B" w14:textId="77777777" w:rsidR="00363377" w:rsidRPr="002E71BA" w:rsidRDefault="00363377" w:rsidP="00363377">
      <w:r w:rsidRPr="00ED7EA9">
        <w:rPr>
          <w:rFonts w:eastAsiaTheme="minorEastAsia"/>
          <w:lang w:eastAsia="zh-TW"/>
        </w:rPr>
        <w:lastRenderedPageBreak/>
        <w:t xml:space="preserve">There is also a distinction between section 50 – a safeguard against an acquisition that </w:t>
      </w:r>
      <w:r w:rsidRPr="00ED7EA9">
        <w:rPr>
          <w:rFonts w:eastAsiaTheme="minorEastAsia"/>
          <w:i/>
          <w:lang w:eastAsia="zh-TW"/>
        </w:rPr>
        <w:t>substantially lessens</w:t>
      </w:r>
      <w:r w:rsidRPr="00ED7EA9">
        <w:rPr>
          <w:rFonts w:eastAsiaTheme="minorEastAsia"/>
          <w:lang w:eastAsia="zh-TW"/>
        </w:rPr>
        <w:t xml:space="preserve"> competition – and the Government’s policy objective of ‘promoting competitive market outcomes for the long term benefit of consumers’. While an acquisition of spectrum might not substantially lessen competition, it does not follow that such an acquisition would necessarily promote competition. Allocation limits can promote competition through scenarios in which a bidder acquires more spectrum than they otherwise would have in an unrestricted auction, and is then able to compete more effectively in the downstream market – benefitting consumers through more choice and lower prices.</w:t>
      </w:r>
    </w:p>
    <w:p w14:paraId="37607480" w14:textId="0F1601A9" w:rsidR="007C6A76" w:rsidRDefault="007C6A76">
      <w:r>
        <w:t>When compared against all other options that include an allocation limit,</w:t>
      </w:r>
      <w:r w:rsidRPr="007C6A76">
        <w:t xml:space="preserve"> this option would </w:t>
      </w:r>
      <w:r>
        <w:t xml:space="preserve">maximise </w:t>
      </w:r>
      <w:r w:rsidRPr="007C6A76">
        <w:t xml:space="preserve">competitive tension </w:t>
      </w:r>
      <w:r w:rsidR="006E0D97">
        <w:t xml:space="preserve">in the auction </w:t>
      </w:r>
      <w:r w:rsidRPr="007C6A76">
        <w:t>and would create the lowest risk of unsold lots</w:t>
      </w:r>
      <w:r>
        <w:t xml:space="preserve">. However, while competitive tension is generally an effective mechanism to support efficient allocation under </w:t>
      </w:r>
      <w:r w:rsidR="00205040">
        <w:t>criteri</w:t>
      </w:r>
      <w:r w:rsidR="00D21EDF">
        <w:t>on</w:t>
      </w:r>
      <w:r w:rsidR="00205040">
        <w:t xml:space="preserve"> </w:t>
      </w:r>
      <w:r w:rsidR="00D21EDF">
        <w:t>1</w:t>
      </w:r>
      <w:r>
        <w:t xml:space="preserve">, without </w:t>
      </w:r>
      <w:r w:rsidR="00AF3372">
        <w:t xml:space="preserve">some </w:t>
      </w:r>
      <w:r>
        <w:t xml:space="preserve">constraints </w:t>
      </w:r>
      <w:r w:rsidR="00AF3372">
        <w:t xml:space="preserve">there is the risk </w:t>
      </w:r>
      <w:r>
        <w:t xml:space="preserve">it can produce perverse outcomes that do not support </w:t>
      </w:r>
      <w:r w:rsidR="00D21EDF">
        <w:t>the efficient use of the spectrum</w:t>
      </w:r>
      <w:r w:rsidR="00363377">
        <w:t xml:space="preserve">, and undermine the </w:t>
      </w:r>
      <w:r w:rsidR="00D21EDF">
        <w:t>objective of</w:t>
      </w:r>
      <w:r w:rsidR="00363377">
        <w:t xml:space="preserve"> supporting</w:t>
      </w:r>
      <w:r w:rsidR="00D21EDF">
        <w:t xml:space="preserve"> competitive markets for the long-term benefit of consumers. </w:t>
      </w:r>
    </w:p>
    <w:p w14:paraId="1B1385F8" w14:textId="63AC1B5E" w:rsidR="009F57CA" w:rsidRDefault="005812F2">
      <w:r>
        <w:t xml:space="preserve">Any compliance costs associated with identifying affiliations that would be saved by not applying any allocation limit to the auction, </w:t>
      </w:r>
      <w:r>
        <w:lastRenderedPageBreak/>
        <w:t xml:space="preserve">would be </w:t>
      </w:r>
      <w:r w:rsidR="00FD0411">
        <w:t xml:space="preserve">extremely </w:t>
      </w:r>
      <w:r>
        <w:t xml:space="preserve">small </w:t>
      </w:r>
      <w:r w:rsidR="00FD0411">
        <w:t xml:space="preserve">relative to the benefits allocation limits provide. </w:t>
      </w:r>
    </w:p>
    <w:p w14:paraId="0513554D" w14:textId="6CE38A4D" w:rsidR="00A75AA4" w:rsidRDefault="00363377">
      <w:r>
        <w:t>Given that the ACCC has identified that the primary competition issue for this auction is Optus’ relative lack of sub- 1 GHz spectrum, the Department considers that option 4 would entail a high risk that Optus would not be able to obtain sufficient spectrum to deploy a competitive 5G network, particularly in regional areas. While Telstra has argued that it would be unlikely to outbid Optus and pay above its intrinsic value for most of the auctioned spectrum,</w:t>
      </w:r>
      <w:r>
        <w:rPr>
          <w:rStyle w:val="FootnoteReference"/>
        </w:rPr>
        <w:footnoteReference w:id="31"/>
      </w:r>
      <w:r>
        <w:t xml:space="preserve"> past spectrum auctions show that Telstra consistently bids up to its allocation limit.</w:t>
      </w:r>
      <w:r w:rsidR="00D768E5">
        <w:t xml:space="preserve"> An MNO’s valuations can typically take into account the benefits of being able to provide more services to more customers, alongside the opportunity costs associated with </w:t>
      </w:r>
      <w:r w:rsidR="00E62827">
        <w:t xml:space="preserve">having to deploy less infrastructure and the strategic value limiting the services of other providers. </w:t>
      </w:r>
      <w:r>
        <w:t xml:space="preserve">In the event that Telstra secured 3, 4 or even more of the 7 available lots, the outcome of the auction would exacerbate existing asymmetric holdings of critical sub-1 GHz spectrum, </w:t>
      </w:r>
      <w:r w:rsidR="00A75AA4">
        <w:t xml:space="preserve">as shown in Figure </w:t>
      </w:r>
      <w:r w:rsidR="0043675C">
        <w:t>7</w:t>
      </w:r>
      <w:r w:rsidR="00A75AA4">
        <w:t xml:space="preserve"> below.</w:t>
      </w:r>
    </w:p>
    <w:p w14:paraId="6D11C435" w14:textId="703D8CB4" w:rsidR="008B6D89" w:rsidRDefault="001F0646" w:rsidP="008B6D89">
      <w:r>
        <w:rPr>
          <w:noProof/>
          <w:lang w:eastAsia="en-AU"/>
        </w:rPr>
        <w:lastRenderedPageBreak/>
        <w:drawing>
          <wp:inline distT="0" distB="0" distL="0" distR="0" wp14:anchorId="4759A6AB" wp14:editId="39574252">
            <wp:extent cx="4743450" cy="55128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59911" cy="5531959"/>
                    </a:xfrm>
                    <a:prstGeom prst="rect">
                      <a:avLst/>
                    </a:prstGeom>
                  </pic:spPr>
                </pic:pic>
              </a:graphicData>
            </a:graphic>
          </wp:inline>
        </w:drawing>
      </w:r>
    </w:p>
    <w:p w14:paraId="5DA12801" w14:textId="260CB814" w:rsidR="008B6D89" w:rsidRDefault="008B6D89" w:rsidP="008B6D89">
      <w:pPr>
        <w:pStyle w:val="Caption"/>
      </w:pPr>
      <w:r>
        <w:t xml:space="preserve">Figure </w:t>
      </w:r>
      <w:r w:rsidR="0043675C">
        <w:t>7</w:t>
      </w:r>
      <w:r>
        <w:t xml:space="preserve">: Option </w:t>
      </w:r>
      <w:r w:rsidR="003D44DA">
        <w:t xml:space="preserve">4 </w:t>
      </w:r>
      <w:r>
        <w:t>– no allocation limits set</w:t>
      </w:r>
    </w:p>
    <w:p w14:paraId="0A8886DB" w14:textId="1F9C951F" w:rsidR="008B6D89" w:rsidRPr="00423F5B" w:rsidRDefault="008B6D89" w:rsidP="008B6D89">
      <w:pPr>
        <w:pStyle w:val="NoSpacing"/>
        <w:rPr>
          <w:rFonts w:eastAsiaTheme="majorEastAsia"/>
          <w:i/>
          <w:sz w:val="20"/>
          <w:szCs w:val="20"/>
        </w:rPr>
      </w:pPr>
      <w:r w:rsidRPr="00423F5B">
        <w:rPr>
          <w:rFonts w:eastAsiaTheme="majorEastAsia"/>
          <w:i/>
          <w:sz w:val="20"/>
          <w:szCs w:val="20"/>
        </w:rPr>
        <w:t xml:space="preserve">*Optus could only acquire 7th lots if TPG declines set-aside </w:t>
      </w:r>
    </w:p>
    <w:p w14:paraId="32AA46E4" w14:textId="37D28329" w:rsidR="008B6D89" w:rsidRDefault="008B6D89" w:rsidP="008B6D89">
      <w:pPr>
        <w:pStyle w:val="NoSpacing"/>
        <w:rPr>
          <w:rFonts w:eastAsiaTheme="majorEastAsia"/>
          <w:i/>
          <w:sz w:val="20"/>
          <w:szCs w:val="20"/>
        </w:rPr>
      </w:pPr>
      <w:r w:rsidRPr="00423F5B">
        <w:rPr>
          <w:rFonts w:eastAsiaTheme="majorEastAsia"/>
          <w:i/>
          <w:sz w:val="20"/>
          <w:szCs w:val="20"/>
        </w:rPr>
        <w:t>** TPG could only acquire 7th lots of Optus declines set-aside</w:t>
      </w:r>
    </w:p>
    <w:p w14:paraId="0C29F0FD" w14:textId="54AF580F" w:rsidR="00257DD9" w:rsidRPr="00423F5B" w:rsidRDefault="001F0646" w:rsidP="008B6D89">
      <w:pPr>
        <w:pStyle w:val="NoSpacing"/>
        <w:rPr>
          <w:rFonts w:eastAsiaTheme="majorEastAsia"/>
          <w:i/>
          <w:sz w:val="20"/>
          <w:szCs w:val="20"/>
        </w:rPr>
      </w:pPr>
      <w:r>
        <w:rPr>
          <w:rFonts w:eastAsiaTheme="majorEastAsia"/>
          <w:i/>
          <w:sz w:val="20"/>
          <w:szCs w:val="20"/>
        </w:rPr>
        <w:t xml:space="preserve">*** </w:t>
      </w:r>
      <w:r w:rsidR="00257DD9">
        <w:rPr>
          <w:rFonts w:eastAsiaTheme="majorEastAsia"/>
          <w:i/>
          <w:sz w:val="20"/>
          <w:szCs w:val="20"/>
        </w:rPr>
        <w:t>Telstra could only acquire 7 lots if both TPG and Optus declined their set-asides, otherwise Telstra would be limited to 5 lots</w:t>
      </w:r>
    </w:p>
    <w:p w14:paraId="496E6FAB" w14:textId="77777777" w:rsidR="008B6D89" w:rsidRPr="00423F5B" w:rsidRDefault="008B6D89" w:rsidP="008B6D89">
      <w:pPr>
        <w:pStyle w:val="NoSpacing"/>
        <w:rPr>
          <w:rFonts w:eastAsiaTheme="majorEastAsia"/>
          <w:i/>
          <w:sz w:val="20"/>
          <w:szCs w:val="20"/>
        </w:rPr>
      </w:pPr>
    </w:p>
    <w:p w14:paraId="2CBEE0F8" w14:textId="7416EC3E" w:rsidR="008B6D89" w:rsidRPr="00423F5B" w:rsidRDefault="008B6D89" w:rsidP="008B6D89">
      <w:pPr>
        <w:pStyle w:val="NoSpacing"/>
        <w:rPr>
          <w:rFonts w:eastAsiaTheme="majorEastAsia"/>
          <w:i/>
          <w:sz w:val="20"/>
          <w:szCs w:val="20"/>
        </w:rPr>
      </w:pPr>
      <w:r w:rsidRPr="00423F5B">
        <w:rPr>
          <w:rFonts w:eastAsiaTheme="majorEastAsia"/>
          <w:i/>
          <w:sz w:val="20"/>
          <w:szCs w:val="20"/>
        </w:rPr>
        <w:lastRenderedPageBreak/>
        <w:t xml:space="preserve">(Dark colours represent existing sub-1 GHz spectrum licence holdings, checked colours represent the </w:t>
      </w:r>
      <w:r w:rsidR="00315E15">
        <w:rPr>
          <w:rFonts w:eastAsiaTheme="majorEastAsia"/>
          <w:i/>
          <w:sz w:val="20"/>
          <w:szCs w:val="20"/>
        </w:rPr>
        <w:t xml:space="preserve">amount each bidder could acquire if they </w:t>
      </w:r>
      <w:r w:rsidR="000F78F0">
        <w:rPr>
          <w:rFonts w:eastAsiaTheme="majorEastAsia"/>
          <w:i/>
          <w:sz w:val="20"/>
          <w:szCs w:val="20"/>
        </w:rPr>
        <w:t>obtained the full amount of available spectrum</w:t>
      </w:r>
      <w:r w:rsidR="00315E15">
        <w:rPr>
          <w:rFonts w:eastAsiaTheme="majorEastAsia"/>
          <w:i/>
          <w:sz w:val="20"/>
          <w:szCs w:val="20"/>
        </w:rPr>
        <w:t xml:space="preserve"> (noting that there are only</w:t>
      </w:r>
      <w:r w:rsidR="00315E15" w:rsidRPr="00423F5B">
        <w:rPr>
          <w:rFonts w:eastAsiaTheme="majorEastAsia"/>
          <w:i/>
          <w:sz w:val="20"/>
          <w:szCs w:val="20"/>
        </w:rPr>
        <w:t xml:space="preserve"> </w:t>
      </w:r>
      <w:r w:rsidR="00315E15" w:rsidRPr="007F4D3D">
        <w:rPr>
          <w:rFonts w:eastAsiaTheme="majorEastAsia"/>
          <w:i/>
          <w:sz w:val="20"/>
          <w:szCs w:val="20"/>
        </w:rPr>
        <w:t xml:space="preserve">7 lots available in each </w:t>
      </w:r>
      <w:r w:rsidR="00315E15">
        <w:rPr>
          <w:rFonts w:eastAsiaTheme="majorEastAsia"/>
          <w:i/>
          <w:sz w:val="20"/>
          <w:szCs w:val="20"/>
        </w:rPr>
        <w:t xml:space="preserve">licence </w:t>
      </w:r>
      <w:r w:rsidR="00315E15" w:rsidRPr="00423F5B">
        <w:rPr>
          <w:rFonts w:eastAsiaTheme="majorEastAsia"/>
          <w:i/>
          <w:sz w:val="20"/>
          <w:szCs w:val="20"/>
        </w:rPr>
        <w:t xml:space="preserve">area </w:t>
      </w:r>
      <w:r w:rsidR="00315E15">
        <w:rPr>
          <w:rFonts w:eastAsiaTheme="majorEastAsia"/>
          <w:i/>
          <w:sz w:val="20"/>
          <w:szCs w:val="20"/>
        </w:rPr>
        <w:t xml:space="preserve">at the auction, so </w:t>
      </w:r>
      <w:r w:rsidR="000F78F0">
        <w:rPr>
          <w:rFonts w:eastAsiaTheme="majorEastAsia"/>
          <w:i/>
          <w:sz w:val="20"/>
          <w:szCs w:val="20"/>
        </w:rPr>
        <w:t>this would be likely to be split between bidders</w:t>
      </w:r>
      <w:r w:rsidR="00315E15">
        <w:rPr>
          <w:rFonts w:eastAsiaTheme="majorEastAsia"/>
          <w:i/>
          <w:sz w:val="20"/>
          <w:szCs w:val="20"/>
        </w:rPr>
        <w:t>).</w:t>
      </w:r>
      <w:r w:rsidR="00315E15" w:rsidRPr="007F4D3D">
        <w:rPr>
          <w:rFonts w:eastAsiaTheme="majorEastAsia"/>
          <w:i/>
          <w:sz w:val="20"/>
          <w:szCs w:val="20"/>
        </w:rPr>
        <w:t>)</w:t>
      </w:r>
      <w:r w:rsidR="00AF0046">
        <w:rPr>
          <w:rFonts w:eastAsiaTheme="majorEastAsia"/>
          <w:i/>
          <w:sz w:val="20"/>
          <w:szCs w:val="20"/>
        </w:rPr>
        <w:t xml:space="preserve"> If TPG and Optus each choose to take up the offer of a set-aside of spectrum in the 900 MHz band, they would each acquire one lot of spectrum in both a metropolitan and a regional area, counting towards their overall cap.</w:t>
      </w:r>
    </w:p>
    <w:p w14:paraId="012447EC" w14:textId="77777777" w:rsidR="00363377" w:rsidRDefault="00363377"/>
    <w:p w14:paraId="33C37BD8" w14:textId="3FC7728D" w:rsidR="00363377" w:rsidRDefault="00B21256">
      <w:r>
        <w:t xml:space="preserve">The Department therefore assesses option 4 as achieving </w:t>
      </w:r>
      <w:r w:rsidR="00101930">
        <w:t>only fair outcomes under criterion 2 (because of the differential impacts on carriers’ ability to deploy 4G and 5G technologies) and poor</w:t>
      </w:r>
      <w:r>
        <w:t xml:space="preserve"> outcomes under criteria 3 and 4, and does not recommend this option.</w:t>
      </w:r>
      <w:r w:rsidR="00363377">
        <w:t xml:space="preserve"> </w:t>
      </w:r>
      <w:r w:rsidR="00441B9C" w:rsidRPr="00C3410C">
        <w:t xml:space="preserve">The Department </w:t>
      </w:r>
      <w:r w:rsidR="00441B9C">
        <w:t xml:space="preserve">agrees with the ACCC’s assessment </w:t>
      </w:r>
      <w:r w:rsidR="00441B9C" w:rsidRPr="00C3410C">
        <w:t xml:space="preserve">that allocation limits should be applied, in order to </w:t>
      </w:r>
      <w:r w:rsidR="00441B9C">
        <w:t xml:space="preserve">support </w:t>
      </w:r>
      <w:r w:rsidR="00441B9C" w:rsidRPr="00C3410C">
        <w:t>future competition</w:t>
      </w:r>
      <w:r w:rsidR="00441B9C">
        <w:t xml:space="preserve"> in the national mobile market.</w:t>
      </w:r>
    </w:p>
    <w:p w14:paraId="618259AC" w14:textId="22D29C13" w:rsidR="00AE79B0" w:rsidRDefault="00AE79B0">
      <w:r>
        <w:t>For the above reasons, the Department does not support option 4 over any other option.</w:t>
      </w:r>
    </w:p>
    <w:p w14:paraId="01CF3FA8" w14:textId="77777777" w:rsidR="005B2613" w:rsidRPr="005B2613" w:rsidRDefault="005B2613" w:rsidP="001B4F56">
      <w:pPr>
        <w:pStyle w:val="Heading1"/>
        <w:rPr>
          <w:rFonts w:eastAsia="MingLiU"/>
        </w:rPr>
      </w:pPr>
      <w:bookmarkStart w:id="87" w:name="_Toc76051007"/>
      <w:bookmarkStart w:id="88" w:name="_Toc75770442"/>
      <w:bookmarkStart w:id="89" w:name="_Toc76555298"/>
      <w:bookmarkStart w:id="90" w:name="_Toc77081953"/>
      <w:bookmarkStart w:id="91" w:name="_Toc77086754"/>
      <w:bookmarkStart w:id="92" w:name="_Toc78190965"/>
      <w:bookmarkStart w:id="93" w:name="_Toc76481429"/>
      <w:r w:rsidRPr="005B2613">
        <w:rPr>
          <w:rFonts w:eastAsia="MingLiU"/>
        </w:rPr>
        <w:lastRenderedPageBreak/>
        <w:t xml:space="preserve">5 Who </w:t>
      </w:r>
      <w:r>
        <w:rPr>
          <w:rFonts w:eastAsia="MingLiU"/>
        </w:rPr>
        <w:t>was consulted and how was their feedback considered?</w:t>
      </w:r>
      <w:bookmarkEnd w:id="87"/>
      <w:bookmarkEnd w:id="88"/>
      <w:bookmarkEnd w:id="89"/>
      <w:bookmarkEnd w:id="90"/>
      <w:bookmarkEnd w:id="91"/>
      <w:bookmarkEnd w:id="92"/>
      <w:r w:rsidRPr="005B2613">
        <w:rPr>
          <w:rFonts w:eastAsia="MingLiU"/>
        </w:rPr>
        <w:t xml:space="preserve"> </w:t>
      </w:r>
      <w:bookmarkEnd w:id="93"/>
    </w:p>
    <w:p w14:paraId="06C9BA85" w14:textId="77777777" w:rsidR="005B2613" w:rsidRPr="00481592" w:rsidRDefault="00F56870" w:rsidP="005B2613">
      <w:r w:rsidRPr="00481592">
        <w:t>The Department’s analysis of options was informed by responses to two public consultation processes.</w:t>
      </w:r>
    </w:p>
    <w:p w14:paraId="0405336D" w14:textId="77777777" w:rsidR="005241C2" w:rsidRPr="005241C2" w:rsidRDefault="005241C2" w:rsidP="00F56870">
      <w:pPr>
        <w:rPr>
          <w:u w:val="single"/>
        </w:rPr>
      </w:pPr>
      <w:r>
        <w:rPr>
          <w:u w:val="single"/>
        </w:rPr>
        <w:t>ACCC consultation</w:t>
      </w:r>
    </w:p>
    <w:p w14:paraId="56927C0F" w14:textId="77777777" w:rsidR="00F56870" w:rsidRPr="00830E99" w:rsidRDefault="00F56870" w:rsidP="00F56870">
      <w:r w:rsidRPr="00830E99">
        <w:t>The ACCC released a consultation paper on 18 November 2020 seeking submissions to help inform its consideration and advice. The consultation period closed on 18 December 2020. In response, the ACCC received six submissions from the stakeholders below:</w:t>
      </w:r>
      <w:r w:rsidRPr="00830E99">
        <w:rPr>
          <w:rStyle w:val="FootnoteReference"/>
        </w:rPr>
        <w:footnoteReference w:id="32"/>
      </w:r>
    </w:p>
    <w:p w14:paraId="4F3974C2" w14:textId="77777777" w:rsidR="00F56870" w:rsidRPr="00830E99" w:rsidRDefault="00F56870" w:rsidP="00F56870">
      <w:pPr>
        <w:pStyle w:val="ListParagraph"/>
        <w:numPr>
          <w:ilvl w:val="0"/>
          <w:numId w:val="7"/>
        </w:numPr>
        <w:tabs>
          <w:tab w:val="left" w:pos="1701"/>
        </w:tabs>
        <w:spacing w:after="0" w:line="240" w:lineRule="auto"/>
      </w:pPr>
      <w:r w:rsidRPr="00830E99">
        <w:t xml:space="preserve">Telstra; </w:t>
      </w:r>
    </w:p>
    <w:p w14:paraId="6A410FCA" w14:textId="77777777" w:rsidR="00F56870" w:rsidRPr="00EE1FFD" w:rsidRDefault="00F56870" w:rsidP="00F56870">
      <w:pPr>
        <w:pStyle w:val="ListParagraph"/>
        <w:numPr>
          <w:ilvl w:val="0"/>
          <w:numId w:val="7"/>
        </w:numPr>
        <w:tabs>
          <w:tab w:val="left" w:pos="1701"/>
        </w:tabs>
        <w:spacing w:after="0" w:line="240" w:lineRule="auto"/>
      </w:pPr>
      <w:r w:rsidRPr="00EE1FFD">
        <w:t xml:space="preserve">Optus; </w:t>
      </w:r>
    </w:p>
    <w:p w14:paraId="5D07A600" w14:textId="77777777" w:rsidR="00F56870" w:rsidRPr="00EE1FFD" w:rsidRDefault="00F56870" w:rsidP="00F56870">
      <w:pPr>
        <w:pStyle w:val="ListParagraph"/>
        <w:numPr>
          <w:ilvl w:val="0"/>
          <w:numId w:val="7"/>
        </w:numPr>
        <w:tabs>
          <w:tab w:val="left" w:pos="1701"/>
        </w:tabs>
        <w:spacing w:after="0" w:line="240" w:lineRule="auto"/>
      </w:pPr>
      <w:r w:rsidRPr="00EE1FFD">
        <w:t xml:space="preserve">TPG Telecom </w:t>
      </w:r>
      <w:r w:rsidRPr="00EE1FFD">
        <w:rPr>
          <w:b/>
        </w:rPr>
        <w:t>;</w:t>
      </w:r>
      <w:r w:rsidRPr="00EE1FFD">
        <w:t xml:space="preserve"> </w:t>
      </w:r>
    </w:p>
    <w:p w14:paraId="65DEA3C3" w14:textId="77777777" w:rsidR="00F56870" w:rsidRPr="00830E99" w:rsidRDefault="00F56870" w:rsidP="00F56870">
      <w:pPr>
        <w:pStyle w:val="ListParagraph"/>
        <w:numPr>
          <w:ilvl w:val="0"/>
          <w:numId w:val="7"/>
        </w:numPr>
        <w:tabs>
          <w:tab w:val="left" w:pos="1701"/>
        </w:tabs>
        <w:spacing w:after="0" w:line="240" w:lineRule="auto"/>
      </w:pPr>
      <w:r w:rsidRPr="00830E99">
        <w:t xml:space="preserve">NBN Co; </w:t>
      </w:r>
    </w:p>
    <w:p w14:paraId="293D543F" w14:textId="77777777" w:rsidR="00F56870" w:rsidRPr="00830E99" w:rsidRDefault="00F56870" w:rsidP="00F56870">
      <w:pPr>
        <w:pStyle w:val="ListParagraph"/>
        <w:numPr>
          <w:ilvl w:val="0"/>
          <w:numId w:val="7"/>
        </w:numPr>
        <w:tabs>
          <w:tab w:val="left" w:pos="1701"/>
        </w:tabs>
        <w:spacing w:after="0" w:line="240" w:lineRule="auto"/>
      </w:pPr>
      <w:proofErr w:type="spellStart"/>
      <w:r w:rsidRPr="00830E99">
        <w:t>Pivotel</w:t>
      </w:r>
      <w:proofErr w:type="spellEnd"/>
      <w:r w:rsidRPr="00830E99">
        <w:t xml:space="preserve">, and </w:t>
      </w:r>
    </w:p>
    <w:p w14:paraId="30D5B7A6" w14:textId="77777777" w:rsidR="00F56870" w:rsidRPr="00830E99" w:rsidRDefault="00F56870" w:rsidP="00F56870">
      <w:pPr>
        <w:pStyle w:val="ListParagraph"/>
        <w:numPr>
          <w:ilvl w:val="0"/>
          <w:numId w:val="7"/>
        </w:numPr>
        <w:tabs>
          <w:tab w:val="left" w:pos="1701"/>
        </w:tabs>
        <w:spacing w:after="0" w:line="240" w:lineRule="auto"/>
      </w:pPr>
      <w:r w:rsidRPr="00830E99">
        <w:t>Connected Farms</w:t>
      </w:r>
    </w:p>
    <w:p w14:paraId="11F32F14" w14:textId="77777777" w:rsidR="00F56870" w:rsidRDefault="00F56870" w:rsidP="00F56870">
      <w:pPr>
        <w:tabs>
          <w:tab w:val="left" w:pos="1701"/>
        </w:tabs>
        <w:spacing w:after="0"/>
        <w:rPr>
          <w:color w:val="FF0000"/>
        </w:rPr>
      </w:pPr>
    </w:p>
    <w:p w14:paraId="3961C897" w14:textId="77777777" w:rsidR="00F56870" w:rsidRPr="004D6517" w:rsidRDefault="00F56870" w:rsidP="00F56870">
      <w:r w:rsidRPr="00830E99">
        <w:lastRenderedPageBreak/>
        <w:t xml:space="preserve">The ACCC </w:t>
      </w:r>
      <w:r w:rsidRPr="004D6517">
        <w:t>requested feedback from stakeholders on a range of issues including:</w:t>
      </w:r>
    </w:p>
    <w:p w14:paraId="775916C7" w14:textId="77777777" w:rsidR="00F56870" w:rsidRPr="004D6517" w:rsidRDefault="00F56870" w:rsidP="00F56870">
      <w:pPr>
        <w:pStyle w:val="ListParagraph"/>
        <w:numPr>
          <w:ilvl w:val="0"/>
          <w:numId w:val="8"/>
        </w:numPr>
        <w:spacing w:after="200" w:line="240" w:lineRule="auto"/>
      </w:pPr>
      <w:r w:rsidRPr="004D6517">
        <w:t>Intended use of spectrum in the 850 MHz expansion band and 900 MHz band</w:t>
      </w:r>
    </w:p>
    <w:p w14:paraId="2FCBCCE6" w14:textId="77777777" w:rsidR="00F56870" w:rsidRPr="004D6517" w:rsidRDefault="00F56870" w:rsidP="00F56870">
      <w:pPr>
        <w:pStyle w:val="ListParagraph"/>
        <w:numPr>
          <w:ilvl w:val="0"/>
          <w:numId w:val="8"/>
        </w:numPr>
        <w:spacing w:after="200" w:line="240" w:lineRule="auto"/>
      </w:pPr>
      <w:r w:rsidRPr="004D6517">
        <w:t>Relevant downstream markets for the 850/900 MHz bands</w:t>
      </w:r>
    </w:p>
    <w:p w14:paraId="38807018" w14:textId="77777777" w:rsidR="00F56870" w:rsidRPr="004D6517" w:rsidRDefault="00F56870" w:rsidP="00F56870">
      <w:pPr>
        <w:pStyle w:val="ListParagraph"/>
        <w:numPr>
          <w:ilvl w:val="0"/>
          <w:numId w:val="8"/>
        </w:numPr>
        <w:spacing w:after="200" w:line="240" w:lineRule="auto"/>
      </w:pPr>
      <w:r w:rsidRPr="004D6517">
        <w:t>Potential future markets that may have yet to be identified</w:t>
      </w:r>
    </w:p>
    <w:p w14:paraId="325908B5" w14:textId="77777777" w:rsidR="00F56870" w:rsidRPr="004D6517" w:rsidRDefault="00F56870" w:rsidP="00F56870">
      <w:pPr>
        <w:pStyle w:val="ListParagraph"/>
        <w:numPr>
          <w:ilvl w:val="0"/>
          <w:numId w:val="8"/>
        </w:numPr>
        <w:spacing w:after="200" w:line="240" w:lineRule="auto"/>
      </w:pPr>
      <w:r w:rsidRPr="003E3D00">
        <w:t>State of competition in the national mobile services market and competition issues releva</w:t>
      </w:r>
      <w:r w:rsidRPr="00656DE5">
        <w:t>nt to the 850/90</w:t>
      </w:r>
      <w:r w:rsidRPr="004D6517">
        <w:t xml:space="preserve">0 MHz allocation </w:t>
      </w:r>
    </w:p>
    <w:p w14:paraId="1CAFE63E" w14:textId="77777777" w:rsidR="00F56870" w:rsidRPr="004D6517" w:rsidRDefault="00F56870" w:rsidP="00F56870">
      <w:pPr>
        <w:pStyle w:val="ListParagraph"/>
        <w:numPr>
          <w:ilvl w:val="0"/>
          <w:numId w:val="8"/>
        </w:numPr>
        <w:spacing w:after="200" w:line="240" w:lineRule="auto"/>
      </w:pPr>
      <w:r w:rsidRPr="004D6517">
        <w:t>Likely impact 850/900 MHz band on investment regional and remote areas</w:t>
      </w:r>
    </w:p>
    <w:p w14:paraId="23208DE0" w14:textId="77777777" w:rsidR="00F56870" w:rsidRPr="004D6517" w:rsidRDefault="00F56870" w:rsidP="00F56870">
      <w:pPr>
        <w:pStyle w:val="ListParagraph"/>
        <w:numPr>
          <w:ilvl w:val="0"/>
          <w:numId w:val="8"/>
        </w:numPr>
        <w:spacing w:after="200" w:line="240" w:lineRule="auto"/>
      </w:pPr>
      <w:r w:rsidRPr="004D6517">
        <w:t>Whether existing spectrum holdings in sub-1 GHz bands should be taken into consideration when determining competition settings for the 850/900 MHz auction</w:t>
      </w:r>
    </w:p>
    <w:p w14:paraId="32EF8A71" w14:textId="77777777" w:rsidR="00F56870" w:rsidRPr="004D6517" w:rsidRDefault="00F56870" w:rsidP="00F56870">
      <w:pPr>
        <w:pStyle w:val="ListParagraph"/>
        <w:numPr>
          <w:ilvl w:val="0"/>
          <w:numId w:val="8"/>
        </w:numPr>
        <w:spacing w:after="200" w:line="240" w:lineRule="auto"/>
      </w:pPr>
      <w:r w:rsidRPr="004D6517">
        <w:t xml:space="preserve">Whether allocation limits are required for the 850/900 MHz band and if so what limits are appropriate </w:t>
      </w:r>
    </w:p>
    <w:p w14:paraId="2A9ED024" w14:textId="77777777" w:rsidR="00F56870" w:rsidRPr="004D6517" w:rsidRDefault="00F56870" w:rsidP="00F56870">
      <w:pPr>
        <w:pStyle w:val="ListParagraph"/>
        <w:numPr>
          <w:ilvl w:val="0"/>
          <w:numId w:val="8"/>
        </w:numPr>
        <w:spacing w:after="200" w:line="240" w:lineRule="auto"/>
      </w:pPr>
      <w:r w:rsidRPr="004D6517">
        <w:t>Whether there are grounds to guarantee Telstra 2 x 5 MHz of spectrum in the allocation</w:t>
      </w:r>
    </w:p>
    <w:p w14:paraId="29A3CCAC" w14:textId="22CE50F5" w:rsidR="00F56870" w:rsidRDefault="005150C7" w:rsidP="00F56870">
      <w:r w:rsidRPr="005150C7">
        <w:t xml:space="preserve">A range of views were expressed in responses to the ACCC. All submitters except Telstra and NBN Co expressed support for an allocation limit which took account of sub-1 GHz spectrum holdings (Telstra opposed this and argued that all MNOs should be able to bid for at least 2x15 MHz in the auction, and NBN Co did not express a view on this </w:t>
      </w:r>
      <w:r w:rsidRPr="005150C7">
        <w:lastRenderedPageBreak/>
        <w:t xml:space="preserve">point). </w:t>
      </w:r>
      <w:r>
        <w:t xml:space="preserve">Connected Farms and </w:t>
      </w:r>
      <w:proofErr w:type="spellStart"/>
      <w:r>
        <w:t>Pivotel</w:t>
      </w:r>
      <w:proofErr w:type="spellEnd"/>
      <w:r>
        <w:t xml:space="preserve"> expressed support for regional allocation limits that would limit the MNOs and support potential new entrants to provide services in regional areas. </w:t>
      </w:r>
      <w:r w:rsidR="00295E19">
        <w:t xml:space="preserve">Stakeholders also expressed different views on auction settings such as the geographic boundaries of the spectrum to be auctioned, </w:t>
      </w:r>
      <w:r w:rsidR="00544925">
        <w:t xml:space="preserve">and the merits of the decision that the band be spectrum-licensed on a national basis (with some stakeholders arguing that apparatus licensing would better meet their needs in regional or remote areas). </w:t>
      </w:r>
    </w:p>
    <w:p w14:paraId="60048F29" w14:textId="0354D16A" w:rsidR="008F058D" w:rsidRPr="005150C7" w:rsidRDefault="008F058D" w:rsidP="00F56870">
      <w:r>
        <w:t>The ACCC considered the views expressed in submissions when it developed its advice to the Minister.</w:t>
      </w:r>
    </w:p>
    <w:p w14:paraId="034A19AB" w14:textId="77777777" w:rsidR="00F56870" w:rsidRPr="00830E99" w:rsidRDefault="00F56870" w:rsidP="00FE6AB3">
      <w:pPr>
        <w:keepNext/>
        <w:tabs>
          <w:tab w:val="left" w:pos="1701"/>
        </w:tabs>
        <w:spacing w:after="0"/>
        <w:rPr>
          <w:u w:val="single"/>
        </w:rPr>
      </w:pPr>
      <w:r w:rsidRPr="00830E99">
        <w:rPr>
          <w:u w:val="single"/>
        </w:rPr>
        <w:t xml:space="preserve">Department Consultation </w:t>
      </w:r>
    </w:p>
    <w:p w14:paraId="4CC7781B" w14:textId="77777777" w:rsidR="00F56870" w:rsidRDefault="00481592" w:rsidP="00F56870">
      <w:pPr>
        <w:tabs>
          <w:tab w:val="left" w:pos="1701"/>
        </w:tabs>
        <w:spacing w:after="0"/>
      </w:pPr>
      <w:r>
        <w:t xml:space="preserve">The Department released an Exposure Draft of a proposed allocation limits direction reflecting the ACCC’s recommended approach. A four-week consultation process commenced on </w:t>
      </w:r>
      <w:r w:rsidR="00F56870" w:rsidRPr="00B30D02">
        <w:t>27 April 2021</w:t>
      </w:r>
      <w:r w:rsidR="00F56870" w:rsidRPr="003B08E8">
        <w:t xml:space="preserve">. </w:t>
      </w:r>
      <w:r w:rsidR="00F56870">
        <w:t xml:space="preserve">The department received submissions from: </w:t>
      </w:r>
    </w:p>
    <w:p w14:paraId="1B578C7D" w14:textId="1EC9C554" w:rsidR="00F56870" w:rsidRPr="00830E99" w:rsidRDefault="00F56870" w:rsidP="00F56870">
      <w:pPr>
        <w:pStyle w:val="ListParagraph"/>
        <w:numPr>
          <w:ilvl w:val="0"/>
          <w:numId w:val="7"/>
        </w:numPr>
        <w:tabs>
          <w:tab w:val="left" w:pos="1701"/>
        </w:tabs>
        <w:spacing w:after="0" w:line="240" w:lineRule="auto"/>
      </w:pPr>
      <w:r w:rsidRPr="00830E99">
        <w:t>Telstra</w:t>
      </w:r>
      <w:r w:rsidR="00481592">
        <w:t xml:space="preserve"> (an initial submission followed by a supplementary submission received on 23 June 2021)</w:t>
      </w:r>
      <w:r w:rsidRPr="00830E99">
        <w:t>;</w:t>
      </w:r>
    </w:p>
    <w:p w14:paraId="08B55860" w14:textId="3DA3F8F7" w:rsidR="00F56870" w:rsidRPr="00830E99" w:rsidRDefault="00F56870" w:rsidP="00F56870">
      <w:pPr>
        <w:pStyle w:val="ListParagraph"/>
        <w:numPr>
          <w:ilvl w:val="0"/>
          <w:numId w:val="7"/>
        </w:numPr>
        <w:tabs>
          <w:tab w:val="left" w:pos="1701"/>
        </w:tabs>
        <w:spacing w:after="0" w:line="240" w:lineRule="auto"/>
      </w:pPr>
      <w:r w:rsidRPr="00830E99">
        <w:t>Optus;</w:t>
      </w:r>
    </w:p>
    <w:p w14:paraId="300C20DC" w14:textId="5BB07891" w:rsidR="00F56870" w:rsidRPr="00630170" w:rsidRDefault="00F56870" w:rsidP="00F56870">
      <w:pPr>
        <w:pStyle w:val="ListParagraph"/>
        <w:numPr>
          <w:ilvl w:val="0"/>
          <w:numId w:val="7"/>
        </w:numPr>
        <w:tabs>
          <w:tab w:val="left" w:pos="1701"/>
        </w:tabs>
        <w:spacing w:after="0" w:line="240" w:lineRule="auto"/>
      </w:pPr>
      <w:r w:rsidRPr="00630170">
        <w:t>TPG Telecom</w:t>
      </w:r>
      <w:r w:rsidR="00A77A1A">
        <w:t>;</w:t>
      </w:r>
    </w:p>
    <w:p w14:paraId="5C55646C" w14:textId="1C0E43AC" w:rsidR="00F56870" w:rsidRDefault="00F56870" w:rsidP="00F56870">
      <w:pPr>
        <w:pStyle w:val="ListParagraph"/>
        <w:numPr>
          <w:ilvl w:val="0"/>
          <w:numId w:val="7"/>
        </w:numPr>
        <w:tabs>
          <w:tab w:val="left" w:pos="1701"/>
        </w:tabs>
        <w:spacing w:after="0" w:line="240" w:lineRule="auto"/>
      </w:pPr>
      <w:r>
        <w:lastRenderedPageBreak/>
        <w:t>Regional Rural and Remote Communication Coalition (RRRCC) – with attached supporting statement from Isolated Children’s Parents Association of Australia (ICPA)</w:t>
      </w:r>
      <w:r w:rsidR="00A77A1A">
        <w:t>; and</w:t>
      </w:r>
    </w:p>
    <w:p w14:paraId="52FA6E88" w14:textId="6A46CDA9" w:rsidR="00F56870" w:rsidRPr="00830E99" w:rsidRDefault="00F56870" w:rsidP="00F56870">
      <w:pPr>
        <w:pStyle w:val="ListParagraph"/>
        <w:numPr>
          <w:ilvl w:val="0"/>
          <w:numId w:val="7"/>
        </w:numPr>
        <w:tabs>
          <w:tab w:val="left" w:pos="1701"/>
        </w:tabs>
        <w:spacing w:after="0" w:line="240" w:lineRule="auto"/>
      </w:pPr>
      <w:proofErr w:type="spellStart"/>
      <w:r>
        <w:t>WAFarmers</w:t>
      </w:r>
      <w:proofErr w:type="spellEnd"/>
      <w:r w:rsidR="00A77A1A">
        <w:t>.</w:t>
      </w:r>
    </w:p>
    <w:p w14:paraId="6C6F3570" w14:textId="77777777" w:rsidR="00F56870" w:rsidRDefault="00F56870" w:rsidP="00F56870">
      <w:pPr>
        <w:tabs>
          <w:tab w:val="left" w:pos="1701"/>
        </w:tabs>
        <w:spacing w:after="0"/>
      </w:pPr>
    </w:p>
    <w:p w14:paraId="7CF37004" w14:textId="33E1729A" w:rsidR="00B84D29" w:rsidRDefault="0089380F" w:rsidP="005B2613">
      <w:r w:rsidRPr="00423F5B">
        <w:t xml:space="preserve">As noted above, </w:t>
      </w:r>
      <w:r w:rsidR="00CD797D" w:rsidRPr="002E3E06">
        <w:t>Optus expressed support for an allocation limit of 72 MHz</w:t>
      </w:r>
      <w:r w:rsidR="006F734E" w:rsidRPr="002E3E06">
        <w:t>,</w:t>
      </w:r>
      <w:r w:rsidR="003C33A5" w:rsidRPr="002E3E06">
        <w:t xml:space="preserve"> arguing that the 82 MHz proposed limit places too much emphasis on price discovery which will have negative impacts on competitive downstream markets and the Government’s policy objectives, and suggesting that a </w:t>
      </w:r>
      <w:r w:rsidR="00FB1E59" w:rsidRPr="002E3E06">
        <w:t>72</w:t>
      </w:r>
      <w:r w:rsidR="00FB1E59">
        <w:t> </w:t>
      </w:r>
      <w:r w:rsidR="003C33A5" w:rsidRPr="002E3E06">
        <w:t>MHz limit would still allow demand to exceed supply and all MNOs to acquire some spectrum in the auction. TPG Telecom expressed support for the proposed 82 MHz limit but disagreed with the draft direction’s approach to managing overlap between the proposed geographic boundaries for the auction and those of existing holdings</w:t>
      </w:r>
      <w:r w:rsidR="00AA59BC" w:rsidRPr="00423F5B">
        <w:t xml:space="preserve">. </w:t>
      </w:r>
      <w:r w:rsidR="00D678C8" w:rsidRPr="002E3E06">
        <w:t xml:space="preserve">As outlined above, Telstra </w:t>
      </w:r>
      <w:r w:rsidR="00CD797D" w:rsidRPr="002E3E06">
        <w:t>argued for a</w:t>
      </w:r>
      <w:r w:rsidR="00D678C8" w:rsidRPr="002E3E06">
        <w:t>n overall</w:t>
      </w:r>
      <w:r w:rsidR="00CD797D" w:rsidRPr="002E3E06">
        <w:t xml:space="preserve"> limit of 102 MHz, and </w:t>
      </w:r>
      <w:r w:rsidR="00D678C8" w:rsidRPr="002E3E06">
        <w:t xml:space="preserve">submitted modelling on the expected impact on regional and rural consumers and the 5G rollout. </w:t>
      </w:r>
    </w:p>
    <w:p w14:paraId="01620852" w14:textId="25879CBE" w:rsidR="00F56870" w:rsidRPr="00CD797D" w:rsidRDefault="0089380F" w:rsidP="005B2613">
      <w:r w:rsidRPr="00423F5B">
        <w:t>As noted in the analysis of options in section 4 of this RIS, the Department gave careful consideration to the views expressed in submissions</w:t>
      </w:r>
      <w:r w:rsidR="00AA59BC" w:rsidRPr="00423F5B">
        <w:t>, which informed its conclusion that option 2</w:t>
      </w:r>
      <w:r w:rsidR="00EF302A">
        <w:t>.2</w:t>
      </w:r>
      <w:r w:rsidR="00AA59BC" w:rsidRPr="00423F5B">
        <w:t xml:space="preserve"> strikes the best balance between the assessment criteria identified</w:t>
      </w:r>
      <w:r w:rsidRPr="00423F5B">
        <w:t xml:space="preserve">. </w:t>
      </w:r>
    </w:p>
    <w:p w14:paraId="28E5E45E" w14:textId="77777777" w:rsidR="005B2613" w:rsidRPr="004F26EE" w:rsidRDefault="005B2613" w:rsidP="0061676C">
      <w:pPr>
        <w:pStyle w:val="Heading1"/>
        <w:rPr>
          <w:rFonts w:eastAsia="MingLiU"/>
        </w:rPr>
      </w:pPr>
      <w:bookmarkStart w:id="94" w:name="_Toc76051008"/>
      <w:bookmarkStart w:id="95" w:name="_Toc75770443"/>
      <w:bookmarkStart w:id="96" w:name="_Toc76481430"/>
      <w:bookmarkStart w:id="97" w:name="_Toc76555299"/>
      <w:bookmarkStart w:id="98" w:name="_Toc77081954"/>
      <w:bookmarkStart w:id="99" w:name="_Toc77086755"/>
      <w:bookmarkStart w:id="100" w:name="_Toc78190966"/>
      <w:r w:rsidRPr="004F26EE">
        <w:rPr>
          <w:rFonts w:eastAsia="MingLiU"/>
        </w:rPr>
        <w:lastRenderedPageBreak/>
        <w:t>6 What is the best option from those we have considered?</w:t>
      </w:r>
      <w:bookmarkEnd w:id="94"/>
      <w:bookmarkEnd w:id="95"/>
      <w:bookmarkEnd w:id="96"/>
      <w:bookmarkEnd w:id="97"/>
      <w:bookmarkEnd w:id="98"/>
      <w:bookmarkEnd w:id="99"/>
      <w:bookmarkEnd w:id="100"/>
      <w:r w:rsidRPr="004F26EE">
        <w:rPr>
          <w:rFonts w:eastAsia="MingLiU"/>
        </w:rPr>
        <w:t xml:space="preserve"> </w:t>
      </w:r>
    </w:p>
    <w:p w14:paraId="4F490A80" w14:textId="394CC4BB" w:rsidR="00EF302A" w:rsidRPr="00ED15E6" w:rsidRDefault="004F26EE" w:rsidP="00EF302A">
      <w:r>
        <w:t>Taking into account the feedback received from stakeholders</w:t>
      </w:r>
      <w:r w:rsidR="00EF302A">
        <w:t>,</w:t>
      </w:r>
      <w:r>
        <w:t xml:space="preserve"> the advice from the ACCC,</w:t>
      </w:r>
      <w:r w:rsidR="00EF302A">
        <w:t xml:space="preserve"> and a consideration of the implications of ACMA’s decision on geographic lot disaggregation for the auction,</w:t>
      </w:r>
      <w:r>
        <w:t xml:space="preserve"> the Department considers that </w:t>
      </w:r>
      <w:r w:rsidRPr="00C76C6D">
        <w:t>option 2</w:t>
      </w:r>
      <w:r w:rsidR="00EF302A">
        <w:t>.2</w:t>
      </w:r>
      <w:r w:rsidRPr="00EB64F1">
        <w:t xml:space="preserve"> achieves</w:t>
      </w:r>
      <w:r>
        <w:t xml:space="preserve"> the best balance between supporting an efficient allocation of spectrum and meeting the Government’s communications policy objectives</w:t>
      </w:r>
      <w:r w:rsidR="00F57054">
        <w:t xml:space="preserve">. </w:t>
      </w:r>
    </w:p>
    <w:p w14:paraId="633B24BE" w14:textId="6852DD4C" w:rsidR="00B813ED" w:rsidRDefault="00B813ED" w:rsidP="005B2613">
      <w:r>
        <w:t>As noted above, stakeholders have different views about the extent to which particular options best strike a balance between the identified policy objectives. However, the Department is persuaded by the ACCC’s finding that the primary competition issue for this auction is Optus’ relatively low sub-1</w:t>
      </w:r>
      <w:r w:rsidR="00A77A1A">
        <w:t> </w:t>
      </w:r>
      <w:r>
        <w:t xml:space="preserve">GHz holdings. </w:t>
      </w:r>
      <w:r w:rsidR="00096B99">
        <w:t xml:space="preserve">While Telstra has claimed that </w:t>
      </w:r>
      <w:r w:rsidR="00D77C52">
        <w:t xml:space="preserve">5G rollout will suffer if it is unable to acquire more regional spectrum, the alternative view is that 5G rollout is best served by a competitive market in which Optus has sufficient low-band spectrum to effectively compete with Telstra. </w:t>
      </w:r>
    </w:p>
    <w:p w14:paraId="6CCE7D7F" w14:textId="52AD4B27" w:rsidR="00EF302A" w:rsidRDefault="00EF302A" w:rsidP="005B2613">
      <w:r>
        <w:t>O</w:t>
      </w:r>
      <w:r w:rsidRPr="005B31A7">
        <w:t>ption 2.</w:t>
      </w:r>
      <w:r>
        <w:t>2</w:t>
      </w:r>
      <w:r w:rsidRPr="005B31A7">
        <w:t xml:space="preserve"> </w:t>
      </w:r>
      <w:r>
        <w:t xml:space="preserve">will support competitive tension and encourage investment in infrastructure in the regional/remote areas covered by the smaller lot, while also applying the ACCC’s intended limit to the largest portion </w:t>
      </w:r>
      <w:r>
        <w:lastRenderedPageBreak/>
        <w:t>(by population coverage) of the spectrum to be auctioned and thereby affording Optus the opportunity to acquire sufficient additional spectrum to roll out competitive 4G and 5G services across Australia.</w:t>
      </w:r>
    </w:p>
    <w:p w14:paraId="6307D814" w14:textId="77777777" w:rsidR="005B2613" w:rsidRPr="0061676C" w:rsidRDefault="005B2613" w:rsidP="0061676C">
      <w:pPr>
        <w:pStyle w:val="Heading1"/>
        <w:rPr>
          <w:rFonts w:eastAsia="MingLiU"/>
        </w:rPr>
      </w:pPr>
      <w:bookmarkStart w:id="101" w:name="_Toc76051009"/>
      <w:bookmarkStart w:id="102" w:name="_Toc75770444"/>
      <w:bookmarkStart w:id="103" w:name="_Toc76481431"/>
      <w:bookmarkStart w:id="104" w:name="_Toc76555300"/>
      <w:bookmarkStart w:id="105" w:name="_Toc77081955"/>
      <w:bookmarkStart w:id="106" w:name="_Toc77086756"/>
      <w:bookmarkStart w:id="107" w:name="_Toc78190967"/>
      <w:r w:rsidRPr="005B2613">
        <w:rPr>
          <w:rFonts w:eastAsia="MingLiU"/>
        </w:rPr>
        <w:t xml:space="preserve">7 How will </w:t>
      </w:r>
      <w:r w:rsidR="003F0DA2">
        <w:rPr>
          <w:rFonts w:eastAsia="MingLiU"/>
        </w:rPr>
        <w:t>we</w:t>
      </w:r>
      <w:r w:rsidRPr="005B2613">
        <w:rPr>
          <w:rFonts w:eastAsia="MingLiU"/>
        </w:rPr>
        <w:t xml:space="preserve"> implement and evaluate </w:t>
      </w:r>
      <w:r w:rsidR="003F0DA2">
        <w:rPr>
          <w:rFonts w:eastAsia="MingLiU"/>
        </w:rPr>
        <w:t>the</w:t>
      </w:r>
      <w:r w:rsidRPr="005B2613">
        <w:rPr>
          <w:rFonts w:eastAsia="MingLiU"/>
        </w:rPr>
        <w:t xml:space="preserve"> chosen option?</w:t>
      </w:r>
      <w:bookmarkEnd w:id="101"/>
      <w:bookmarkEnd w:id="102"/>
      <w:bookmarkEnd w:id="103"/>
      <w:bookmarkEnd w:id="104"/>
      <w:bookmarkEnd w:id="105"/>
      <w:bookmarkEnd w:id="106"/>
      <w:bookmarkEnd w:id="107"/>
      <w:r w:rsidRPr="005B2613">
        <w:rPr>
          <w:rFonts w:eastAsia="MingLiU"/>
        </w:rPr>
        <w:t xml:space="preserve"> </w:t>
      </w:r>
    </w:p>
    <w:p w14:paraId="3EF94FA5" w14:textId="0E69C4DD" w:rsidR="003C1535" w:rsidRPr="006F734E" w:rsidRDefault="003C1535" w:rsidP="006F734E">
      <w:pPr>
        <w:keepNext/>
      </w:pPr>
      <w:r w:rsidRPr="00D4527C">
        <w:t>The Minister’s decision regarding allocation limits will be implemented through a direction to the ACMA under section 60 of the Act, and then incorporated into the allocation procedures ACMA is developing for the upcoming 850/900 MHz</w:t>
      </w:r>
      <w:r w:rsidR="006F734E">
        <w:t xml:space="preserve"> spectrum auction.</w:t>
      </w:r>
      <w:r w:rsidR="00854EBE">
        <w:t xml:space="preserve"> </w:t>
      </w:r>
    </w:p>
    <w:p w14:paraId="7D713CF6" w14:textId="77777777" w:rsidR="003C1535" w:rsidRPr="005A5E6C" w:rsidRDefault="006F734E" w:rsidP="003C1535">
      <w:pPr>
        <w:pStyle w:val="Bulletlevel1"/>
        <w:numPr>
          <w:ilvl w:val="0"/>
          <w:numId w:val="0"/>
        </w:numPr>
        <w:rPr>
          <w:rFonts w:eastAsiaTheme="minorEastAsia"/>
        </w:rPr>
      </w:pPr>
      <w:r>
        <w:rPr>
          <w:rFonts w:eastAsiaTheme="minorEastAsia"/>
        </w:rPr>
        <w:t>T</w:t>
      </w:r>
      <w:r w:rsidR="003C1535" w:rsidRPr="005A5E6C">
        <w:rPr>
          <w:rFonts w:eastAsiaTheme="minorEastAsia"/>
        </w:rPr>
        <w:t xml:space="preserve">he Department and ACMA are in regular contact with the stakeholders who are likely to be affected by the allocation limits, and will take up opportunities to seek feedback and incorporate lessons learned into future spectrum allocation decisions. </w:t>
      </w:r>
    </w:p>
    <w:p w14:paraId="7C3CA944" w14:textId="6320091E" w:rsidR="003C1535" w:rsidRPr="005A5E6C" w:rsidRDefault="003C1535" w:rsidP="003C1535">
      <w:r w:rsidRPr="005A5E6C">
        <w:t>The ACCC monitors the competition of the telecommunications sector through its annual telecommunications report.</w:t>
      </w:r>
      <w:r w:rsidRPr="005A5E6C">
        <w:rPr>
          <w:rStyle w:val="FootnoteReference"/>
          <w:sz w:val="24"/>
          <w:szCs w:val="24"/>
        </w:rPr>
        <w:footnoteReference w:id="33"/>
      </w:r>
      <w:r w:rsidRPr="005A5E6C">
        <w:t xml:space="preserve"> The report examines the market power of the industry and the price</w:t>
      </w:r>
      <w:r w:rsidR="001501E3">
        <w:t>s</w:t>
      </w:r>
      <w:r w:rsidRPr="005A5E6C">
        <w:t xml:space="preserve"> paid by consumers, </w:t>
      </w:r>
      <w:r w:rsidRPr="005A5E6C">
        <w:lastRenderedPageBreak/>
        <w:t xml:space="preserve">two aspects of the sector that allocation limits seek to improve. Although it is difficult to assess the effects of allocation limits alone, the ACCC is well placed to monitor the overall competition of the industry. </w:t>
      </w:r>
    </w:p>
    <w:p w14:paraId="4F7DB2E4" w14:textId="77777777" w:rsidR="003C1535" w:rsidRPr="005A5E6C" w:rsidRDefault="006F734E" w:rsidP="003C1535">
      <w:r>
        <w:t>In addition, u</w:t>
      </w:r>
      <w:r w:rsidR="003C1535" w:rsidRPr="005A5E6C">
        <w:t xml:space="preserve">nder section 50 of the </w:t>
      </w:r>
      <w:r w:rsidR="003C1535" w:rsidRPr="005A5E6C">
        <w:rPr>
          <w:i/>
        </w:rPr>
        <w:t>Competition and Consumer Act 2010</w:t>
      </w:r>
      <w:r w:rsidR="003C1535" w:rsidRPr="005A5E6C">
        <w:t xml:space="preserve"> (CCA), the ACCC has the power to intervene </w:t>
      </w:r>
      <w:r w:rsidR="00381821">
        <w:t xml:space="preserve">to prevent </w:t>
      </w:r>
      <w:r w:rsidR="003C1535" w:rsidRPr="005A5E6C">
        <w:t>the issue of spectrum licences if it believes that issuing the licences will have the effect or likely effect of substantially lessening competition in the relevant market.</w:t>
      </w:r>
    </w:p>
    <w:p w14:paraId="2444A467" w14:textId="77777777" w:rsidR="003C1535" w:rsidRPr="00140584" w:rsidRDefault="003C1535" w:rsidP="003C1535">
      <w:pPr>
        <w:pStyle w:val="Heading1"/>
        <w:rPr>
          <w:rFonts w:eastAsia="MingLiU"/>
        </w:rPr>
      </w:pPr>
      <w:bookmarkStart w:id="108" w:name="_Toc518997076"/>
      <w:bookmarkStart w:id="109" w:name="_Toc71281926"/>
      <w:bookmarkStart w:id="110" w:name="_Toc76051010"/>
      <w:bookmarkStart w:id="111" w:name="_Toc75770445"/>
      <w:bookmarkStart w:id="112" w:name="_Toc76481432"/>
      <w:bookmarkStart w:id="113" w:name="_Toc76555301"/>
      <w:bookmarkStart w:id="114" w:name="_Toc77081956"/>
      <w:bookmarkStart w:id="115" w:name="_Toc77086757"/>
      <w:bookmarkStart w:id="116" w:name="_Toc78190968"/>
      <w:r w:rsidRPr="00140584">
        <w:rPr>
          <w:rFonts w:eastAsia="MingLiU"/>
        </w:rPr>
        <w:t>Conclusion</w:t>
      </w:r>
      <w:bookmarkEnd w:id="108"/>
      <w:bookmarkEnd w:id="109"/>
      <w:bookmarkEnd w:id="110"/>
      <w:bookmarkEnd w:id="111"/>
      <w:bookmarkEnd w:id="112"/>
      <w:bookmarkEnd w:id="113"/>
      <w:bookmarkEnd w:id="114"/>
      <w:bookmarkEnd w:id="115"/>
      <w:bookmarkEnd w:id="116"/>
    </w:p>
    <w:p w14:paraId="7863D982" w14:textId="0AB20F95" w:rsidR="003C1535" w:rsidRPr="00140584" w:rsidRDefault="003C1535" w:rsidP="003C1535">
      <w:r w:rsidRPr="00140584">
        <w:t>The Department supports</w:t>
      </w:r>
      <w:r w:rsidR="00140584" w:rsidRPr="00140584">
        <w:t xml:space="preserve"> </w:t>
      </w:r>
      <w:r w:rsidR="00140584" w:rsidRPr="00C76C6D">
        <w:t xml:space="preserve">option </w:t>
      </w:r>
      <w:r w:rsidR="00790967" w:rsidRPr="00C76C6D">
        <w:t>2</w:t>
      </w:r>
      <w:r w:rsidR="00422F70">
        <w:t>.2</w:t>
      </w:r>
      <w:r w:rsidR="00140584">
        <w:t xml:space="preserve"> </w:t>
      </w:r>
      <w:r w:rsidR="00F3156E">
        <w:t>as</w:t>
      </w:r>
      <w:r w:rsidRPr="00140584">
        <w:t xml:space="preserve"> the best option to</w:t>
      </w:r>
      <w:r w:rsidR="00140584">
        <w:t xml:space="preserve"> balance outcomes across the </w:t>
      </w:r>
      <w:r w:rsidR="00EB64F1">
        <w:t xml:space="preserve">identified criteria for </w:t>
      </w:r>
      <w:r w:rsidR="00140584">
        <w:t xml:space="preserve">this allocation. </w:t>
      </w:r>
    </w:p>
    <w:p w14:paraId="6B145129" w14:textId="77777777" w:rsidR="005B2613" w:rsidRDefault="005B2613" w:rsidP="00785E66"/>
    <w:sectPr w:rsidR="005B261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12399" w14:textId="77777777" w:rsidR="009477B0" w:rsidRDefault="009477B0" w:rsidP="00DF5434">
      <w:pPr>
        <w:spacing w:after="0" w:line="240" w:lineRule="auto"/>
      </w:pPr>
      <w:r>
        <w:separator/>
      </w:r>
    </w:p>
  </w:endnote>
  <w:endnote w:type="continuationSeparator" w:id="0">
    <w:p w14:paraId="083B8063" w14:textId="77777777" w:rsidR="009477B0" w:rsidRDefault="009477B0" w:rsidP="00DF5434">
      <w:pPr>
        <w:spacing w:after="0" w:line="240" w:lineRule="auto"/>
      </w:pPr>
      <w:r>
        <w:continuationSeparator/>
      </w:r>
    </w:p>
  </w:endnote>
  <w:endnote w:type="continuationNotice" w:id="1">
    <w:p w14:paraId="6F895BC3" w14:textId="77777777" w:rsidR="009477B0" w:rsidRDefault="00947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75267"/>
      <w:docPartObj>
        <w:docPartGallery w:val="Page Numbers (Bottom of Page)"/>
        <w:docPartUnique/>
      </w:docPartObj>
    </w:sdtPr>
    <w:sdtEndPr/>
    <w:sdtContent>
      <w:sdt>
        <w:sdtPr>
          <w:id w:val="-1769616900"/>
          <w:docPartObj>
            <w:docPartGallery w:val="Page Numbers (Top of Page)"/>
            <w:docPartUnique/>
          </w:docPartObj>
        </w:sdtPr>
        <w:sdtEndPr/>
        <w:sdtContent>
          <w:p w14:paraId="18DDC9DE" w14:textId="67A3361B" w:rsidR="009477B0" w:rsidRDefault="009477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A39DB">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39DB">
              <w:rPr>
                <w:b/>
                <w:bCs/>
                <w:noProof/>
              </w:rPr>
              <w:t>25</w:t>
            </w:r>
            <w:r>
              <w:rPr>
                <w:b/>
                <w:bCs/>
                <w:sz w:val="24"/>
                <w:szCs w:val="24"/>
              </w:rPr>
              <w:fldChar w:fldCharType="end"/>
            </w:r>
          </w:p>
        </w:sdtContent>
      </w:sdt>
    </w:sdtContent>
  </w:sdt>
  <w:p w14:paraId="1E36E2B3" w14:textId="3884F175" w:rsidR="009477B0" w:rsidRPr="0045218B" w:rsidRDefault="009477B0" w:rsidP="00DF5434">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BE9FC" w14:textId="77777777" w:rsidR="009477B0" w:rsidRDefault="009477B0" w:rsidP="00DF5434">
      <w:pPr>
        <w:spacing w:after="0" w:line="240" w:lineRule="auto"/>
      </w:pPr>
      <w:r>
        <w:separator/>
      </w:r>
    </w:p>
  </w:footnote>
  <w:footnote w:type="continuationSeparator" w:id="0">
    <w:p w14:paraId="37AD721F" w14:textId="77777777" w:rsidR="009477B0" w:rsidRDefault="009477B0" w:rsidP="00DF5434">
      <w:pPr>
        <w:spacing w:after="0" w:line="240" w:lineRule="auto"/>
      </w:pPr>
      <w:r>
        <w:continuationSeparator/>
      </w:r>
    </w:p>
  </w:footnote>
  <w:footnote w:type="continuationNotice" w:id="1">
    <w:p w14:paraId="598A940B" w14:textId="77777777" w:rsidR="009477B0" w:rsidRDefault="009477B0">
      <w:pPr>
        <w:spacing w:after="0" w:line="240" w:lineRule="auto"/>
      </w:pPr>
    </w:p>
  </w:footnote>
  <w:footnote w:id="2">
    <w:p w14:paraId="028BB1D0" w14:textId="77777777" w:rsidR="009477B0" w:rsidRDefault="009477B0">
      <w:pPr>
        <w:pStyle w:val="FootnoteText"/>
      </w:pPr>
      <w:r>
        <w:rPr>
          <w:rStyle w:val="FootnoteReference"/>
        </w:rPr>
        <w:footnoteRef/>
      </w:r>
      <w:r>
        <w:t xml:space="preserve"> </w:t>
      </w:r>
      <w:hyperlink r:id="rId1" w:history="1">
        <w:proofErr w:type="spellStart"/>
        <w:r>
          <w:rPr>
            <w:rStyle w:val="Hyperlink"/>
          </w:rPr>
          <w:t>Radiocommunications</w:t>
        </w:r>
        <w:proofErr w:type="spellEnd"/>
        <w:r>
          <w:rPr>
            <w:rStyle w:val="Hyperlink"/>
          </w:rPr>
          <w:t xml:space="preserve"> (Spectrum Re-allocation—850/900 MHz Band) Declaration 2020 (legislation.gov.au)</w:t>
        </w:r>
      </w:hyperlink>
      <w:r>
        <w:t>.</w:t>
      </w:r>
    </w:p>
  </w:footnote>
  <w:footnote w:id="3">
    <w:p w14:paraId="44312572" w14:textId="11F4B0C0" w:rsidR="009477B0" w:rsidRDefault="009477B0">
      <w:pPr>
        <w:pStyle w:val="FootnoteText"/>
      </w:pPr>
      <w:r>
        <w:rPr>
          <w:rStyle w:val="FootnoteReference"/>
        </w:rPr>
        <w:footnoteRef/>
      </w:r>
      <w:r>
        <w:t xml:space="preserve"> To support continuity of services, the Minister has decided to offer Optus and TPG the opportunity to take up a guarantee, or set aside, of 2 x 5 MHz of spectrum each in the 900 MHz band. This spectrum will count towards the maximum amount of spectrum allowed under any allocation limit. </w:t>
      </w:r>
    </w:p>
  </w:footnote>
  <w:footnote w:id="4">
    <w:p w14:paraId="2C7658B0" w14:textId="77777777" w:rsidR="009477B0" w:rsidRDefault="009477B0">
      <w:pPr>
        <w:pStyle w:val="FootnoteText"/>
      </w:pPr>
      <w:r>
        <w:rPr>
          <w:rStyle w:val="FootnoteReference"/>
        </w:rPr>
        <w:footnoteRef/>
      </w:r>
      <w:r>
        <w:t xml:space="preserve"> The ACCC’s advice to the Minister, and responses to the ACCC’s consultation, are available at the following link: </w:t>
      </w:r>
      <w:hyperlink r:id="rId2" w:history="1">
        <w:r>
          <w:rPr>
            <w:rStyle w:val="Hyperlink"/>
          </w:rPr>
          <w:t>Request for advice - 850/900 MHz spectrum | ACCC</w:t>
        </w:r>
      </w:hyperlink>
      <w:r>
        <w:t>.</w:t>
      </w:r>
    </w:p>
  </w:footnote>
  <w:footnote w:id="5">
    <w:p w14:paraId="53353359" w14:textId="77777777" w:rsidR="009477B0" w:rsidRDefault="009477B0">
      <w:pPr>
        <w:pStyle w:val="FootnoteText"/>
      </w:pPr>
      <w:r>
        <w:rPr>
          <w:rStyle w:val="FootnoteReference"/>
        </w:rPr>
        <w:footnoteRef/>
      </w:r>
      <w:r>
        <w:t xml:space="preserve"> The Department conducted consultation on an exposure draft of an allocation limits direction in April-May 2021: </w:t>
      </w:r>
      <w:hyperlink r:id="rId3" w:history="1">
        <w:r>
          <w:rPr>
            <w:rStyle w:val="Hyperlink"/>
          </w:rPr>
          <w:t>850/900 MHz Auction Allocation Limits Exposure Draft | Department of Infrastructure, Transport, Regional Development and Communications</w:t>
        </w:r>
      </w:hyperlink>
      <w:r>
        <w:t>.</w:t>
      </w:r>
    </w:p>
  </w:footnote>
  <w:footnote w:id="6">
    <w:p w14:paraId="3AFFCE40" w14:textId="326D2645" w:rsidR="009477B0" w:rsidRDefault="009477B0" w:rsidP="00277999">
      <w:pPr>
        <w:pStyle w:val="FootnoteText"/>
      </w:pPr>
      <w:r>
        <w:rPr>
          <w:rStyle w:val="FootnoteReference"/>
        </w:rPr>
        <w:footnoteRef/>
      </w:r>
      <w:r>
        <w:t xml:space="preserve"> ACCC advice, pp9-10.</w:t>
      </w:r>
    </w:p>
  </w:footnote>
  <w:footnote w:id="7">
    <w:p w14:paraId="2962A3D2" w14:textId="0BA09D2D" w:rsidR="009477B0" w:rsidRDefault="009477B0">
      <w:pPr>
        <w:pStyle w:val="FootnoteText"/>
      </w:pPr>
      <w:r>
        <w:rPr>
          <w:rStyle w:val="FootnoteReference"/>
        </w:rPr>
        <w:footnoteRef/>
      </w:r>
      <w:r>
        <w:t xml:space="preserve"> ACCC advice, p2-3. </w:t>
      </w:r>
    </w:p>
  </w:footnote>
  <w:footnote w:id="8">
    <w:p w14:paraId="05837721" w14:textId="3DCC017E" w:rsidR="009477B0" w:rsidRDefault="009477B0" w:rsidP="00A81AF5">
      <w:pPr>
        <w:pStyle w:val="FootnoteText"/>
      </w:pPr>
      <w:r>
        <w:rPr>
          <w:rStyle w:val="FootnoteReference"/>
        </w:rPr>
        <w:footnoteRef/>
      </w:r>
      <w:r>
        <w:t xml:space="preserve"> ACCC advice, p5.</w:t>
      </w:r>
    </w:p>
  </w:footnote>
  <w:footnote w:id="9">
    <w:p w14:paraId="0570FD80" w14:textId="223E627F" w:rsidR="009477B0" w:rsidRDefault="009477B0" w:rsidP="005C5ED4">
      <w:pPr>
        <w:pStyle w:val="FootnoteText"/>
      </w:pPr>
      <w:r>
        <w:rPr>
          <w:rStyle w:val="FootnoteReference"/>
        </w:rPr>
        <w:footnoteRef/>
      </w:r>
      <w:r>
        <w:t xml:space="preserve"> </w:t>
      </w:r>
      <w:hyperlink r:id="rId4" w:history="1">
        <w:r w:rsidRPr="0030001D">
          <w:rPr>
            <w:rStyle w:val="Hyperlink"/>
          </w:rPr>
          <w:t>https://www.communications.gov.au/documents/communications-policy-objectives-allocation-850-and-900-mhz-bands</w:t>
        </w:r>
      </w:hyperlink>
    </w:p>
  </w:footnote>
  <w:footnote w:id="10">
    <w:p w14:paraId="455AADEA" w14:textId="77777777" w:rsidR="009477B0" w:rsidRDefault="009477B0">
      <w:pPr>
        <w:pStyle w:val="FootnoteText"/>
      </w:pPr>
      <w:r>
        <w:rPr>
          <w:rStyle w:val="FootnoteReference"/>
        </w:rPr>
        <w:footnoteRef/>
      </w:r>
      <w:r>
        <w:t xml:space="preserve"> The 26 GHz auction concluded in April 2021: information on auction outcomes is available at </w:t>
      </w:r>
      <w:hyperlink r:id="rId5" w:history="1">
        <w:r>
          <w:rPr>
            <w:rStyle w:val="Hyperlink"/>
          </w:rPr>
          <w:t>Auction summary – 26 GHz band (2021) | ACMA</w:t>
        </w:r>
      </w:hyperlink>
      <w:r>
        <w:t>.</w:t>
      </w:r>
    </w:p>
  </w:footnote>
  <w:footnote w:id="11">
    <w:p w14:paraId="42CEC246" w14:textId="23A7D9B3" w:rsidR="009477B0" w:rsidRDefault="009477B0">
      <w:pPr>
        <w:pStyle w:val="FootnoteText"/>
      </w:pPr>
      <w:r>
        <w:rPr>
          <w:rStyle w:val="FootnoteReference"/>
        </w:rPr>
        <w:footnoteRef/>
      </w:r>
      <w:r>
        <w:t xml:space="preserve"> ACCC advice, p19.</w:t>
      </w:r>
    </w:p>
  </w:footnote>
  <w:footnote w:id="12">
    <w:p w14:paraId="10FFD039" w14:textId="0254B5FF" w:rsidR="009477B0" w:rsidRDefault="009477B0">
      <w:pPr>
        <w:pStyle w:val="FootnoteText"/>
      </w:pPr>
      <w:r>
        <w:rPr>
          <w:rStyle w:val="FootnoteReference"/>
        </w:rPr>
        <w:footnoteRef/>
      </w:r>
      <w:r>
        <w:t xml:space="preserve"> ACCC advice, p9.</w:t>
      </w:r>
    </w:p>
  </w:footnote>
  <w:footnote w:id="13">
    <w:p w14:paraId="40E3D78D" w14:textId="166E7116" w:rsidR="009477B0" w:rsidRDefault="009477B0">
      <w:pPr>
        <w:pStyle w:val="FootnoteText"/>
      </w:pPr>
      <w:r>
        <w:rPr>
          <w:rStyle w:val="FootnoteReference"/>
        </w:rPr>
        <w:footnoteRef/>
      </w:r>
      <w:r>
        <w:t xml:space="preserve"> ACCC advice, p15.</w:t>
      </w:r>
    </w:p>
  </w:footnote>
  <w:footnote w:id="14">
    <w:p w14:paraId="7FD10294" w14:textId="6A0940F0" w:rsidR="009477B0" w:rsidRDefault="009477B0">
      <w:pPr>
        <w:pStyle w:val="FootnoteText"/>
      </w:pPr>
      <w:r>
        <w:rPr>
          <w:rStyle w:val="FootnoteReference"/>
        </w:rPr>
        <w:footnoteRef/>
      </w:r>
      <w:r>
        <w:t xml:space="preserve"> ACCC advice, pp2-3.</w:t>
      </w:r>
    </w:p>
  </w:footnote>
  <w:footnote w:id="15">
    <w:p w14:paraId="105CD71D" w14:textId="3A8D8D23" w:rsidR="009477B0" w:rsidRDefault="009477B0">
      <w:pPr>
        <w:pStyle w:val="FootnoteText"/>
      </w:pPr>
      <w:r>
        <w:rPr>
          <w:rStyle w:val="FootnoteReference"/>
        </w:rPr>
        <w:footnoteRef/>
      </w:r>
      <w:r>
        <w:t xml:space="preserve"> The spectrum is being auctioned in 10 MHz lots (each of which comprises a paired 2 x 5 MHz frequency). To account for the extra 2 MHz of spectrum being auctioned in the 850 MHz expansion band (which will be bundled with the lower lot of the 900 MHz band), all options are framed as an overall limit ending in 2 </w:t>
      </w:r>
      <w:proofErr w:type="spellStart"/>
      <w:r>
        <w:t>MHz.</w:t>
      </w:r>
      <w:proofErr w:type="spellEnd"/>
    </w:p>
  </w:footnote>
  <w:footnote w:id="16">
    <w:p w14:paraId="326552EC" w14:textId="77777777" w:rsidR="009477B0" w:rsidRDefault="009477B0" w:rsidP="0069476D">
      <w:pPr>
        <w:pStyle w:val="FootnoteText"/>
      </w:pPr>
      <w:r>
        <w:rPr>
          <w:rStyle w:val="FootnoteReference"/>
        </w:rPr>
        <w:footnoteRef/>
      </w:r>
      <w:r>
        <w:t xml:space="preserve"> ACCC advice, p18.</w:t>
      </w:r>
    </w:p>
  </w:footnote>
  <w:footnote w:id="17">
    <w:p w14:paraId="443374EF" w14:textId="200636DA" w:rsidR="009477B0" w:rsidRDefault="009477B0">
      <w:pPr>
        <w:pStyle w:val="FootnoteText"/>
      </w:pPr>
      <w:r>
        <w:rPr>
          <w:rStyle w:val="FootnoteReference"/>
        </w:rPr>
        <w:footnoteRef/>
      </w:r>
      <w:r>
        <w:t xml:space="preserve"> Facilitating “the efficient planning, allocation and use of the spectrum” is separately mentioned in the object of the Act (subsection 3(a)), in addition to “supporting the communications policy objectives of the Commonwealth Government” (subsection 3(c)).</w:t>
      </w:r>
    </w:p>
  </w:footnote>
  <w:footnote w:id="18">
    <w:p w14:paraId="233143B9" w14:textId="75DBE34C" w:rsidR="009477B0" w:rsidRDefault="009477B0" w:rsidP="006D3D0B">
      <w:pPr>
        <w:pStyle w:val="FootnoteText"/>
      </w:pPr>
      <w:r>
        <w:rPr>
          <w:rStyle w:val="FootnoteReference"/>
        </w:rPr>
        <w:footnoteRef/>
      </w:r>
      <w:r>
        <w:t xml:space="preserve"> Optus submission to Department, p4.</w:t>
      </w:r>
    </w:p>
  </w:footnote>
  <w:footnote w:id="19">
    <w:p w14:paraId="65C5AD4F" w14:textId="21204497" w:rsidR="009477B0" w:rsidRDefault="009477B0">
      <w:pPr>
        <w:pStyle w:val="FootnoteText"/>
      </w:pPr>
      <w:r w:rsidRPr="00D51C84">
        <w:rPr>
          <w:rStyle w:val="FootnoteReference"/>
        </w:rPr>
        <w:footnoteRef/>
      </w:r>
      <w:r w:rsidRPr="00D51C84">
        <w:t xml:space="preserve"> </w:t>
      </w:r>
      <w:r w:rsidRPr="00913E63">
        <w:t>Telstra supplementary submission to Department, p3.</w:t>
      </w:r>
    </w:p>
  </w:footnote>
  <w:footnote w:id="20">
    <w:p w14:paraId="785B3091" w14:textId="6A5BAC19" w:rsidR="009477B0" w:rsidRDefault="009477B0">
      <w:pPr>
        <w:pStyle w:val="FootnoteText"/>
      </w:pPr>
      <w:r>
        <w:rPr>
          <w:rStyle w:val="FootnoteReference"/>
        </w:rPr>
        <w:footnoteRef/>
      </w:r>
      <w:r>
        <w:t xml:space="preserve"> Telstra submission to department, p4.</w:t>
      </w:r>
    </w:p>
  </w:footnote>
  <w:footnote w:id="21">
    <w:p w14:paraId="30006019" w14:textId="45B65D0C" w:rsidR="009477B0" w:rsidRDefault="009477B0" w:rsidP="00747F8F">
      <w:pPr>
        <w:pStyle w:val="CommentText"/>
        <w:spacing w:after="0"/>
      </w:pPr>
      <w:r>
        <w:rPr>
          <w:rStyle w:val="FootnoteReference"/>
        </w:rPr>
        <w:footnoteRef/>
      </w:r>
      <w:r>
        <w:t xml:space="preserve"> </w:t>
      </w:r>
      <w:r>
        <w:rPr>
          <w:noProof/>
        </w:rPr>
        <w:t>Optus submission to Department, p4.</w:t>
      </w:r>
    </w:p>
  </w:footnote>
  <w:footnote w:id="22">
    <w:p w14:paraId="081A1FA9" w14:textId="6501AC07" w:rsidR="009477B0" w:rsidRDefault="009477B0">
      <w:pPr>
        <w:pStyle w:val="FootnoteText"/>
      </w:pPr>
      <w:r>
        <w:rPr>
          <w:rStyle w:val="FootnoteReference"/>
        </w:rPr>
        <w:footnoteRef/>
      </w:r>
      <w:r>
        <w:t xml:space="preserve"> </w:t>
      </w:r>
      <w:r w:rsidRPr="00144D34">
        <w:t xml:space="preserve">Telstra </w:t>
      </w:r>
      <w:r>
        <w:t>submission, p</w:t>
      </w:r>
      <w:r w:rsidRPr="00144D34">
        <w:t>4.</w:t>
      </w:r>
    </w:p>
  </w:footnote>
  <w:footnote w:id="23">
    <w:p w14:paraId="2EB7AA38" w14:textId="46B3EDC2" w:rsidR="009477B0" w:rsidRDefault="009477B0">
      <w:pPr>
        <w:pStyle w:val="FootnoteText"/>
      </w:pPr>
      <w:r>
        <w:rPr>
          <w:rStyle w:val="FootnoteReference"/>
        </w:rPr>
        <w:footnoteRef/>
      </w:r>
      <w:r>
        <w:t xml:space="preserve"> </w:t>
      </w:r>
      <w:r w:rsidRPr="00E26156">
        <w:t>Telstra supplementary submission, p3</w:t>
      </w:r>
      <w:r w:rsidRPr="005A5817">
        <w:t>5</w:t>
      </w:r>
    </w:p>
  </w:footnote>
  <w:footnote w:id="24">
    <w:p w14:paraId="0519D99B" w14:textId="77777777" w:rsidR="009477B0" w:rsidRPr="00C60133" w:rsidRDefault="009477B0">
      <w:pPr>
        <w:pStyle w:val="FootnoteText"/>
      </w:pPr>
      <w:r>
        <w:rPr>
          <w:rStyle w:val="FootnoteReference"/>
        </w:rPr>
        <w:footnoteRef/>
      </w:r>
      <w:r>
        <w:t xml:space="preserve"> </w:t>
      </w:r>
      <w:r>
        <w:rPr>
          <w:i/>
        </w:rPr>
        <w:t>Spectrum Pricing Review</w:t>
      </w:r>
      <w:r>
        <w:t xml:space="preserve">, p5, </w:t>
      </w:r>
      <w:hyperlink r:id="rId6" w:history="1">
        <w:r>
          <w:rPr>
            <w:rStyle w:val="Hyperlink"/>
          </w:rPr>
          <w:t>Spectrum Pricing review | Department of Infrastructure, Transport, Regional Development and Communications</w:t>
        </w:r>
      </w:hyperlink>
    </w:p>
  </w:footnote>
  <w:footnote w:id="25">
    <w:p w14:paraId="0CE14AF8" w14:textId="77777777" w:rsidR="009477B0" w:rsidRDefault="009477B0" w:rsidP="003F2F92">
      <w:pPr>
        <w:pStyle w:val="FootnoteText"/>
      </w:pPr>
      <w:r>
        <w:rPr>
          <w:rStyle w:val="FootnoteReference"/>
        </w:rPr>
        <w:footnoteRef/>
      </w:r>
      <w:r>
        <w:t xml:space="preserve"> ACCC advice, p3. </w:t>
      </w:r>
    </w:p>
  </w:footnote>
  <w:footnote w:id="26">
    <w:p w14:paraId="59071A4F" w14:textId="7FB4F953" w:rsidR="009477B0" w:rsidRPr="006D0D37" w:rsidRDefault="009477B0">
      <w:pPr>
        <w:pStyle w:val="FootnoteText"/>
        <w:rPr>
          <w:highlight w:val="yellow"/>
        </w:rPr>
      </w:pPr>
      <w:r>
        <w:rPr>
          <w:rStyle w:val="FootnoteReference"/>
        </w:rPr>
        <w:footnoteRef/>
      </w:r>
      <w:r>
        <w:t xml:space="preserve"> </w:t>
      </w:r>
      <w:r w:rsidRPr="00B604CC">
        <w:t>Telstra supplementary submission, p3.</w:t>
      </w:r>
    </w:p>
  </w:footnote>
  <w:footnote w:id="27">
    <w:p w14:paraId="45047DCB" w14:textId="78D6D184" w:rsidR="009477B0" w:rsidRDefault="009477B0">
      <w:pPr>
        <w:pStyle w:val="FootnoteText"/>
      </w:pPr>
      <w:r w:rsidRPr="00B63E3B">
        <w:rPr>
          <w:rStyle w:val="FootnoteReference"/>
        </w:rPr>
        <w:footnoteRef/>
      </w:r>
      <w:r w:rsidRPr="00B63E3B">
        <w:t xml:space="preserve"> </w:t>
      </w:r>
      <w:r w:rsidRPr="009C269B">
        <w:t>Telstra supplementary submission, p3.</w:t>
      </w:r>
    </w:p>
  </w:footnote>
  <w:footnote w:id="28">
    <w:p w14:paraId="4BA9B663" w14:textId="167A3785" w:rsidR="009477B0" w:rsidRDefault="009477B0" w:rsidP="009B13A8">
      <w:pPr>
        <w:pStyle w:val="FootnoteText"/>
      </w:pPr>
      <w:r>
        <w:rPr>
          <w:rStyle w:val="FootnoteReference"/>
        </w:rPr>
        <w:footnoteRef/>
      </w:r>
      <w:r>
        <w:t xml:space="preserve"> ACCC advice, p15.</w:t>
      </w:r>
    </w:p>
  </w:footnote>
  <w:footnote w:id="29">
    <w:p w14:paraId="1C2BE8BB" w14:textId="77777777" w:rsidR="009477B0" w:rsidRDefault="009477B0" w:rsidP="00B861BD">
      <w:pPr>
        <w:pStyle w:val="FootnoteText"/>
      </w:pPr>
      <w:r>
        <w:rPr>
          <w:rStyle w:val="FootnoteReference"/>
        </w:rPr>
        <w:footnoteRef/>
      </w:r>
      <w:r>
        <w:t xml:space="preserve"> ACCC advice, p19.</w:t>
      </w:r>
    </w:p>
  </w:footnote>
  <w:footnote w:id="30">
    <w:p w14:paraId="6AD10CE7" w14:textId="283F423D" w:rsidR="009477B0" w:rsidRDefault="009477B0">
      <w:pPr>
        <w:pStyle w:val="FootnoteText"/>
      </w:pPr>
      <w:r>
        <w:rPr>
          <w:rStyle w:val="FootnoteReference"/>
        </w:rPr>
        <w:footnoteRef/>
      </w:r>
      <w:r>
        <w:t xml:space="preserve"> </w:t>
      </w:r>
      <w:r w:rsidR="00451C6C" w:rsidRPr="00451C6C">
        <w:rPr>
          <w:highlight w:val="black"/>
        </w:rPr>
        <w:t>XXXXXXXXXXXXXXXXXXXXXXXXXXXXXXXX</w:t>
      </w:r>
      <w:r w:rsidRPr="00451C6C">
        <w:rPr>
          <w:highlight w:val="black"/>
        </w:rPr>
        <w:t>.</w:t>
      </w:r>
    </w:p>
  </w:footnote>
  <w:footnote w:id="31">
    <w:p w14:paraId="409A1864" w14:textId="6430BDEC" w:rsidR="009477B0" w:rsidRDefault="009477B0">
      <w:pPr>
        <w:pStyle w:val="FootnoteText"/>
      </w:pPr>
      <w:r>
        <w:rPr>
          <w:rStyle w:val="FootnoteReference"/>
        </w:rPr>
        <w:footnoteRef/>
      </w:r>
      <w:r>
        <w:t xml:space="preserve"> </w:t>
      </w:r>
      <w:r w:rsidRPr="00816AEF">
        <w:t>Telstra supplementary submission, p4.</w:t>
      </w:r>
      <w:r>
        <w:t xml:space="preserve"> </w:t>
      </w:r>
    </w:p>
  </w:footnote>
  <w:footnote w:id="32">
    <w:p w14:paraId="48C6D286" w14:textId="77777777" w:rsidR="009477B0" w:rsidRDefault="009477B0" w:rsidP="00F56870">
      <w:pPr>
        <w:pStyle w:val="FootnoteText"/>
      </w:pPr>
      <w:r>
        <w:rPr>
          <w:rStyle w:val="FootnoteReference"/>
        </w:rPr>
        <w:footnoteRef/>
      </w:r>
      <w:r>
        <w:t xml:space="preserve"> </w:t>
      </w:r>
      <w:hyperlink r:id="rId7" w:history="1">
        <w:r>
          <w:rPr>
            <w:color w:val="0000FF"/>
            <w:sz w:val="22"/>
            <w:szCs w:val="22"/>
            <w:u w:val="single"/>
          </w:rPr>
          <w:t>https://www.accc.gov.au/regulated-infrastructure/communications/mobile-services/spectrum-competition-limits/request-for-advice-850-900-mhz-spectrum</w:t>
        </w:r>
      </w:hyperlink>
    </w:p>
  </w:footnote>
  <w:footnote w:id="33">
    <w:p w14:paraId="0E87415D" w14:textId="77777777" w:rsidR="009477B0" w:rsidRDefault="009477B0" w:rsidP="003C1535">
      <w:pPr>
        <w:pStyle w:val="FootnoteText"/>
      </w:pPr>
      <w:r>
        <w:rPr>
          <w:rStyle w:val="FootnoteReference"/>
        </w:rPr>
        <w:footnoteRef/>
      </w:r>
      <w:r w:rsidRPr="00217034">
        <w:t xml:space="preserve"> Australian Competition and Consumer Commission (ACCC), </w:t>
      </w:r>
      <w:hyperlink r:id="rId8" w:history="1">
        <w:r w:rsidRPr="00217034">
          <w:rPr>
            <w:rStyle w:val="Hyperlink"/>
          </w:rPr>
          <w:t>ACCC telecommunications market 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76F48" w14:textId="0B5B2651" w:rsidR="009477B0" w:rsidRPr="0045218B" w:rsidRDefault="009477B0" w:rsidP="00DF5434">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051"/>
    <w:multiLevelType w:val="hybridMultilevel"/>
    <w:tmpl w:val="4388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C1DC0"/>
    <w:multiLevelType w:val="hybridMultilevel"/>
    <w:tmpl w:val="1556E2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D8A1ED0"/>
    <w:multiLevelType w:val="hybridMultilevel"/>
    <w:tmpl w:val="B7A4B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D73AF"/>
    <w:multiLevelType w:val="hybridMultilevel"/>
    <w:tmpl w:val="84DC9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E3385"/>
    <w:multiLevelType w:val="hybridMultilevel"/>
    <w:tmpl w:val="613EFE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2D50D9"/>
    <w:multiLevelType w:val="hybridMultilevel"/>
    <w:tmpl w:val="12C6A450"/>
    <w:lvl w:ilvl="0" w:tplc="37A65F14">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82C75"/>
    <w:multiLevelType w:val="hybridMultilevel"/>
    <w:tmpl w:val="BFD4E1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095B26"/>
    <w:multiLevelType w:val="multilevel"/>
    <w:tmpl w:val="65E6BAE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95F4B89"/>
    <w:multiLevelType w:val="hybridMultilevel"/>
    <w:tmpl w:val="7BF62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17734"/>
    <w:multiLevelType w:val="hybridMultilevel"/>
    <w:tmpl w:val="BB0AE9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2726D3C"/>
    <w:multiLevelType w:val="hybridMultilevel"/>
    <w:tmpl w:val="C7FA67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362CA4"/>
    <w:multiLevelType w:val="hybridMultilevel"/>
    <w:tmpl w:val="7E9CA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A0D14"/>
    <w:multiLevelType w:val="hybridMultilevel"/>
    <w:tmpl w:val="3CE6C174"/>
    <w:lvl w:ilvl="0" w:tplc="E17ABC2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501254"/>
    <w:multiLevelType w:val="hybridMultilevel"/>
    <w:tmpl w:val="613EFE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CD3D80"/>
    <w:multiLevelType w:val="hybridMultilevel"/>
    <w:tmpl w:val="3934E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C63A44"/>
    <w:multiLevelType w:val="hybridMultilevel"/>
    <w:tmpl w:val="04440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AB3B17"/>
    <w:multiLevelType w:val="hybridMultilevel"/>
    <w:tmpl w:val="DB3AF280"/>
    <w:lvl w:ilvl="0" w:tplc="503ED64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3C52433"/>
    <w:multiLevelType w:val="hybridMultilevel"/>
    <w:tmpl w:val="E2D0F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0076A9"/>
    <w:multiLevelType w:val="hybridMultilevel"/>
    <w:tmpl w:val="0B123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B7593E"/>
    <w:multiLevelType w:val="hybridMultilevel"/>
    <w:tmpl w:val="F52AD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ED1116"/>
    <w:multiLevelType w:val="hybridMultilevel"/>
    <w:tmpl w:val="6136B76C"/>
    <w:lvl w:ilvl="0" w:tplc="0C09000F">
      <w:start w:val="1"/>
      <w:numFmt w:val="decimal"/>
      <w:lvlText w:val="%1."/>
      <w:lvlJc w:val="left"/>
      <w:pPr>
        <w:ind w:left="765" w:hanging="360"/>
      </w:p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num w:numId="1">
    <w:abstractNumId w:val="12"/>
  </w:num>
  <w:num w:numId="2">
    <w:abstractNumId w:val="15"/>
  </w:num>
  <w:num w:numId="3">
    <w:abstractNumId w:val="3"/>
  </w:num>
  <w:num w:numId="4">
    <w:abstractNumId w:val="8"/>
  </w:num>
  <w:num w:numId="5">
    <w:abstractNumId w:val="20"/>
  </w:num>
  <w:num w:numId="6">
    <w:abstractNumId w:val="4"/>
  </w:num>
  <w:num w:numId="7">
    <w:abstractNumId w:val="9"/>
  </w:num>
  <w:num w:numId="8">
    <w:abstractNumId w:val="19"/>
  </w:num>
  <w:num w:numId="9">
    <w:abstractNumId w:val="1"/>
  </w:num>
  <w:num w:numId="10">
    <w:abstractNumId w:val="6"/>
  </w:num>
  <w:num w:numId="11">
    <w:abstractNumId w:val="5"/>
  </w:num>
  <w:num w:numId="12">
    <w:abstractNumId w:val="14"/>
  </w:num>
  <w:num w:numId="13">
    <w:abstractNumId w:val="2"/>
  </w:num>
  <w:num w:numId="14">
    <w:abstractNumId w:val="0"/>
  </w:num>
  <w:num w:numId="15">
    <w:abstractNumId w:val="7"/>
  </w:num>
  <w:num w:numId="16">
    <w:abstractNumId w:val="13"/>
  </w:num>
  <w:num w:numId="17">
    <w:abstractNumId w:val="11"/>
  </w:num>
  <w:num w:numId="18">
    <w:abstractNumId w:val="21"/>
  </w:num>
  <w:num w:numId="19">
    <w:abstractNumId w:val="16"/>
  </w:num>
  <w:num w:numId="20">
    <w:abstractNumId w:val="18"/>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5A"/>
    <w:rsid w:val="0000057D"/>
    <w:rsid w:val="00005DCB"/>
    <w:rsid w:val="00006F10"/>
    <w:rsid w:val="00011D8A"/>
    <w:rsid w:val="00012160"/>
    <w:rsid w:val="00012B54"/>
    <w:rsid w:val="00013691"/>
    <w:rsid w:val="00015CAD"/>
    <w:rsid w:val="00016833"/>
    <w:rsid w:val="0002047D"/>
    <w:rsid w:val="00020C2B"/>
    <w:rsid w:val="00021178"/>
    <w:rsid w:val="000212C3"/>
    <w:rsid w:val="00021AB5"/>
    <w:rsid w:val="00021C59"/>
    <w:rsid w:val="00023567"/>
    <w:rsid w:val="00024183"/>
    <w:rsid w:val="00024D00"/>
    <w:rsid w:val="000268FE"/>
    <w:rsid w:val="00026E5E"/>
    <w:rsid w:val="000272AE"/>
    <w:rsid w:val="000300F4"/>
    <w:rsid w:val="00030C35"/>
    <w:rsid w:val="00031D8E"/>
    <w:rsid w:val="00031EC0"/>
    <w:rsid w:val="000330BF"/>
    <w:rsid w:val="000343D0"/>
    <w:rsid w:val="00036D4F"/>
    <w:rsid w:val="00037642"/>
    <w:rsid w:val="00040121"/>
    <w:rsid w:val="00041D73"/>
    <w:rsid w:val="00042D74"/>
    <w:rsid w:val="0004379F"/>
    <w:rsid w:val="0004413A"/>
    <w:rsid w:val="000441EF"/>
    <w:rsid w:val="000442AF"/>
    <w:rsid w:val="00045E54"/>
    <w:rsid w:val="000461F0"/>
    <w:rsid w:val="00046738"/>
    <w:rsid w:val="00046B7A"/>
    <w:rsid w:val="00050074"/>
    <w:rsid w:val="000529D7"/>
    <w:rsid w:val="00054261"/>
    <w:rsid w:val="0005461B"/>
    <w:rsid w:val="000546CD"/>
    <w:rsid w:val="00054784"/>
    <w:rsid w:val="0005541A"/>
    <w:rsid w:val="0005680C"/>
    <w:rsid w:val="00057071"/>
    <w:rsid w:val="00057101"/>
    <w:rsid w:val="000578A6"/>
    <w:rsid w:val="00057B2B"/>
    <w:rsid w:val="00060D0E"/>
    <w:rsid w:val="0006105A"/>
    <w:rsid w:val="0006167F"/>
    <w:rsid w:val="00061EF6"/>
    <w:rsid w:val="0006265D"/>
    <w:rsid w:val="00062671"/>
    <w:rsid w:val="000626B8"/>
    <w:rsid w:val="0006283B"/>
    <w:rsid w:val="000629BE"/>
    <w:rsid w:val="0006327F"/>
    <w:rsid w:val="000635A7"/>
    <w:rsid w:val="0006407C"/>
    <w:rsid w:val="0006450F"/>
    <w:rsid w:val="00065850"/>
    <w:rsid w:val="00065EF3"/>
    <w:rsid w:val="00067B25"/>
    <w:rsid w:val="00067BC2"/>
    <w:rsid w:val="00070091"/>
    <w:rsid w:val="00070296"/>
    <w:rsid w:val="00071566"/>
    <w:rsid w:val="00072312"/>
    <w:rsid w:val="000725B7"/>
    <w:rsid w:val="0007317C"/>
    <w:rsid w:val="0007330A"/>
    <w:rsid w:val="00073B44"/>
    <w:rsid w:val="000743BE"/>
    <w:rsid w:val="00075DC8"/>
    <w:rsid w:val="00076C37"/>
    <w:rsid w:val="00077A74"/>
    <w:rsid w:val="00077BCA"/>
    <w:rsid w:val="00080620"/>
    <w:rsid w:val="00080632"/>
    <w:rsid w:val="00082098"/>
    <w:rsid w:val="000820B3"/>
    <w:rsid w:val="000825CE"/>
    <w:rsid w:val="0008653E"/>
    <w:rsid w:val="00086B3C"/>
    <w:rsid w:val="0008720C"/>
    <w:rsid w:val="0009034A"/>
    <w:rsid w:val="000905B0"/>
    <w:rsid w:val="00091972"/>
    <w:rsid w:val="00093178"/>
    <w:rsid w:val="0009445C"/>
    <w:rsid w:val="00094D1F"/>
    <w:rsid w:val="00095665"/>
    <w:rsid w:val="00095AB7"/>
    <w:rsid w:val="00096B99"/>
    <w:rsid w:val="00097B85"/>
    <w:rsid w:val="000A0220"/>
    <w:rsid w:val="000A109F"/>
    <w:rsid w:val="000A2F62"/>
    <w:rsid w:val="000A3BB5"/>
    <w:rsid w:val="000A4D5F"/>
    <w:rsid w:val="000A534E"/>
    <w:rsid w:val="000A58F6"/>
    <w:rsid w:val="000A6125"/>
    <w:rsid w:val="000B116D"/>
    <w:rsid w:val="000B28FE"/>
    <w:rsid w:val="000B4B60"/>
    <w:rsid w:val="000B65A5"/>
    <w:rsid w:val="000B6B3D"/>
    <w:rsid w:val="000B6B60"/>
    <w:rsid w:val="000B6BE3"/>
    <w:rsid w:val="000C027E"/>
    <w:rsid w:val="000C041F"/>
    <w:rsid w:val="000C0595"/>
    <w:rsid w:val="000C0C13"/>
    <w:rsid w:val="000C1709"/>
    <w:rsid w:val="000C2EBC"/>
    <w:rsid w:val="000C3D1B"/>
    <w:rsid w:val="000C45D1"/>
    <w:rsid w:val="000C5BCD"/>
    <w:rsid w:val="000D09B7"/>
    <w:rsid w:val="000D429A"/>
    <w:rsid w:val="000D4B58"/>
    <w:rsid w:val="000D54B6"/>
    <w:rsid w:val="000D6CEC"/>
    <w:rsid w:val="000D7482"/>
    <w:rsid w:val="000D79AF"/>
    <w:rsid w:val="000E1D5A"/>
    <w:rsid w:val="000E2541"/>
    <w:rsid w:val="000E36B8"/>
    <w:rsid w:val="000E4743"/>
    <w:rsid w:val="000E4A57"/>
    <w:rsid w:val="000E6351"/>
    <w:rsid w:val="000E6D61"/>
    <w:rsid w:val="000F0330"/>
    <w:rsid w:val="000F2887"/>
    <w:rsid w:val="000F321B"/>
    <w:rsid w:val="000F4ED9"/>
    <w:rsid w:val="000F6FD5"/>
    <w:rsid w:val="000F77FA"/>
    <w:rsid w:val="000F78F0"/>
    <w:rsid w:val="000F7989"/>
    <w:rsid w:val="000F7A62"/>
    <w:rsid w:val="000F7C30"/>
    <w:rsid w:val="0010058A"/>
    <w:rsid w:val="0010076F"/>
    <w:rsid w:val="00101930"/>
    <w:rsid w:val="001027E0"/>
    <w:rsid w:val="001041E2"/>
    <w:rsid w:val="0010672E"/>
    <w:rsid w:val="00107D44"/>
    <w:rsid w:val="001101B4"/>
    <w:rsid w:val="00111E74"/>
    <w:rsid w:val="001127A0"/>
    <w:rsid w:val="00112B95"/>
    <w:rsid w:val="00113E2E"/>
    <w:rsid w:val="00114FE2"/>
    <w:rsid w:val="00115003"/>
    <w:rsid w:val="00120A40"/>
    <w:rsid w:val="00121352"/>
    <w:rsid w:val="001217C2"/>
    <w:rsid w:val="001224DC"/>
    <w:rsid w:val="00123069"/>
    <w:rsid w:val="00124108"/>
    <w:rsid w:val="00124B7A"/>
    <w:rsid w:val="001263C3"/>
    <w:rsid w:val="00126EAE"/>
    <w:rsid w:val="001274FE"/>
    <w:rsid w:val="00127966"/>
    <w:rsid w:val="001300E2"/>
    <w:rsid w:val="00130E2C"/>
    <w:rsid w:val="00130F35"/>
    <w:rsid w:val="00131805"/>
    <w:rsid w:val="001318E6"/>
    <w:rsid w:val="00132689"/>
    <w:rsid w:val="00134369"/>
    <w:rsid w:val="00137C4D"/>
    <w:rsid w:val="00137D83"/>
    <w:rsid w:val="00140419"/>
    <w:rsid w:val="00140584"/>
    <w:rsid w:val="001407AE"/>
    <w:rsid w:val="0014210B"/>
    <w:rsid w:val="00142735"/>
    <w:rsid w:val="0014289E"/>
    <w:rsid w:val="00142A37"/>
    <w:rsid w:val="001434AA"/>
    <w:rsid w:val="00143BA6"/>
    <w:rsid w:val="001441BE"/>
    <w:rsid w:val="00144311"/>
    <w:rsid w:val="00144D34"/>
    <w:rsid w:val="00144E53"/>
    <w:rsid w:val="00144E5B"/>
    <w:rsid w:val="001501E3"/>
    <w:rsid w:val="001512FE"/>
    <w:rsid w:val="00151637"/>
    <w:rsid w:val="001548E4"/>
    <w:rsid w:val="001557D2"/>
    <w:rsid w:val="00156809"/>
    <w:rsid w:val="0016128C"/>
    <w:rsid w:val="00161688"/>
    <w:rsid w:val="00164A4A"/>
    <w:rsid w:val="00165F5B"/>
    <w:rsid w:val="001662DA"/>
    <w:rsid w:val="00166431"/>
    <w:rsid w:val="0016681B"/>
    <w:rsid w:val="00166DCC"/>
    <w:rsid w:val="0016766A"/>
    <w:rsid w:val="00167A8C"/>
    <w:rsid w:val="00172EDF"/>
    <w:rsid w:val="00174E67"/>
    <w:rsid w:val="00174EA2"/>
    <w:rsid w:val="00175B97"/>
    <w:rsid w:val="00175E25"/>
    <w:rsid w:val="001770DC"/>
    <w:rsid w:val="001805D1"/>
    <w:rsid w:val="00182004"/>
    <w:rsid w:val="00182295"/>
    <w:rsid w:val="001824DC"/>
    <w:rsid w:val="0018330A"/>
    <w:rsid w:val="00183449"/>
    <w:rsid w:val="001836D4"/>
    <w:rsid w:val="001840E2"/>
    <w:rsid w:val="00187EEA"/>
    <w:rsid w:val="00190341"/>
    <w:rsid w:val="00190D5A"/>
    <w:rsid w:val="00190E1A"/>
    <w:rsid w:val="00190EF9"/>
    <w:rsid w:val="001928F9"/>
    <w:rsid w:val="001931CB"/>
    <w:rsid w:val="00193347"/>
    <w:rsid w:val="001936F6"/>
    <w:rsid w:val="001956BD"/>
    <w:rsid w:val="0019571D"/>
    <w:rsid w:val="001A00BE"/>
    <w:rsid w:val="001A035E"/>
    <w:rsid w:val="001A0516"/>
    <w:rsid w:val="001A1213"/>
    <w:rsid w:val="001A19E8"/>
    <w:rsid w:val="001A234E"/>
    <w:rsid w:val="001A2B67"/>
    <w:rsid w:val="001A471D"/>
    <w:rsid w:val="001A506F"/>
    <w:rsid w:val="001A580E"/>
    <w:rsid w:val="001A6327"/>
    <w:rsid w:val="001A6433"/>
    <w:rsid w:val="001A7B60"/>
    <w:rsid w:val="001B0686"/>
    <w:rsid w:val="001B0AAA"/>
    <w:rsid w:val="001B1649"/>
    <w:rsid w:val="001B1718"/>
    <w:rsid w:val="001B1B1B"/>
    <w:rsid w:val="001B3D54"/>
    <w:rsid w:val="001B3E4B"/>
    <w:rsid w:val="001B44AF"/>
    <w:rsid w:val="001B4F56"/>
    <w:rsid w:val="001B6327"/>
    <w:rsid w:val="001B6D20"/>
    <w:rsid w:val="001B7AAF"/>
    <w:rsid w:val="001B7AD4"/>
    <w:rsid w:val="001C15CC"/>
    <w:rsid w:val="001C163A"/>
    <w:rsid w:val="001C1E06"/>
    <w:rsid w:val="001C2CFC"/>
    <w:rsid w:val="001C3FAB"/>
    <w:rsid w:val="001C6DE9"/>
    <w:rsid w:val="001C75D5"/>
    <w:rsid w:val="001D26D7"/>
    <w:rsid w:val="001D3761"/>
    <w:rsid w:val="001D3E94"/>
    <w:rsid w:val="001D3EDB"/>
    <w:rsid w:val="001D4332"/>
    <w:rsid w:val="001D491E"/>
    <w:rsid w:val="001D4BD5"/>
    <w:rsid w:val="001D53CE"/>
    <w:rsid w:val="001D55C6"/>
    <w:rsid w:val="001D5AC1"/>
    <w:rsid w:val="001D5E90"/>
    <w:rsid w:val="001D64E5"/>
    <w:rsid w:val="001E00FB"/>
    <w:rsid w:val="001E13A5"/>
    <w:rsid w:val="001E1621"/>
    <w:rsid w:val="001E28FB"/>
    <w:rsid w:val="001E3965"/>
    <w:rsid w:val="001E52DD"/>
    <w:rsid w:val="001E6AB6"/>
    <w:rsid w:val="001E7D0D"/>
    <w:rsid w:val="001F0646"/>
    <w:rsid w:val="001F2CE6"/>
    <w:rsid w:val="001F3F2B"/>
    <w:rsid w:val="001F4CD3"/>
    <w:rsid w:val="001F531B"/>
    <w:rsid w:val="001F5647"/>
    <w:rsid w:val="001F5B2E"/>
    <w:rsid w:val="001F5BDD"/>
    <w:rsid w:val="001F663F"/>
    <w:rsid w:val="001F7116"/>
    <w:rsid w:val="0020056B"/>
    <w:rsid w:val="002015FC"/>
    <w:rsid w:val="00201FDC"/>
    <w:rsid w:val="0020202B"/>
    <w:rsid w:val="002027F7"/>
    <w:rsid w:val="00202E73"/>
    <w:rsid w:val="00203A02"/>
    <w:rsid w:val="00203C05"/>
    <w:rsid w:val="00204F56"/>
    <w:rsid w:val="00205040"/>
    <w:rsid w:val="00206C30"/>
    <w:rsid w:val="0020790A"/>
    <w:rsid w:val="002104FC"/>
    <w:rsid w:val="002107E2"/>
    <w:rsid w:val="002119C5"/>
    <w:rsid w:val="002122CA"/>
    <w:rsid w:val="0021499B"/>
    <w:rsid w:val="002172B8"/>
    <w:rsid w:val="00217DFC"/>
    <w:rsid w:val="002253C9"/>
    <w:rsid w:val="00225F0F"/>
    <w:rsid w:val="002261E3"/>
    <w:rsid w:val="00231A87"/>
    <w:rsid w:val="002341B5"/>
    <w:rsid w:val="00234804"/>
    <w:rsid w:val="002353D6"/>
    <w:rsid w:val="002430D4"/>
    <w:rsid w:val="002431DE"/>
    <w:rsid w:val="00243DE0"/>
    <w:rsid w:val="00244D3E"/>
    <w:rsid w:val="0024503E"/>
    <w:rsid w:val="00246AF3"/>
    <w:rsid w:val="00246B57"/>
    <w:rsid w:val="002478CE"/>
    <w:rsid w:val="00247BDA"/>
    <w:rsid w:val="0025003A"/>
    <w:rsid w:val="002504D3"/>
    <w:rsid w:val="00250934"/>
    <w:rsid w:val="00250CF0"/>
    <w:rsid w:val="00251330"/>
    <w:rsid w:val="00251AF6"/>
    <w:rsid w:val="00251FC6"/>
    <w:rsid w:val="00252DA2"/>
    <w:rsid w:val="00252EFF"/>
    <w:rsid w:val="00254472"/>
    <w:rsid w:val="00255652"/>
    <w:rsid w:val="00256483"/>
    <w:rsid w:val="002565D2"/>
    <w:rsid w:val="00256D1F"/>
    <w:rsid w:val="002572EF"/>
    <w:rsid w:val="0025783D"/>
    <w:rsid w:val="00257C23"/>
    <w:rsid w:val="00257DD9"/>
    <w:rsid w:val="00260603"/>
    <w:rsid w:val="002609AA"/>
    <w:rsid w:val="00262A1A"/>
    <w:rsid w:val="00262A1C"/>
    <w:rsid w:val="00262EC2"/>
    <w:rsid w:val="00263CC5"/>
    <w:rsid w:val="00264F3D"/>
    <w:rsid w:val="002672CB"/>
    <w:rsid w:val="0026780A"/>
    <w:rsid w:val="00270125"/>
    <w:rsid w:val="0027282C"/>
    <w:rsid w:val="00273C9A"/>
    <w:rsid w:val="002760E8"/>
    <w:rsid w:val="002777B1"/>
    <w:rsid w:val="00277999"/>
    <w:rsid w:val="00277FF2"/>
    <w:rsid w:val="00280BD0"/>
    <w:rsid w:val="00281CD2"/>
    <w:rsid w:val="002822CE"/>
    <w:rsid w:val="00283C25"/>
    <w:rsid w:val="002847C2"/>
    <w:rsid w:val="002869B2"/>
    <w:rsid w:val="00287572"/>
    <w:rsid w:val="00290093"/>
    <w:rsid w:val="002937E8"/>
    <w:rsid w:val="00293BA1"/>
    <w:rsid w:val="00293DCD"/>
    <w:rsid w:val="002940E0"/>
    <w:rsid w:val="002943C5"/>
    <w:rsid w:val="00295E19"/>
    <w:rsid w:val="00296361"/>
    <w:rsid w:val="002966D6"/>
    <w:rsid w:val="002971E8"/>
    <w:rsid w:val="002A0B7C"/>
    <w:rsid w:val="002A1A38"/>
    <w:rsid w:val="002A383F"/>
    <w:rsid w:val="002A3C68"/>
    <w:rsid w:val="002A4DB9"/>
    <w:rsid w:val="002A4EB4"/>
    <w:rsid w:val="002A5C28"/>
    <w:rsid w:val="002A78A7"/>
    <w:rsid w:val="002B0D0E"/>
    <w:rsid w:val="002B0DDA"/>
    <w:rsid w:val="002B1F68"/>
    <w:rsid w:val="002B2758"/>
    <w:rsid w:val="002B3297"/>
    <w:rsid w:val="002B32D3"/>
    <w:rsid w:val="002B398F"/>
    <w:rsid w:val="002B5BF2"/>
    <w:rsid w:val="002C00FD"/>
    <w:rsid w:val="002C04F0"/>
    <w:rsid w:val="002C1327"/>
    <w:rsid w:val="002C171C"/>
    <w:rsid w:val="002C1DCC"/>
    <w:rsid w:val="002C3A5F"/>
    <w:rsid w:val="002C3D77"/>
    <w:rsid w:val="002C5B6E"/>
    <w:rsid w:val="002C61BA"/>
    <w:rsid w:val="002C6AD4"/>
    <w:rsid w:val="002C6C76"/>
    <w:rsid w:val="002C6C7B"/>
    <w:rsid w:val="002C79C3"/>
    <w:rsid w:val="002D029C"/>
    <w:rsid w:val="002D17FD"/>
    <w:rsid w:val="002D221A"/>
    <w:rsid w:val="002D26B4"/>
    <w:rsid w:val="002D320C"/>
    <w:rsid w:val="002D38A4"/>
    <w:rsid w:val="002D4E61"/>
    <w:rsid w:val="002D557A"/>
    <w:rsid w:val="002D748F"/>
    <w:rsid w:val="002D7F50"/>
    <w:rsid w:val="002E256B"/>
    <w:rsid w:val="002E3E06"/>
    <w:rsid w:val="002E5941"/>
    <w:rsid w:val="002E597F"/>
    <w:rsid w:val="002E6FEE"/>
    <w:rsid w:val="002E71BA"/>
    <w:rsid w:val="002E78FD"/>
    <w:rsid w:val="002E7E64"/>
    <w:rsid w:val="002F0334"/>
    <w:rsid w:val="002F2605"/>
    <w:rsid w:val="002F3B56"/>
    <w:rsid w:val="002F4081"/>
    <w:rsid w:val="002F41D2"/>
    <w:rsid w:val="002F4A12"/>
    <w:rsid w:val="002F599E"/>
    <w:rsid w:val="002F728B"/>
    <w:rsid w:val="002F73FF"/>
    <w:rsid w:val="0030069E"/>
    <w:rsid w:val="00300C79"/>
    <w:rsid w:val="003026CD"/>
    <w:rsid w:val="00303248"/>
    <w:rsid w:val="00304459"/>
    <w:rsid w:val="00304BAA"/>
    <w:rsid w:val="00304F0F"/>
    <w:rsid w:val="00305B79"/>
    <w:rsid w:val="0030683D"/>
    <w:rsid w:val="00307EDF"/>
    <w:rsid w:val="003123D5"/>
    <w:rsid w:val="0031355B"/>
    <w:rsid w:val="00315E15"/>
    <w:rsid w:val="00316A1C"/>
    <w:rsid w:val="00317475"/>
    <w:rsid w:val="00317EA9"/>
    <w:rsid w:val="003212ED"/>
    <w:rsid w:val="00321EA6"/>
    <w:rsid w:val="00322481"/>
    <w:rsid w:val="00322A4D"/>
    <w:rsid w:val="00323DB0"/>
    <w:rsid w:val="003249BF"/>
    <w:rsid w:val="003264B0"/>
    <w:rsid w:val="00331099"/>
    <w:rsid w:val="00334517"/>
    <w:rsid w:val="00335DCC"/>
    <w:rsid w:val="00337090"/>
    <w:rsid w:val="003373F4"/>
    <w:rsid w:val="00342C0E"/>
    <w:rsid w:val="00343947"/>
    <w:rsid w:val="00345A47"/>
    <w:rsid w:val="00345EA4"/>
    <w:rsid w:val="00346B69"/>
    <w:rsid w:val="00346E11"/>
    <w:rsid w:val="00353160"/>
    <w:rsid w:val="0035317E"/>
    <w:rsid w:val="00353647"/>
    <w:rsid w:val="00353664"/>
    <w:rsid w:val="00354425"/>
    <w:rsid w:val="00356480"/>
    <w:rsid w:val="00356B94"/>
    <w:rsid w:val="003572DC"/>
    <w:rsid w:val="0036135D"/>
    <w:rsid w:val="003629EE"/>
    <w:rsid w:val="00362E44"/>
    <w:rsid w:val="00363377"/>
    <w:rsid w:val="003634F8"/>
    <w:rsid w:val="0036480B"/>
    <w:rsid w:val="00364C42"/>
    <w:rsid w:val="003657EC"/>
    <w:rsid w:val="00367F31"/>
    <w:rsid w:val="00370C16"/>
    <w:rsid w:val="00370C74"/>
    <w:rsid w:val="00370DEF"/>
    <w:rsid w:val="0037199F"/>
    <w:rsid w:val="00372643"/>
    <w:rsid w:val="00372AC6"/>
    <w:rsid w:val="00372AFD"/>
    <w:rsid w:val="00373903"/>
    <w:rsid w:val="00374657"/>
    <w:rsid w:val="003751EA"/>
    <w:rsid w:val="003762B1"/>
    <w:rsid w:val="00376D2F"/>
    <w:rsid w:val="00376F01"/>
    <w:rsid w:val="0037784F"/>
    <w:rsid w:val="00380275"/>
    <w:rsid w:val="00380D7A"/>
    <w:rsid w:val="0038132C"/>
    <w:rsid w:val="0038150C"/>
    <w:rsid w:val="00381821"/>
    <w:rsid w:val="00384A90"/>
    <w:rsid w:val="0038650F"/>
    <w:rsid w:val="003866C3"/>
    <w:rsid w:val="0038784A"/>
    <w:rsid w:val="003907B8"/>
    <w:rsid w:val="00392187"/>
    <w:rsid w:val="00395184"/>
    <w:rsid w:val="00396AA0"/>
    <w:rsid w:val="003A051E"/>
    <w:rsid w:val="003A0EA9"/>
    <w:rsid w:val="003A137E"/>
    <w:rsid w:val="003A3DF7"/>
    <w:rsid w:val="003A3EC3"/>
    <w:rsid w:val="003A415B"/>
    <w:rsid w:val="003A430D"/>
    <w:rsid w:val="003A5409"/>
    <w:rsid w:val="003A57CA"/>
    <w:rsid w:val="003A5C21"/>
    <w:rsid w:val="003A6D43"/>
    <w:rsid w:val="003B006D"/>
    <w:rsid w:val="003B130D"/>
    <w:rsid w:val="003B3FC2"/>
    <w:rsid w:val="003B427D"/>
    <w:rsid w:val="003B45F9"/>
    <w:rsid w:val="003B5965"/>
    <w:rsid w:val="003B63F8"/>
    <w:rsid w:val="003B7878"/>
    <w:rsid w:val="003C1535"/>
    <w:rsid w:val="003C1537"/>
    <w:rsid w:val="003C327F"/>
    <w:rsid w:val="003C33A5"/>
    <w:rsid w:val="003C3B5C"/>
    <w:rsid w:val="003C4835"/>
    <w:rsid w:val="003C4A1E"/>
    <w:rsid w:val="003C5823"/>
    <w:rsid w:val="003D0A69"/>
    <w:rsid w:val="003D1E7E"/>
    <w:rsid w:val="003D2A99"/>
    <w:rsid w:val="003D44DA"/>
    <w:rsid w:val="003D6071"/>
    <w:rsid w:val="003E1DD8"/>
    <w:rsid w:val="003E2355"/>
    <w:rsid w:val="003E3BEC"/>
    <w:rsid w:val="003E3ED7"/>
    <w:rsid w:val="003E5781"/>
    <w:rsid w:val="003E627C"/>
    <w:rsid w:val="003E70FA"/>
    <w:rsid w:val="003F0DA2"/>
    <w:rsid w:val="003F0FFE"/>
    <w:rsid w:val="003F256F"/>
    <w:rsid w:val="003F2F92"/>
    <w:rsid w:val="003F3B63"/>
    <w:rsid w:val="003F4926"/>
    <w:rsid w:val="003F4B63"/>
    <w:rsid w:val="003F57DD"/>
    <w:rsid w:val="003F5B0D"/>
    <w:rsid w:val="003F6EEE"/>
    <w:rsid w:val="003F6EF7"/>
    <w:rsid w:val="004003B1"/>
    <w:rsid w:val="00401273"/>
    <w:rsid w:val="00401350"/>
    <w:rsid w:val="004027A0"/>
    <w:rsid w:val="00404341"/>
    <w:rsid w:val="004061AC"/>
    <w:rsid w:val="00406916"/>
    <w:rsid w:val="00406F23"/>
    <w:rsid w:val="004077C3"/>
    <w:rsid w:val="00407EEF"/>
    <w:rsid w:val="00411008"/>
    <w:rsid w:val="004111FE"/>
    <w:rsid w:val="0041123C"/>
    <w:rsid w:val="00411D39"/>
    <w:rsid w:val="00412756"/>
    <w:rsid w:val="004132BD"/>
    <w:rsid w:val="00414AFB"/>
    <w:rsid w:val="00416E4E"/>
    <w:rsid w:val="00416F94"/>
    <w:rsid w:val="00417BFF"/>
    <w:rsid w:val="00420468"/>
    <w:rsid w:val="004215A7"/>
    <w:rsid w:val="00422F4F"/>
    <w:rsid w:val="00422F70"/>
    <w:rsid w:val="00423F5B"/>
    <w:rsid w:val="00423F8B"/>
    <w:rsid w:val="0042721D"/>
    <w:rsid w:val="00427F9A"/>
    <w:rsid w:val="00430F0E"/>
    <w:rsid w:val="00431158"/>
    <w:rsid w:val="00431481"/>
    <w:rsid w:val="004314EE"/>
    <w:rsid w:val="00432F18"/>
    <w:rsid w:val="0043421A"/>
    <w:rsid w:val="0043548A"/>
    <w:rsid w:val="0043625F"/>
    <w:rsid w:val="004363E1"/>
    <w:rsid w:val="0043675C"/>
    <w:rsid w:val="004401D3"/>
    <w:rsid w:val="00440B67"/>
    <w:rsid w:val="00440EB6"/>
    <w:rsid w:val="0044127B"/>
    <w:rsid w:val="00441AB0"/>
    <w:rsid w:val="00441B9C"/>
    <w:rsid w:val="004448EC"/>
    <w:rsid w:val="0044541E"/>
    <w:rsid w:val="00445FAE"/>
    <w:rsid w:val="00447139"/>
    <w:rsid w:val="00447336"/>
    <w:rsid w:val="00447727"/>
    <w:rsid w:val="00447A05"/>
    <w:rsid w:val="00447BC6"/>
    <w:rsid w:val="0045001E"/>
    <w:rsid w:val="00451192"/>
    <w:rsid w:val="0045187C"/>
    <w:rsid w:val="0045191F"/>
    <w:rsid w:val="00451C6C"/>
    <w:rsid w:val="0045218B"/>
    <w:rsid w:val="00453622"/>
    <w:rsid w:val="00453E29"/>
    <w:rsid w:val="00453F5D"/>
    <w:rsid w:val="00454391"/>
    <w:rsid w:val="00456E22"/>
    <w:rsid w:val="004578D9"/>
    <w:rsid w:val="00460C5D"/>
    <w:rsid w:val="00460CAF"/>
    <w:rsid w:val="00460FFA"/>
    <w:rsid w:val="0046188D"/>
    <w:rsid w:val="004622C8"/>
    <w:rsid w:val="00464E37"/>
    <w:rsid w:val="00465739"/>
    <w:rsid w:val="0046589A"/>
    <w:rsid w:val="00465FB8"/>
    <w:rsid w:val="004700C1"/>
    <w:rsid w:val="00470D4A"/>
    <w:rsid w:val="00473D86"/>
    <w:rsid w:val="00475958"/>
    <w:rsid w:val="00481592"/>
    <w:rsid w:val="00481CB6"/>
    <w:rsid w:val="00482A75"/>
    <w:rsid w:val="004833A2"/>
    <w:rsid w:val="00486148"/>
    <w:rsid w:val="00486BA0"/>
    <w:rsid w:val="00490226"/>
    <w:rsid w:val="00490552"/>
    <w:rsid w:val="004912D0"/>
    <w:rsid w:val="00495510"/>
    <w:rsid w:val="004969BF"/>
    <w:rsid w:val="00496F89"/>
    <w:rsid w:val="00497555"/>
    <w:rsid w:val="00497685"/>
    <w:rsid w:val="00497DF2"/>
    <w:rsid w:val="004A1503"/>
    <w:rsid w:val="004A1964"/>
    <w:rsid w:val="004A19B3"/>
    <w:rsid w:val="004A1A4D"/>
    <w:rsid w:val="004A2071"/>
    <w:rsid w:val="004A221F"/>
    <w:rsid w:val="004A2ED4"/>
    <w:rsid w:val="004A2F35"/>
    <w:rsid w:val="004A314E"/>
    <w:rsid w:val="004A3618"/>
    <w:rsid w:val="004A64B5"/>
    <w:rsid w:val="004A73A5"/>
    <w:rsid w:val="004B11EC"/>
    <w:rsid w:val="004B13B2"/>
    <w:rsid w:val="004B13D5"/>
    <w:rsid w:val="004B2C87"/>
    <w:rsid w:val="004B4485"/>
    <w:rsid w:val="004B4FD2"/>
    <w:rsid w:val="004B558D"/>
    <w:rsid w:val="004B6511"/>
    <w:rsid w:val="004B69BD"/>
    <w:rsid w:val="004B7071"/>
    <w:rsid w:val="004B75F8"/>
    <w:rsid w:val="004C1CD6"/>
    <w:rsid w:val="004C1E49"/>
    <w:rsid w:val="004C45B7"/>
    <w:rsid w:val="004C5791"/>
    <w:rsid w:val="004C7CAF"/>
    <w:rsid w:val="004D10F0"/>
    <w:rsid w:val="004D19FB"/>
    <w:rsid w:val="004D33FE"/>
    <w:rsid w:val="004D6003"/>
    <w:rsid w:val="004E03BA"/>
    <w:rsid w:val="004E04A2"/>
    <w:rsid w:val="004E1885"/>
    <w:rsid w:val="004E348D"/>
    <w:rsid w:val="004E45CF"/>
    <w:rsid w:val="004E4DEB"/>
    <w:rsid w:val="004E5519"/>
    <w:rsid w:val="004E569C"/>
    <w:rsid w:val="004E5F18"/>
    <w:rsid w:val="004E684A"/>
    <w:rsid w:val="004F20E9"/>
    <w:rsid w:val="004F26EE"/>
    <w:rsid w:val="004F36D3"/>
    <w:rsid w:val="004F76AB"/>
    <w:rsid w:val="004F7BCF"/>
    <w:rsid w:val="0050098C"/>
    <w:rsid w:val="00500F32"/>
    <w:rsid w:val="00501653"/>
    <w:rsid w:val="0050191B"/>
    <w:rsid w:val="00502262"/>
    <w:rsid w:val="005024C6"/>
    <w:rsid w:val="005027F0"/>
    <w:rsid w:val="00503D1B"/>
    <w:rsid w:val="00503D52"/>
    <w:rsid w:val="00505295"/>
    <w:rsid w:val="00505CA0"/>
    <w:rsid w:val="005074E0"/>
    <w:rsid w:val="005107E6"/>
    <w:rsid w:val="00510FD9"/>
    <w:rsid w:val="00512BB5"/>
    <w:rsid w:val="00514B92"/>
    <w:rsid w:val="005150C7"/>
    <w:rsid w:val="005150D4"/>
    <w:rsid w:val="0051646C"/>
    <w:rsid w:val="00516DA1"/>
    <w:rsid w:val="00517BF9"/>
    <w:rsid w:val="005202BF"/>
    <w:rsid w:val="00520C0F"/>
    <w:rsid w:val="00522825"/>
    <w:rsid w:val="00522A0D"/>
    <w:rsid w:val="00522B8B"/>
    <w:rsid w:val="00522E6D"/>
    <w:rsid w:val="005241C2"/>
    <w:rsid w:val="00525398"/>
    <w:rsid w:val="00525871"/>
    <w:rsid w:val="0052704A"/>
    <w:rsid w:val="00527EFA"/>
    <w:rsid w:val="00530DDC"/>
    <w:rsid w:val="0053137A"/>
    <w:rsid w:val="005315B7"/>
    <w:rsid w:val="00531B6F"/>
    <w:rsid w:val="0053216E"/>
    <w:rsid w:val="00532A77"/>
    <w:rsid w:val="00532D52"/>
    <w:rsid w:val="005331D9"/>
    <w:rsid w:val="00533E92"/>
    <w:rsid w:val="00533FC1"/>
    <w:rsid w:val="00534973"/>
    <w:rsid w:val="00534B1B"/>
    <w:rsid w:val="005351F9"/>
    <w:rsid w:val="00535387"/>
    <w:rsid w:val="0053561F"/>
    <w:rsid w:val="005373D8"/>
    <w:rsid w:val="00542698"/>
    <w:rsid w:val="00544229"/>
    <w:rsid w:val="005444E4"/>
    <w:rsid w:val="00544925"/>
    <w:rsid w:val="0054520A"/>
    <w:rsid w:val="005459C4"/>
    <w:rsid w:val="00545EFB"/>
    <w:rsid w:val="005467C8"/>
    <w:rsid w:val="00550742"/>
    <w:rsid w:val="00550A30"/>
    <w:rsid w:val="00552217"/>
    <w:rsid w:val="005523CF"/>
    <w:rsid w:val="005550F9"/>
    <w:rsid w:val="00555191"/>
    <w:rsid w:val="005568A0"/>
    <w:rsid w:val="00560DD9"/>
    <w:rsid w:val="00561A0F"/>
    <w:rsid w:val="00562050"/>
    <w:rsid w:val="005620C6"/>
    <w:rsid w:val="005624E0"/>
    <w:rsid w:val="005648A0"/>
    <w:rsid w:val="00564960"/>
    <w:rsid w:val="005649B3"/>
    <w:rsid w:val="00564E56"/>
    <w:rsid w:val="00564E9B"/>
    <w:rsid w:val="00565379"/>
    <w:rsid w:val="00566636"/>
    <w:rsid w:val="00566C36"/>
    <w:rsid w:val="00567143"/>
    <w:rsid w:val="00567250"/>
    <w:rsid w:val="0056742D"/>
    <w:rsid w:val="00570383"/>
    <w:rsid w:val="00571253"/>
    <w:rsid w:val="0057132F"/>
    <w:rsid w:val="005726CA"/>
    <w:rsid w:val="00573B23"/>
    <w:rsid w:val="00577661"/>
    <w:rsid w:val="0058077D"/>
    <w:rsid w:val="005812F2"/>
    <w:rsid w:val="00581836"/>
    <w:rsid w:val="00581B67"/>
    <w:rsid w:val="005826FA"/>
    <w:rsid w:val="0058445A"/>
    <w:rsid w:val="0058499D"/>
    <w:rsid w:val="005860B9"/>
    <w:rsid w:val="0058613C"/>
    <w:rsid w:val="00587BC8"/>
    <w:rsid w:val="00591255"/>
    <w:rsid w:val="00591DF0"/>
    <w:rsid w:val="00592341"/>
    <w:rsid w:val="0059237F"/>
    <w:rsid w:val="00593376"/>
    <w:rsid w:val="00593397"/>
    <w:rsid w:val="0059377B"/>
    <w:rsid w:val="00593CBB"/>
    <w:rsid w:val="005942D2"/>
    <w:rsid w:val="005947D9"/>
    <w:rsid w:val="00594EA3"/>
    <w:rsid w:val="00596AE6"/>
    <w:rsid w:val="00596BF8"/>
    <w:rsid w:val="005A11AD"/>
    <w:rsid w:val="005A1500"/>
    <w:rsid w:val="005A2628"/>
    <w:rsid w:val="005A3AF4"/>
    <w:rsid w:val="005A4EBC"/>
    <w:rsid w:val="005A5817"/>
    <w:rsid w:val="005A62B5"/>
    <w:rsid w:val="005A663F"/>
    <w:rsid w:val="005A6F68"/>
    <w:rsid w:val="005A7B4C"/>
    <w:rsid w:val="005A7CB3"/>
    <w:rsid w:val="005B2295"/>
    <w:rsid w:val="005B2568"/>
    <w:rsid w:val="005B2613"/>
    <w:rsid w:val="005B31A7"/>
    <w:rsid w:val="005B3654"/>
    <w:rsid w:val="005B37C4"/>
    <w:rsid w:val="005B3DB7"/>
    <w:rsid w:val="005B612D"/>
    <w:rsid w:val="005B621A"/>
    <w:rsid w:val="005B635C"/>
    <w:rsid w:val="005B6669"/>
    <w:rsid w:val="005B6C88"/>
    <w:rsid w:val="005C0017"/>
    <w:rsid w:val="005C0B99"/>
    <w:rsid w:val="005C0EBA"/>
    <w:rsid w:val="005C16D6"/>
    <w:rsid w:val="005C22D8"/>
    <w:rsid w:val="005C264E"/>
    <w:rsid w:val="005C3E3A"/>
    <w:rsid w:val="005C4E3C"/>
    <w:rsid w:val="005C5ED4"/>
    <w:rsid w:val="005C6A31"/>
    <w:rsid w:val="005C76F3"/>
    <w:rsid w:val="005D0B8D"/>
    <w:rsid w:val="005D0BD5"/>
    <w:rsid w:val="005D2E68"/>
    <w:rsid w:val="005D38B6"/>
    <w:rsid w:val="005D3E68"/>
    <w:rsid w:val="005D48EF"/>
    <w:rsid w:val="005D5C5E"/>
    <w:rsid w:val="005D74AF"/>
    <w:rsid w:val="005D7691"/>
    <w:rsid w:val="005D7926"/>
    <w:rsid w:val="005E18B0"/>
    <w:rsid w:val="005E1995"/>
    <w:rsid w:val="005E1EEF"/>
    <w:rsid w:val="005E3346"/>
    <w:rsid w:val="005E4BC2"/>
    <w:rsid w:val="005E4E5D"/>
    <w:rsid w:val="005E53B8"/>
    <w:rsid w:val="005E6C3C"/>
    <w:rsid w:val="005E76C7"/>
    <w:rsid w:val="005F0939"/>
    <w:rsid w:val="005F30D6"/>
    <w:rsid w:val="005F3A01"/>
    <w:rsid w:val="005F3CB3"/>
    <w:rsid w:val="005F41EF"/>
    <w:rsid w:val="005F54C5"/>
    <w:rsid w:val="005F5B8B"/>
    <w:rsid w:val="005F7D88"/>
    <w:rsid w:val="00602C65"/>
    <w:rsid w:val="0060445D"/>
    <w:rsid w:val="00607973"/>
    <w:rsid w:val="00607AD3"/>
    <w:rsid w:val="006114E0"/>
    <w:rsid w:val="0061175B"/>
    <w:rsid w:val="00612E91"/>
    <w:rsid w:val="00613EFA"/>
    <w:rsid w:val="00613F4E"/>
    <w:rsid w:val="006143F9"/>
    <w:rsid w:val="0061519B"/>
    <w:rsid w:val="006158B5"/>
    <w:rsid w:val="0061676C"/>
    <w:rsid w:val="00617680"/>
    <w:rsid w:val="00617A74"/>
    <w:rsid w:val="00617B93"/>
    <w:rsid w:val="00617C4E"/>
    <w:rsid w:val="006214E5"/>
    <w:rsid w:val="0062187E"/>
    <w:rsid w:val="00623BF0"/>
    <w:rsid w:val="00625814"/>
    <w:rsid w:val="006258C0"/>
    <w:rsid w:val="0062749B"/>
    <w:rsid w:val="0063296D"/>
    <w:rsid w:val="00632F20"/>
    <w:rsid w:val="00633C34"/>
    <w:rsid w:val="00633E94"/>
    <w:rsid w:val="00634439"/>
    <w:rsid w:val="00636200"/>
    <w:rsid w:val="00636913"/>
    <w:rsid w:val="006372BD"/>
    <w:rsid w:val="0064108F"/>
    <w:rsid w:val="006411CA"/>
    <w:rsid w:val="00642657"/>
    <w:rsid w:val="00643CE2"/>
    <w:rsid w:val="0064739D"/>
    <w:rsid w:val="006528F8"/>
    <w:rsid w:val="00652C40"/>
    <w:rsid w:val="00654F7A"/>
    <w:rsid w:val="00654FEB"/>
    <w:rsid w:val="0065563A"/>
    <w:rsid w:val="006577C4"/>
    <w:rsid w:val="0066030B"/>
    <w:rsid w:val="006633CC"/>
    <w:rsid w:val="00663423"/>
    <w:rsid w:val="00663EBA"/>
    <w:rsid w:val="00670287"/>
    <w:rsid w:val="00670DEB"/>
    <w:rsid w:val="006731D5"/>
    <w:rsid w:val="00673BA2"/>
    <w:rsid w:val="00674A52"/>
    <w:rsid w:val="00675024"/>
    <w:rsid w:val="0067586F"/>
    <w:rsid w:val="0067616F"/>
    <w:rsid w:val="00680EB1"/>
    <w:rsid w:val="006818B2"/>
    <w:rsid w:val="0068244C"/>
    <w:rsid w:val="00682F1B"/>
    <w:rsid w:val="006832E3"/>
    <w:rsid w:val="0068390D"/>
    <w:rsid w:val="0068541A"/>
    <w:rsid w:val="00685961"/>
    <w:rsid w:val="00686C33"/>
    <w:rsid w:val="00691230"/>
    <w:rsid w:val="006928B3"/>
    <w:rsid w:val="00692D7B"/>
    <w:rsid w:val="006937D7"/>
    <w:rsid w:val="006943E1"/>
    <w:rsid w:val="0069476D"/>
    <w:rsid w:val="006956AD"/>
    <w:rsid w:val="006964EE"/>
    <w:rsid w:val="006A09AB"/>
    <w:rsid w:val="006A14EE"/>
    <w:rsid w:val="006A182A"/>
    <w:rsid w:val="006A3E9F"/>
    <w:rsid w:val="006A425F"/>
    <w:rsid w:val="006A45B6"/>
    <w:rsid w:val="006A45F5"/>
    <w:rsid w:val="006A4E35"/>
    <w:rsid w:val="006A50FF"/>
    <w:rsid w:val="006A5B19"/>
    <w:rsid w:val="006A66EF"/>
    <w:rsid w:val="006A7540"/>
    <w:rsid w:val="006B067E"/>
    <w:rsid w:val="006B0C5C"/>
    <w:rsid w:val="006B27BF"/>
    <w:rsid w:val="006B2FE2"/>
    <w:rsid w:val="006B3C15"/>
    <w:rsid w:val="006B3EEF"/>
    <w:rsid w:val="006B4BD7"/>
    <w:rsid w:val="006C0399"/>
    <w:rsid w:val="006C15CD"/>
    <w:rsid w:val="006C3A02"/>
    <w:rsid w:val="006C40BF"/>
    <w:rsid w:val="006D0D37"/>
    <w:rsid w:val="006D1B4E"/>
    <w:rsid w:val="006D2689"/>
    <w:rsid w:val="006D269B"/>
    <w:rsid w:val="006D3D0B"/>
    <w:rsid w:val="006D507D"/>
    <w:rsid w:val="006D5502"/>
    <w:rsid w:val="006D5D25"/>
    <w:rsid w:val="006D60DE"/>
    <w:rsid w:val="006D7883"/>
    <w:rsid w:val="006D7A8A"/>
    <w:rsid w:val="006E0067"/>
    <w:rsid w:val="006E0D97"/>
    <w:rsid w:val="006E0DFF"/>
    <w:rsid w:val="006E2296"/>
    <w:rsid w:val="006E2378"/>
    <w:rsid w:val="006E3316"/>
    <w:rsid w:val="006E4564"/>
    <w:rsid w:val="006E4F61"/>
    <w:rsid w:val="006F00F6"/>
    <w:rsid w:val="006F0A4C"/>
    <w:rsid w:val="006F3916"/>
    <w:rsid w:val="006F5FED"/>
    <w:rsid w:val="006F6C43"/>
    <w:rsid w:val="006F734E"/>
    <w:rsid w:val="006F7463"/>
    <w:rsid w:val="006F777F"/>
    <w:rsid w:val="006F7A11"/>
    <w:rsid w:val="006F7E76"/>
    <w:rsid w:val="00701F97"/>
    <w:rsid w:val="00702242"/>
    <w:rsid w:val="007036B6"/>
    <w:rsid w:val="00703928"/>
    <w:rsid w:val="00704E62"/>
    <w:rsid w:val="00705425"/>
    <w:rsid w:val="00711E37"/>
    <w:rsid w:val="0071225F"/>
    <w:rsid w:val="0071274C"/>
    <w:rsid w:val="00714742"/>
    <w:rsid w:val="007157EC"/>
    <w:rsid w:val="00716021"/>
    <w:rsid w:val="00717616"/>
    <w:rsid w:val="00717B12"/>
    <w:rsid w:val="0072111E"/>
    <w:rsid w:val="00721BD1"/>
    <w:rsid w:val="007233E4"/>
    <w:rsid w:val="00723D2C"/>
    <w:rsid w:val="00725A58"/>
    <w:rsid w:val="00725F3F"/>
    <w:rsid w:val="0072662D"/>
    <w:rsid w:val="00732EF2"/>
    <w:rsid w:val="0073324F"/>
    <w:rsid w:val="007337B0"/>
    <w:rsid w:val="0073425A"/>
    <w:rsid w:val="00736BBE"/>
    <w:rsid w:val="00737B5F"/>
    <w:rsid w:val="00740440"/>
    <w:rsid w:val="00741A7D"/>
    <w:rsid w:val="00742241"/>
    <w:rsid w:val="00742439"/>
    <w:rsid w:val="00743535"/>
    <w:rsid w:val="00744727"/>
    <w:rsid w:val="00745416"/>
    <w:rsid w:val="00745835"/>
    <w:rsid w:val="007466CC"/>
    <w:rsid w:val="00747F8F"/>
    <w:rsid w:val="00753AB5"/>
    <w:rsid w:val="00754367"/>
    <w:rsid w:val="00754CA2"/>
    <w:rsid w:val="007558FD"/>
    <w:rsid w:val="0075683C"/>
    <w:rsid w:val="007569F2"/>
    <w:rsid w:val="00760A19"/>
    <w:rsid w:val="00763E5C"/>
    <w:rsid w:val="00764A92"/>
    <w:rsid w:val="00764BEA"/>
    <w:rsid w:val="007654C2"/>
    <w:rsid w:val="00766D72"/>
    <w:rsid w:val="007676C2"/>
    <w:rsid w:val="00770250"/>
    <w:rsid w:val="00772429"/>
    <w:rsid w:val="007727F0"/>
    <w:rsid w:val="007735D1"/>
    <w:rsid w:val="00776EF5"/>
    <w:rsid w:val="00777162"/>
    <w:rsid w:val="00777850"/>
    <w:rsid w:val="00781017"/>
    <w:rsid w:val="0078518E"/>
    <w:rsid w:val="0078530A"/>
    <w:rsid w:val="00785333"/>
    <w:rsid w:val="00785A66"/>
    <w:rsid w:val="00785E66"/>
    <w:rsid w:val="007874E4"/>
    <w:rsid w:val="007877AD"/>
    <w:rsid w:val="0079003D"/>
    <w:rsid w:val="00790967"/>
    <w:rsid w:val="00791EBA"/>
    <w:rsid w:val="00792641"/>
    <w:rsid w:val="0079351A"/>
    <w:rsid w:val="00794F4D"/>
    <w:rsid w:val="00795BDA"/>
    <w:rsid w:val="00796BFF"/>
    <w:rsid w:val="007A0216"/>
    <w:rsid w:val="007A1433"/>
    <w:rsid w:val="007A209E"/>
    <w:rsid w:val="007A27D9"/>
    <w:rsid w:val="007A3875"/>
    <w:rsid w:val="007A39DB"/>
    <w:rsid w:val="007A4FFF"/>
    <w:rsid w:val="007A57B0"/>
    <w:rsid w:val="007B1608"/>
    <w:rsid w:val="007B26D6"/>
    <w:rsid w:val="007B39ED"/>
    <w:rsid w:val="007B3F86"/>
    <w:rsid w:val="007B449D"/>
    <w:rsid w:val="007B46E4"/>
    <w:rsid w:val="007B5759"/>
    <w:rsid w:val="007B5DA3"/>
    <w:rsid w:val="007C00C6"/>
    <w:rsid w:val="007C29C1"/>
    <w:rsid w:val="007C2F07"/>
    <w:rsid w:val="007C4B05"/>
    <w:rsid w:val="007C5363"/>
    <w:rsid w:val="007C54A2"/>
    <w:rsid w:val="007C54AA"/>
    <w:rsid w:val="007C61A9"/>
    <w:rsid w:val="007C66B9"/>
    <w:rsid w:val="007C6A76"/>
    <w:rsid w:val="007C6D0E"/>
    <w:rsid w:val="007C742A"/>
    <w:rsid w:val="007D0338"/>
    <w:rsid w:val="007D2B1E"/>
    <w:rsid w:val="007D3D36"/>
    <w:rsid w:val="007D3EB1"/>
    <w:rsid w:val="007D4461"/>
    <w:rsid w:val="007D4D34"/>
    <w:rsid w:val="007D6C87"/>
    <w:rsid w:val="007D6D14"/>
    <w:rsid w:val="007D711A"/>
    <w:rsid w:val="007E0294"/>
    <w:rsid w:val="007E2EC0"/>
    <w:rsid w:val="007E378E"/>
    <w:rsid w:val="007E388E"/>
    <w:rsid w:val="007E627A"/>
    <w:rsid w:val="007E6CF0"/>
    <w:rsid w:val="007E7CA4"/>
    <w:rsid w:val="007F01CF"/>
    <w:rsid w:val="007F1CEB"/>
    <w:rsid w:val="007F242D"/>
    <w:rsid w:val="007F4D3D"/>
    <w:rsid w:val="007F6B49"/>
    <w:rsid w:val="007F79EE"/>
    <w:rsid w:val="00801BB3"/>
    <w:rsid w:val="00801C50"/>
    <w:rsid w:val="00802EE1"/>
    <w:rsid w:val="00803CCA"/>
    <w:rsid w:val="00804007"/>
    <w:rsid w:val="00804056"/>
    <w:rsid w:val="008058C4"/>
    <w:rsid w:val="0080731D"/>
    <w:rsid w:val="00807A21"/>
    <w:rsid w:val="00807B45"/>
    <w:rsid w:val="00810DD5"/>
    <w:rsid w:val="008111CD"/>
    <w:rsid w:val="00811378"/>
    <w:rsid w:val="00812EB0"/>
    <w:rsid w:val="0081584C"/>
    <w:rsid w:val="0081584F"/>
    <w:rsid w:val="00816AEF"/>
    <w:rsid w:val="00820F57"/>
    <w:rsid w:val="00823CF9"/>
    <w:rsid w:val="008248B6"/>
    <w:rsid w:val="00825479"/>
    <w:rsid w:val="008257E7"/>
    <w:rsid w:val="0082669B"/>
    <w:rsid w:val="00826B94"/>
    <w:rsid w:val="00830317"/>
    <w:rsid w:val="00830C37"/>
    <w:rsid w:val="00832742"/>
    <w:rsid w:val="008350C8"/>
    <w:rsid w:val="00836247"/>
    <w:rsid w:val="00840EC8"/>
    <w:rsid w:val="0084198C"/>
    <w:rsid w:val="0084221E"/>
    <w:rsid w:val="008428A2"/>
    <w:rsid w:val="008462C1"/>
    <w:rsid w:val="00846E73"/>
    <w:rsid w:val="008474BC"/>
    <w:rsid w:val="00850124"/>
    <w:rsid w:val="00850377"/>
    <w:rsid w:val="0085204D"/>
    <w:rsid w:val="008523DA"/>
    <w:rsid w:val="00852902"/>
    <w:rsid w:val="0085341C"/>
    <w:rsid w:val="00853CCB"/>
    <w:rsid w:val="00854ABF"/>
    <w:rsid w:val="00854E2B"/>
    <w:rsid w:val="00854EBE"/>
    <w:rsid w:val="0086146B"/>
    <w:rsid w:val="00861508"/>
    <w:rsid w:val="008619E4"/>
    <w:rsid w:val="008630C2"/>
    <w:rsid w:val="00863397"/>
    <w:rsid w:val="00863A31"/>
    <w:rsid w:val="008640DE"/>
    <w:rsid w:val="00864AFD"/>
    <w:rsid w:val="00864C56"/>
    <w:rsid w:val="0086634E"/>
    <w:rsid w:val="008663F6"/>
    <w:rsid w:val="008667DD"/>
    <w:rsid w:val="00867D62"/>
    <w:rsid w:val="0087214B"/>
    <w:rsid w:val="008723CD"/>
    <w:rsid w:val="00874028"/>
    <w:rsid w:val="0087480D"/>
    <w:rsid w:val="00874E80"/>
    <w:rsid w:val="00874EED"/>
    <w:rsid w:val="00876DB7"/>
    <w:rsid w:val="008809B1"/>
    <w:rsid w:val="00880DF5"/>
    <w:rsid w:val="00881254"/>
    <w:rsid w:val="008819DB"/>
    <w:rsid w:val="00881ACF"/>
    <w:rsid w:val="00883C68"/>
    <w:rsid w:val="00883CB2"/>
    <w:rsid w:val="00884637"/>
    <w:rsid w:val="00884E93"/>
    <w:rsid w:val="00886BDB"/>
    <w:rsid w:val="0089116E"/>
    <w:rsid w:val="0089249D"/>
    <w:rsid w:val="0089380F"/>
    <w:rsid w:val="00893D02"/>
    <w:rsid w:val="00896F78"/>
    <w:rsid w:val="0089772B"/>
    <w:rsid w:val="008A0D83"/>
    <w:rsid w:val="008A1E81"/>
    <w:rsid w:val="008A30A1"/>
    <w:rsid w:val="008A3592"/>
    <w:rsid w:val="008A3E2A"/>
    <w:rsid w:val="008A4A95"/>
    <w:rsid w:val="008A5D00"/>
    <w:rsid w:val="008A7B2C"/>
    <w:rsid w:val="008B163F"/>
    <w:rsid w:val="008B320A"/>
    <w:rsid w:val="008B40C0"/>
    <w:rsid w:val="008B47C7"/>
    <w:rsid w:val="008B6D89"/>
    <w:rsid w:val="008B7E86"/>
    <w:rsid w:val="008C0355"/>
    <w:rsid w:val="008C1801"/>
    <w:rsid w:val="008C235C"/>
    <w:rsid w:val="008C23D8"/>
    <w:rsid w:val="008C3246"/>
    <w:rsid w:val="008C33D6"/>
    <w:rsid w:val="008C3869"/>
    <w:rsid w:val="008C3BE2"/>
    <w:rsid w:val="008C4BD8"/>
    <w:rsid w:val="008C4D91"/>
    <w:rsid w:val="008C575F"/>
    <w:rsid w:val="008C5DB9"/>
    <w:rsid w:val="008C6CAC"/>
    <w:rsid w:val="008C705A"/>
    <w:rsid w:val="008C726C"/>
    <w:rsid w:val="008C73EC"/>
    <w:rsid w:val="008D16AB"/>
    <w:rsid w:val="008D16E9"/>
    <w:rsid w:val="008D25B1"/>
    <w:rsid w:val="008D3000"/>
    <w:rsid w:val="008D3822"/>
    <w:rsid w:val="008D40DC"/>
    <w:rsid w:val="008D5BD4"/>
    <w:rsid w:val="008D5DA5"/>
    <w:rsid w:val="008D61CF"/>
    <w:rsid w:val="008D6ACF"/>
    <w:rsid w:val="008E1BA8"/>
    <w:rsid w:val="008E37CF"/>
    <w:rsid w:val="008E38A9"/>
    <w:rsid w:val="008E6735"/>
    <w:rsid w:val="008E6B13"/>
    <w:rsid w:val="008E6DCF"/>
    <w:rsid w:val="008E6EEC"/>
    <w:rsid w:val="008E735F"/>
    <w:rsid w:val="008F035E"/>
    <w:rsid w:val="008F058D"/>
    <w:rsid w:val="008F0CC7"/>
    <w:rsid w:val="008F25E4"/>
    <w:rsid w:val="008F45FB"/>
    <w:rsid w:val="008F4A9B"/>
    <w:rsid w:val="008F67CB"/>
    <w:rsid w:val="008F6DC9"/>
    <w:rsid w:val="009020D0"/>
    <w:rsid w:val="0090295D"/>
    <w:rsid w:val="00903993"/>
    <w:rsid w:val="009039EF"/>
    <w:rsid w:val="00903E16"/>
    <w:rsid w:val="00904B7F"/>
    <w:rsid w:val="00910757"/>
    <w:rsid w:val="00910D82"/>
    <w:rsid w:val="00911102"/>
    <w:rsid w:val="00913240"/>
    <w:rsid w:val="00913652"/>
    <w:rsid w:val="00913A8F"/>
    <w:rsid w:val="00913E63"/>
    <w:rsid w:val="00915D2F"/>
    <w:rsid w:val="00916E8E"/>
    <w:rsid w:val="00917322"/>
    <w:rsid w:val="00917F6D"/>
    <w:rsid w:val="00917FF0"/>
    <w:rsid w:val="00921228"/>
    <w:rsid w:val="0092181E"/>
    <w:rsid w:val="00923F57"/>
    <w:rsid w:val="00924DCD"/>
    <w:rsid w:val="009250E7"/>
    <w:rsid w:val="00926103"/>
    <w:rsid w:val="00927402"/>
    <w:rsid w:val="00930228"/>
    <w:rsid w:val="0093180B"/>
    <w:rsid w:val="00932AD1"/>
    <w:rsid w:val="00933087"/>
    <w:rsid w:val="00933D53"/>
    <w:rsid w:val="009343D1"/>
    <w:rsid w:val="00934AA7"/>
    <w:rsid w:val="009353B5"/>
    <w:rsid w:val="00937387"/>
    <w:rsid w:val="00940424"/>
    <w:rsid w:val="009423E0"/>
    <w:rsid w:val="009429A6"/>
    <w:rsid w:val="00942D14"/>
    <w:rsid w:val="009448A8"/>
    <w:rsid w:val="0094539D"/>
    <w:rsid w:val="00945DE8"/>
    <w:rsid w:val="00946DF3"/>
    <w:rsid w:val="009473D5"/>
    <w:rsid w:val="009477B0"/>
    <w:rsid w:val="00947AD3"/>
    <w:rsid w:val="00950826"/>
    <w:rsid w:val="00951612"/>
    <w:rsid w:val="0095224D"/>
    <w:rsid w:val="00952736"/>
    <w:rsid w:val="00953503"/>
    <w:rsid w:val="00953648"/>
    <w:rsid w:val="00953A52"/>
    <w:rsid w:val="00953C25"/>
    <w:rsid w:val="0095756B"/>
    <w:rsid w:val="009601C4"/>
    <w:rsid w:val="00961570"/>
    <w:rsid w:val="00961E5D"/>
    <w:rsid w:val="00961FFA"/>
    <w:rsid w:val="00962405"/>
    <w:rsid w:val="00964954"/>
    <w:rsid w:val="0096495C"/>
    <w:rsid w:val="00965444"/>
    <w:rsid w:val="00967F8C"/>
    <w:rsid w:val="00970531"/>
    <w:rsid w:val="00972F31"/>
    <w:rsid w:val="00973076"/>
    <w:rsid w:val="00973092"/>
    <w:rsid w:val="00973D20"/>
    <w:rsid w:val="00974507"/>
    <w:rsid w:val="0097553B"/>
    <w:rsid w:val="00976219"/>
    <w:rsid w:val="00976367"/>
    <w:rsid w:val="009814A6"/>
    <w:rsid w:val="00981C26"/>
    <w:rsid w:val="009824A9"/>
    <w:rsid w:val="0098302E"/>
    <w:rsid w:val="00987497"/>
    <w:rsid w:val="00987AB8"/>
    <w:rsid w:val="00987C0D"/>
    <w:rsid w:val="009907C6"/>
    <w:rsid w:val="00990BD7"/>
    <w:rsid w:val="00991902"/>
    <w:rsid w:val="009924E8"/>
    <w:rsid w:val="00992656"/>
    <w:rsid w:val="009927C5"/>
    <w:rsid w:val="0099460A"/>
    <w:rsid w:val="009947F3"/>
    <w:rsid w:val="00994B9C"/>
    <w:rsid w:val="0099547E"/>
    <w:rsid w:val="00996E44"/>
    <w:rsid w:val="00996F06"/>
    <w:rsid w:val="00997B2C"/>
    <w:rsid w:val="009A047B"/>
    <w:rsid w:val="009A0DEB"/>
    <w:rsid w:val="009A0E4B"/>
    <w:rsid w:val="009A199D"/>
    <w:rsid w:val="009A32AF"/>
    <w:rsid w:val="009A393C"/>
    <w:rsid w:val="009A3A0A"/>
    <w:rsid w:val="009A4682"/>
    <w:rsid w:val="009A57BE"/>
    <w:rsid w:val="009A6B04"/>
    <w:rsid w:val="009A6D5B"/>
    <w:rsid w:val="009B031B"/>
    <w:rsid w:val="009B0DA0"/>
    <w:rsid w:val="009B13A8"/>
    <w:rsid w:val="009B2F50"/>
    <w:rsid w:val="009B3F56"/>
    <w:rsid w:val="009C0EA1"/>
    <w:rsid w:val="009C1E7C"/>
    <w:rsid w:val="009C269B"/>
    <w:rsid w:val="009C2806"/>
    <w:rsid w:val="009C28C2"/>
    <w:rsid w:val="009C305F"/>
    <w:rsid w:val="009C32A7"/>
    <w:rsid w:val="009C3544"/>
    <w:rsid w:val="009C35AB"/>
    <w:rsid w:val="009C4878"/>
    <w:rsid w:val="009C72EC"/>
    <w:rsid w:val="009D1238"/>
    <w:rsid w:val="009D4C1B"/>
    <w:rsid w:val="009D68B5"/>
    <w:rsid w:val="009D7C5A"/>
    <w:rsid w:val="009E1463"/>
    <w:rsid w:val="009E21C8"/>
    <w:rsid w:val="009E21DB"/>
    <w:rsid w:val="009E2B12"/>
    <w:rsid w:val="009E3191"/>
    <w:rsid w:val="009E33C8"/>
    <w:rsid w:val="009E71D3"/>
    <w:rsid w:val="009E7B4C"/>
    <w:rsid w:val="009F3721"/>
    <w:rsid w:val="009F392A"/>
    <w:rsid w:val="009F48DA"/>
    <w:rsid w:val="009F4A10"/>
    <w:rsid w:val="009F542A"/>
    <w:rsid w:val="009F562F"/>
    <w:rsid w:val="009F57CA"/>
    <w:rsid w:val="00A01EC2"/>
    <w:rsid w:val="00A03175"/>
    <w:rsid w:val="00A033E0"/>
    <w:rsid w:val="00A03528"/>
    <w:rsid w:val="00A03965"/>
    <w:rsid w:val="00A04EAC"/>
    <w:rsid w:val="00A053C2"/>
    <w:rsid w:val="00A06F26"/>
    <w:rsid w:val="00A10612"/>
    <w:rsid w:val="00A122DF"/>
    <w:rsid w:val="00A12583"/>
    <w:rsid w:val="00A127AC"/>
    <w:rsid w:val="00A139F1"/>
    <w:rsid w:val="00A14355"/>
    <w:rsid w:val="00A150ED"/>
    <w:rsid w:val="00A1519A"/>
    <w:rsid w:val="00A20C59"/>
    <w:rsid w:val="00A211C2"/>
    <w:rsid w:val="00A2238A"/>
    <w:rsid w:val="00A22BE2"/>
    <w:rsid w:val="00A24A3C"/>
    <w:rsid w:val="00A274DB"/>
    <w:rsid w:val="00A27EF2"/>
    <w:rsid w:val="00A31565"/>
    <w:rsid w:val="00A3593C"/>
    <w:rsid w:val="00A35975"/>
    <w:rsid w:val="00A35B73"/>
    <w:rsid w:val="00A3646C"/>
    <w:rsid w:val="00A36D49"/>
    <w:rsid w:val="00A36D74"/>
    <w:rsid w:val="00A37FA5"/>
    <w:rsid w:val="00A40B6B"/>
    <w:rsid w:val="00A41A42"/>
    <w:rsid w:val="00A41BEB"/>
    <w:rsid w:val="00A441F4"/>
    <w:rsid w:val="00A4439C"/>
    <w:rsid w:val="00A45595"/>
    <w:rsid w:val="00A46077"/>
    <w:rsid w:val="00A47AE9"/>
    <w:rsid w:val="00A51589"/>
    <w:rsid w:val="00A5194D"/>
    <w:rsid w:val="00A52AF4"/>
    <w:rsid w:val="00A562FE"/>
    <w:rsid w:val="00A603D3"/>
    <w:rsid w:val="00A60B26"/>
    <w:rsid w:val="00A61148"/>
    <w:rsid w:val="00A657FA"/>
    <w:rsid w:val="00A6640D"/>
    <w:rsid w:val="00A671AF"/>
    <w:rsid w:val="00A6750F"/>
    <w:rsid w:val="00A713A7"/>
    <w:rsid w:val="00A7248A"/>
    <w:rsid w:val="00A73FE4"/>
    <w:rsid w:val="00A7483D"/>
    <w:rsid w:val="00A75AA4"/>
    <w:rsid w:val="00A77831"/>
    <w:rsid w:val="00A77A1A"/>
    <w:rsid w:val="00A77ED9"/>
    <w:rsid w:val="00A80F91"/>
    <w:rsid w:val="00A81AF5"/>
    <w:rsid w:val="00A826F7"/>
    <w:rsid w:val="00A8289B"/>
    <w:rsid w:val="00A82BDD"/>
    <w:rsid w:val="00A831E1"/>
    <w:rsid w:val="00A836C2"/>
    <w:rsid w:val="00A83AD1"/>
    <w:rsid w:val="00A842B0"/>
    <w:rsid w:val="00A84AE7"/>
    <w:rsid w:val="00A84B98"/>
    <w:rsid w:val="00A84F22"/>
    <w:rsid w:val="00A85351"/>
    <w:rsid w:val="00A85BE8"/>
    <w:rsid w:val="00A86F75"/>
    <w:rsid w:val="00A8737E"/>
    <w:rsid w:val="00A87D77"/>
    <w:rsid w:val="00A90B34"/>
    <w:rsid w:val="00A91559"/>
    <w:rsid w:val="00A92CDB"/>
    <w:rsid w:val="00A95159"/>
    <w:rsid w:val="00A96A00"/>
    <w:rsid w:val="00A97B66"/>
    <w:rsid w:val="00AA304E"/>
    <w:rsid w:val="00AA42C6"/>
    <w:rsid w:val="00AA59A4"/>
    <w:rsid w:val="00AA59BC"/>
    <w:rsid w:val="00AA5D74"/>
    <w:rsid w:val="00AA6D3E"/>
    <w:rsid w:val="00AA6E14"/>
    <w:rsid w:val="00AA79C9"/>
    <w:rsid w:val="00AB0D89"/>
    <w:rsid w:val="00AB18D0"/>
    <w:rsid w:val="00AB21A1"/>
    <w:rsid w:val="00AB27EF"/>
    <w:rsid w:val="00AB31D8"/>
    <w:rsid w:val="00AB4519"/>
    <w:rsid w:val="00AB6313"/>
    <w:rsid w:val="00AB7A5B"/>
    <w:rsid w:val="00AC014D"/>
    <w:rsid w:val="00AC0CC8"/>
    <w:rsid w:val="00AC15F7"/>
    <w:rsid w:val="00AC3362"/>
    <w:rsid w:val="00AC5DCA"/>
    <w:rsid w:val="00AC7048"/>
    <w:rsid w:val="00AC74C9"/>
    <w:rsid w:val="00AD0704"/>
    <w:rsid w:val="00AD0B17"/>
    <w:rsid w:val="00AD21F1"/>
    <w:rsid w:val="00AD3CC6"/>
    <w:rsid w:val="00AD3EA1"/>
    <w:rsid w:val="00AD4D17"/>
    <w:rsid w:val="00AD793F"/>
    <w:rsid w:val="00AE0208"/>
    <w:rsid w:val="00AE570E"/>
    <w:rsid w:val="00AE761C"/>
    <w:rsid w:val="00AE79B0"/>
    <w:rsid w:val="00AF0046"/>
    <w:rsid w:val="00AF0063"/>
    <w:rsid w:val="00AF01BA"/>
    <w:rsid w:val="00AF0252"/>
    <w:rsid w:val="00AF0BA9"/>
    <w:rsid w:val="00AF26E6"/>
    <w:rsid w:val="00AF3120"/>
    <w:rsid w:val="00AF3372"/>
    <w:rsid w:val="00AF5590"/>
    <w:rsid w:val="00AF5FAF"/>
    <w:rsid w:val="00AF78D6"/>
    <w:rsid w:val="00B1092C"/>
    <w:rsid w:val="00B11240"/>
    <w:rsid w:val="00B11292"/>
    <w:rsid w:val="00B121B5"/>
    <w:rsid w:val="00B142D5"/>
    <w:rsid w:val="00B163E9"/>
    <w:rsid w:val="00B16EEF"/>
    <w:rsid w:val="00B16F58"/>
    <w:rsid w:val="00B17107"/>
    <w:rsid w:val="00B171A0"/>
    <w:rsid w:val="00B17B5A"/>
    <w:rsid w:val="00B21256"/>
    <w:rsid w:val="00B22D5A"/>
    <w:rsid w:val="00B230C9"/>
    <w:rsid w:val="00B234E8"/>
    <w:rsid w:val="00B24EB3"/>
    <w:rsid w:val="00B25D85"/>
    <w:rsid w:val="00B27F6F"/>
    <w:rsid w:val="00B313A5"/>
    <w:rsid w:val="00B318C6"/>
    <w:rsid w:val="00B31C6D"/>
    <w:rsid w:val="00B32F49"/>
    <w:rsid w:val="00B3565B"/>
    <w:rsid w:val="00B4042D"/>
    <w:rsid w:val="00B42B4B"/>
    <w:rsid w:val="00B42BF9"/>
    <w:rsid w:val="00B43AD1"/>
    <w:rsid w:val="00B43FAE"/>
    <w:rsid w:val="00B44ABC"/>
    <w:rsid w:val="00B45F64"/>
    <w:rsid w:val="00B46631"/>
    <w:rsid w:val="00B46AAC"/>
    <w:rsid w:val="00B47AAA"/>
    <w:rsid w:val="00B513DB"/>
    <w:rsid w:val="00B51DDE"/>
    <w:rsid w:val="00B522DB"/>
    <w:rsid w:val="00B5232C"/>
    <w:rsid w:val="00B52CBC"/>
    <w:rsid w:val="00B53B47"/>
    <w:rsid w:val="00B55B3B"/>
    <w:rsid w:val="00B56C2E"/>
    <w:rsid w:val="00B604CC"/>
    <w:rsid w:val="00B60566"/>
    <w:rsid w:val="00B60649"/>
    <w:rsid w:val="00B60E66"/>
    <w:rsid w:val="00B615BB"/>
    <w:rsid w:val="00B61CA2"/>
    <w:rsid w:val="00B633D7"/>
    <w:rsid w:val="00B63E3B"/>
    <w:rsid w:val="00B6412B"/>
    <w:rsid w:val="00B67B78"/>
    <w:rsid w:val="00B67FF3"/>
    <w:rsid w:val="00B714AE"/>
    <w:rsid w:val="00B71E69"/>
    <w:rsid w:val="00B72B8E"/>
    <w:rsid w:val="00B731CC"/>
    <w:rsid w:val="00B73ECE"/>
    <w:rsid w:val="00B74E7F"/>
    <w:rsid w:val="00B75BFD"/>
    <w:rsid w:val="00B75EE9"/>
    <w:rsid w:val="00B7721D"/>
    <w:rsid w:val="00B77712"/>
    <w:rsid w:val="00B77E00"/>
    <w:rsid w:val="00B813ED"/>
    <w:rsid w:val="00B81595"/>
    <w:rsid w:val="00B82524"/>
    <w:rsid w:val="00B82A31"/>
    <w:rsid w:val="00B844F4"/>
    <w:rsid w:val="00B84D29"/>
    <w:rsid w:val="00B8552D"/>
    <w:rsid w:val="00B85876"/>
    <w:rsid w:val="00B861BD"/>
    <w:rsid w:val="00B86572"/>
    <w:rsid w:val="00B870A4"/>
    <w:rsid w:val="00B910D3"/>
    <w:rsid w:val="00B92189"/>
    <w:rsid w:val="00B9381E"/>
    <w:rsid w:val="00B9535D"/>
    <w:rsid w:val="00B95F2D"/>
    <w:rsid w:val="00B96BFC"/>
    <w:rsid w:val="00B97FFC"/>
    <w:rsid w:val="00BA011B"/>
    <w:rsid w:val="00BA0AE8"/>
    <w:rsid w:val="00BA0E1A"/>
    <w:rsid w:val="00BA4245"/>
    <w:rsid w:val="00BA4919"/>
    <w:rsid w:val="00BA6A28"/>
    <w:rsid w:val="00BB11DA"/>
    <w:rsid w:val="00BB1983"/>
    <w:rsid w:val="00BB2FE5"/>
    <w:rsid w:val="00BB309C"/>
    <w:rsid w:val="00BB5266"/>
    <w:rsid w:val="00BB707D"/>
    <w:rsid w:val="00BC21A9"/>
    <w:rsid w:val="00BC22C2"/>
    <w:rsid w:val="00BC44AD"/>
    <w:rsid w:val="00BC548F"/>
    <w:rsid w:val="00BD0300"/>
    <w:rsid w:val="00BD0723"/>
    <w:rsid w:val="00BD1B4F"/>
    <w:rsid w:val="00BD2724"/>
    <w:rsid w:val="00BD2895"/>
    <w:rsid w:val="00BD2B03"/>
    <w:rsid w:val="00BD2EBF"/>
    <w:rsid w:val="00BD2EF7"/>
    <w:rsid w:val="00BD79B9"/>
    <w:rsid w:val="00BD7EC3"/>
    <w:rsid w:val="00BE312C"/>
    <w:rsid w:val="00BE3789"/>
    <w:rsid w:val="00BE5243"/>
    <w:rsid w:val="00BE53B9"/>
    <w:rsid w:val="00BE5725"/>
    <w:rsid w:val="00BE658B"/>
    <w:rsid w:val="00BE7447"/>
    <w:rsid w:val="00BF004D"/>
    <w:rsid w:val="00BF03FD"/>
    <w:rsid w:val="00BF1023"/>
    <w:rsid w:val="00BF3599"/>
    <w:rsid w:val="00BF4337"/>
    <w:rsid w:val="00BF48A8"/>
    <w:rsid w:val="00C00C27"/>
    <w:rsid w:val="00C0127B"/>
    <w:rsid w:val="00C01930"/>
    <w:rsid w:val="00C03192"/>
    <w:rsid w:val="00C03282"/>
    <w:rsid w:val="00C04C04"/>
    <w:rsid w:val="00C0559D"/>
    <w:rsid w:val="00C061EB"/>
    <w:rsid w:val="00C0655C"/>
    <w:rsid w:val="00C0688F"/>
    <w:rsid w:val="00C07EF6"/>
    <w:rsid w:val="00C11CF8"/>
    <w:rsid w:val="00C14167"/>
    <w:rsid w:val="00C1451C"/>
    <w:rsid w:val="00C174E2"/>
    <w:rsid w:val="00C17786"/>
    <w:rsid w:val="00C17C11"/>
    <w:rsid w:val="00C202B0"/>
    <w:rsid w:val="00C22D4F"/>
    <w:rsid w:val="00C2334F"/>
    <w:rsid w:val="00C23364"/>
    <w:rsid w:val="00C236C5"/>
    <w:rsid w:val="00C23E3B"/>
    <w:rsid w:val="00C2441C"/>
    <w:rsid w:val="00C2701C"/>
    <w:rsid w:val="00C2796E"/>
    <w:rsid w:val="00C32500"/>
    <w:rsid w:val="00C326BD"/>
    <w:rsid w:val="00C33A80"/>
    <w:rsid w:val="00C3410C"/>
    <w:rsid w:val="00C34F36"/>
    <w:rsid w:val="00C350DA"/>
    <w:rsid w:val="00C360D7"/>
    <w:rsid w:val="00C36135"/>
    <w:rsid w:val="00C36DFE"/>
    <w:rsid w:val="00C40D03"/>
    <w:rsid w:val="00C40E70"/>
    <w:rsid w:val="00C41EF0"/>
    <w:rsid w:val="00C42B7E"/>
    <w:rsid w:val="00C45BC6"/>
    <w:rsid w:val="00C50500"/>
    <w:rsid w:val="00C51480"/>
    <w:rsid w:val="00C53963"/>
    <w:rsid w:val="00C53CFC"/>
    <w:rsid w:val="00C53DBC"/>
    <w:rsid w:val="00C54434"/>
    <w:rsid w:val="00C55B1D"/>
    <w:rsid w:val="00C56B72"/>
    <w:rsid w:val="00C57823"/>
    <w:rsid w:val="00C57B39"/>
    <w:rsid w:val="00C57C86"/>
    <w:rsid w:val="00C57F18"/>
    <w:rsid w:val="00C60133"/>
    <w:rsid w:val="00C6031F"/>
    <w:rsid w:val="00C6192E"/>
    <w:rsid w:val="00C6199F"/>
    <w:rsid w:val="00C6669B"/>
    <w:rsid w:val="00C67E54"/>
    <w:rsid w:val="00C711F9"/>
    <w:rsid w:val="00C7159C"/>
    <w:rsid w:val="00C71C4E"/>
    <w:rsid w:val="00C72C6E"/>
    <w:rsid w:val="00C7517E"/>
    <w:rsid w:val="00C758EA"/>
    <w:rsid w:val="00C76C6D"/>
    <w:rsid w:val="00C76D03"/>
    <w:rsid w:val="00C7750C"/>
    <w:rsid w:val="00C80777"/>
    <w:rsid w:val="00C817F7"/>
    <w:rsid w:val="00C821DE"/>
    <w:rsid w:val="00C83252"/>
    <w:rsid w:val="00C85B87"/>
    <w:rsid w:val="00C87EFB"/>
    <w:rsid w:val="00C90E0A"/>
    <w:rsid w:val="00C90E9E"/>
    <w:rsid w:val="00C91FB2"/>
    <w:rsid w:val="00C932E2"/>
    <w:rsid w:val="00C94AF6"/>
    <w:rsid w:val="00C95A01"/>
    <w:rsid w:val="00C95F6D"/>
    <w:rsid w:val="00C96647"/>
    <w:rsid w:val="00C97BE8"/>
    <w:rsid w:val="00CA0C4C"/>
    <w:rsid w:val="00CA0EB1"/>
    <w:rsid w:val="00CA1170"/>
    <w:rsid w:val="00CA20C6"/>
    <w:rsid w:val="00CA369A"/>
    <w:rsid w:val="00CA3A54"/>
    <w:rsid w:val="00CA3B26"/>
    <w:rsid w:val="00CA51EA"/>
    <w:rsid w:val="00CA5904"/>
    <w:rsid w:val="00CA5F42"/>
    <w:rsid w:val="00CA7D81"/>
    <w:rsid w:val="00CB0E3C"/>
    <w:rsid w:val="00CB2223"/>
    <w:rsid w:val="00CB24A4"/>
    <w:rsid w:val="00CB2928"/>
    <w:rsid w:val="00CB3319"/>
    <w:rsid w:val="00CB33B2"/>
    <w:rsid w:val="00CB445B"/>
    <w:rsid w:val="00CB6176"/>
    <w:rsid w:val="00CB6AB4"/>
    <w:rsid w:val="00CB7F9E"/>
    <w:rsid w:val="00CC0237"/>
    <w:rsid w:val="00CC135D"/>
    <w:rsid w:val="00CC5064"/>
    <w:rsid w:val="00CC52BA"/>
    <w:rsid w:val="00CD0022"/>
    <w:rsid w:val="00CD16B7"/>
    <w:rsid w:val="00CD2AE0"/>
    <w:rsid w:val="00CD2F7B"/>
    <w:rsid w:val="00CD34C3"/>
    <w:rsid w:val="00CD418D"/>
    <w:rsid w:val="00CD4B53"/>
    <w:rsid w:val="00CD6C61"/>
    <w:rsid w:val="00CD797D"/>
    <w:rsid w:val="00CE0556"/>
    <w:rsid w:val="00CE1780"/>
    <w:rsid w:val="00CE20F2"/>
    <w:rsid w:val="00CE40F1"/>
    <w:rsid w:val="00CE5325"/>
    <w:rsid w:val="00CE53B9"/>
    <w:rsid w:val="00CE6C61"/>
    <w:rsid w:val="00CE6F23"/>
    <w:rsid w:val="00CE7FA1"/>
    <w:rsid w:val="00CF114D"/>
    <w:rsid w:val="00CF30EA"/>
    <w:rsid w:val="00CF42A6"/>
    <w:rsid w:val="00CF5A1C"/>
    <w:rsid w:val="00CF7D57"/>
    <w:rsid w:val="00D0390B"/>
    <w:rsid w:val="00D04EAA"/>
    <w:rsid w:val="00D051A6"/>
    <w:rsid w:val="00D06431"/>
    <w:rsid w:val="00D10139"/>
    <w:rsid w:val="00D120EC"/>
    <w:rsid w:val="00D1374C"/>
    <w:rsid w:val="00D1434C"/>
    <w:rsid w:val="00D156D6"/>
    <w:rsid w:val="00D15CD3"/>
    <w:rsid w:val="00D165E2"/>
    <w:rsid w:val="00D2012E"/>
    <w:rsid w:val="00D2053C"/>
    <w:rsid w:val="00D20E8D"/>
    <w:rsid w:val="00D21EDF"/>
    <w:rsid w:val="00D221D0"/>
    <w:rsid w:val="00D23355"/>
    <w:rsid w:val="00D23A00"/>
    <w:rsid w:val="00D240E7"/>
    <w:rsid w:val="00D252EB"/>
    <w:rsid w:val="00D26226"/>
    <w:rsid w:val="00D26C64"/>
    <w:rsid w:val="00D27976"/>
    <w:rsid w:val="00D30C14"/>
    <w:rsid w:val="00D31F34"/>
    <w:rsid w:val="00D3207D"/>
    <w:rsid w:val="00D36D1A"/>
    <w:rsid w:val="00D37089"/>
    <w:rsid w:val="00D37C40"/>
    <w:rsid w:val="00D42039"/>
    <w:rsid w:val="00D462B4"/>
    <w:rsid w:val="00D46303"/>
    <w:rsid w:val="00D50B9E"/>
    <w:rsid w:val="00D5166B"/>
    <w:rsid w:val="00D51C84"/>
    <w:rsid w:val="00D51C89"/>
    <w:rsid w:val="00D52095"/>
    <w:rsid w:val="00D52B08"/>
    <w:rsid w:val="00D53657"/>
    <w:rsid w:val="00D5496C"/>
    <w:rsid w:val="00D55623"/>
    <w:rsid w:val="00D576A2"/>
    <w:rsid w:val="00D630CA"/>
    <w:rsid w:val="00D63216"/>
    <w:rsid w:val="00D63B35"/>
    <w:rsid w:val="00D646D8"/>
    <w:rsid w:val="00D6474E"/>
    <w:rsid w:val="00D658B7"/>
    <w:rsid w:val="00D678C8"/>
    <w:rsid w:val="00D718E9"/>
    <w:rsid w:val="00D72721"/>
    <w:rsid w:val="00D72862"/>
    <w:rsid w:val="00D72AAD"/>
    <w:rsid w:val="00D733F9"/>
    <w:rsid w:val="00D73DCC"/>
    <w:rsid w:val="00D7511A"/>
    <w:rsid w:val="00D765FF"/>
    <w:rsid w:val="00D768E5"/>
    <w:rsid w:val="00D77C52"/>
    <w:rsid w:val="00D81371"/>
    <w:rsid w:val="00D81EB1"/>
    <w:rsid w:val="00D845EC"/>
    <w:rsid w:val="00D8729D"/>
    <w:rsid w:val="00D87FC7"/>
    <w:rsid w:val="00D9040A"/>
    <w:rsid w:val="00D924CD"/>
    <w:rsid w:val="00D96902"/>
    <w:rsid w:val="00D977D1"/>
    <w:rsid w:val="00DA052B"/>
    <w:rsid w:val="00DA0CA9"/>
    <w:rsid w:val="00DA0E5E"/>
    <w:rsid w:val="00DA2430"/>
    <w:rsid w:val="00DA29A4"/>
    <w:rsid w:val="00DA2C57"/>
    <w:rsid w:val="00DA3772"/>
    <w:rsid w:val="00DA3AFA"/>
    <w:rsid w:val="00DA44B3"/>
    <w:rsid w:val="00DA4BBC"/>
    <w:rsid w:val="00DA5419"/>
    <w:rsid w:val="00DA6074"/>
    <w:rsid w:val="00DA73A9"/>
    <w:rsid w:val="00DA75A1"/>
    <w:rsid w:val="00DA7878"/>
    <w:rsid w:val="00DB0D90"/>
    <w:rsid w:val="00DB14A7"/>
    <w:rsid w:val="00DB2A90"/>
    <w:rsid w:val="00DB5151"/>
    <w:rsid w:val="00DB5B8F"/>
    <w:rsid w:val="00DB5BD8"/>
    <w:rsid w:val="00DC4261"/>
    <w:rsid w:val="00DC6F2E"/>
    <w:rsid w:val="00DC7EE2"/>
    <w:rsid w:val="00DD36B1"/>
    <w:rsid w:val="00DD4877"/>
    <w:rsid w:val="00DD579E"/>
    <w:rsid w:val="00DD78B5"/>
    <w:rsid w:val="00DE2261"/>
    <w:rsid w:val="00DE2C76"/>
    <w:rsid w:val="00DE45F5"/>
    <w:rsid w:val="00DE4650"/>
    <w:rsid w:val="00DE4C33"/>
    <w:rsid w:val="00DE5CE4"/>
    <w:rsid w:val="00DE7100"/>
    <w:rsid w:val="00DE7CE3"/>
    <w:rsid w:val="00DF2B67"/>
    <w:rsid w:val="00DF4D7B"/>
    <w:rsid w:val="00DF5434"/>
    <w:rsid w:val="00DF58C0"/>
    <w:rsid w:val="00DF6F23"/>
    <w:rsid w:val="00DF719A"/>
    <w:rsid w:val="00DF71D7"/>
    <w:rsid w:val="00DF73AE"/>
    <w:rsid w:val="00E02BF1"/>
    <w:rsid w:val="00E0304F"/>
    <w:rsid w:val="00E03F34"/>
    <w:rsid w:val="00E044B1"/>
    <w:rsid w:val="00E0473C"/>
    <w:rsid w:val="00E04BD5"/>
    <w:rsid w:val="00E05153"/>
    <w:rsid w:val="00E05B21"/>
    <w:rsid w:val="00E07444"/>
    <w:rsid w:val="00E11146"/>
    <w:rsid w:val="00E112E3"/>
    <w:rsid w:val="00E11C81"/>
    <w:rsid w:val="00E12447"/>
    <w:rsid w:val="00E128AD"/>
    <w:rsid w:val="00E12CF4"/>
    <w:rsid w:val="00E13665"/>
    <w:rsid w:val="00E1386C"/>
    <w:rsid w:val="00E13C65"/>
    <w:rsid w:val="00E141C5"/>
    <w:rsid w:val="00E17A43"/>
    <w:rsid w:val="00E21EB9"/>
    <w:rsid w:val="00E22731"/>
    <w:rsid w:val="00E227C6"/>
    <w:rsid w:val="00E22986"/>
    <w:rsid w:val="00E247A4"/>
    <w:rsid w:val="00E26156"/>
    <w:rsid w:val="00E267AF"/>
    <w:rsid w:val="00E27210"/>
    <w:rsid w:val="00E27287"/>
    <w:rsid w:val="00E30A4A"/>
    <w:rsid w:val="00E314CF"/>
    <w:rsid w:val="00E32C23"/>
    <w:rsid w:val="00E32EC8"/>
    <w:rsid w:val="00E32F23"/>
    <w:rsid w:val="00E339AA"/>
    <w:rsid w:val="00E343E1"/>
    <w:rsid w:val="00E34DD1"/>
    <w:rsid w:val="00E35553"/>
    <w:rsid w:val="00E366A4"/>
    <w:rsid w:val="00E36D77"/>
    <w:rsid w:val="00E370EE"/>
    <w:rsid w:val="00E416F8"/>
    <w:rsid w:val="00E41A66"/>
    <w:rsid w:val="00E426A6"/>
    <w:rsid w:val="00E42E70"/>
    <w:rsid w:val="00E4402A"/>
    <w:rsid w:val="00E456D9"/>
    <w:rsid w:val="00E468DD"/>
    <w:rsid w:val="00E47934"/>
    <w:rsid w:val="00E504CA"/>
    <w:rsid w:val="00E50713"/>
    <w:rsid w:val="00E511C0"/>
    <w:rsid w:val="00E515AD"/>
    <w:rsid w:val="00E530DF"/>
    <w:rsid w:val="00E545E2"/>
    <w:rsid w:val="00E551A3"/>
    <w:rsid w:val="00E564FB"/>
    <w:rsid w:val="00E57D50"/>
    <w:rsid w:val="00E601A2"/>
    <w:rsid w:val="00E617BF"/>
    <w:rsid w:val="00E61B1D"/>
    <w:rsid w:val="00E62827"/>
    <w:rsid w:val="00E62C8A"/>
    <w:rsid w:val="00E64A16"/>
    <w:rsid w:val="00E65FDC"/>
    <w:rsid w:val="00E661FD"/>
    <w:rsid w:val="00E67119"/>
    <w:rsid w:val="00E67CCA"/>
    <w:rsid w:val="00E70D3F"/>
    <w:rsid w:val="00E736DD"/>
    <w:rsid w:val="00E745B2"/>
    <w:rsid w:val="00E74BD1"/>
    <w:rsid w:val="00E75339"/>
    <w:rsid w:val="00E838EA"/>
    <w:rsid w:val="00E83A47"/>
    <w:rsid w:val="00E83AFB"/>
    <w:rsid w:val="00E83E5E"/>
    <w:rsid w:val="00E87274"/>
    <w:rsid w:val="00E8793A"/>
    <w:rsid w:val="00E87F86"/>
    <w:rsid w:val="00E93312"/>
    <w:rsid w:val="00E94476"/>
    <w:rsid w:val="00E945CF"/>
    <w:rsid w:val="00E94B8F"/>
    <w:rsid w:val="00E957D0"/>
    <w:rsid w:val="00E95B38"/>
    <w:rsid w:val="00E95B5E"/>
    <w:rsid w:val="00E96C77"/>
    <w:rsid w:val="00E97666"/>
    <w:rsid w:val="00E97BE7"/>
    <w:rsid w:val="00EA3387"/>
    <w:rsid w:val="00EA34FD"/>
    <w:rsid w:val="00EA38EF"/>
    <w:rsid w:val="00EA6ADB"/>
    <w:rsid w:val="00EB0DF3"/>
    <w:rsid w:val="00EB1ED4"/>
    <w:rsid w:val="00EB2879"/>
    <w:rsid w:val="00EB32E9"/>
    <w:rsid w:val="00EB3817"/>
    <w:rsid w:val="00EB4F64"/>
    <w:rsid w:val="00EB5553"/>
    <w:rsid w:val="00EB5C98"/>
    <w:rsid w:val="00EB63CE"/>
    <w:rsid w:val="00EB64F1"/>
    <w:rsid w:val="00EB67AB"/>
    <w:rsid w:val="00EB6EFB"/>
    <w:rsid w:val="00EB7620"/>
    <w:rsid w:val="00EC0150"/>
    <w:rsid w:val="00EC037D"/>
    <w:rsid w:val="00EC0399"/>
    <w:rsid w:val="00EC041A"/>
    <w:rsid w:val="00EC118F"/>
    <w:rsid w:val="00EC178A"/>
    <w:rsid w:val="00EC2143"/>
    <w:rsid w:val="00EC34B0"/>
    <w:rsid w:val="00EC46A0"/>
    <w:rsid w:val="00EC4DB4"/>
    <w:rsid w:val="00EC5B7F"/>
    <w:rsid w:val="00EC67B0"/>
    <w:rsid w:val="00ED15E6"/>
    <w:rsid w:val="00ED1FC4"/>
    <w:rsid w:val="00ED2193"/>
    <w:rsid w:val="00ED285D"/>
    <w:rsid w:val="00ED3A86"/>
    <w:rsid w:val="00ED5465"/>
    <w:rsid w:val="00ED7EA9"/>
    <w:rsid w:val="00EE00B4"/>
    <w:rsid w:val="00EE05AB"/>
    <w:rsid w:val="00EE0B94"/>
    <w:rsid w:val="00EE0DC6"/>
    <w:rsid w:val="00EE146D"/>
    <w:rsid w:val="00EE1FFD"/>
    <w:rsid w:val="00EE2197"/>
    <w:rsid w:val="00EE3E74"/>
    <w:rsid w:val="00EE6452"/>
    <w:rsid w:val="00EE66E7"/>
    <w:rsid w:val="00EF14C6"/>
    <w:rsid w:val="00EF2500"/>
    <w:rsid w:val="00EF302A"/>
    <w:rsid w:val="00EF4232"/>
    <w:rsid w:val="00EF476A"/>
    <w:rsid w:val="00EF5157"/>
    <w:rsid w:val="00EF547D"/>
    <w:rsid w:val="00EF76A6"/>
    <w:rsid w:val="00F0051B"/>
    <w:rsid w:val="00F012ED"/>
    <w:rsid w:val="00F0168D"/>
    <w:rsid w:val="00F023A7"/>
    <w:rsid w:val="00F02B62"/>
    <w:rsid w:val="00F0466A"/>
    <w:rsid w:val="00F047EF"/>
    <w:rsid w:val="00F10285"/>
    <w:rsid w:val="00F11E96"/>
    <w:rsid w:val="00F12763"/>
    <w:rsid w:val="00F129E7"/>
    <w:rsid w:val="00F12A1C"/>
    <w:rsid w:val="00F12C97"/>
    <w:rsid w:val="00F137C5"/>
    <w:rsid w:val="00F15CA9"/>
    <w:rsid w:val="00F16A62"/>
    <w:rsid w:val="00F17491"/>
    <w:rsid w:val="00F20B09"/>
    <w:rsid w:val="00F231AC"/>
    <w:rsid w:val="00F2707E"/>
    <w:rsid w:val="00F2748F"/>
    <w:rsid w:val="00F303E0"/>
    <w:rsid w:val="00F3156E"/>
    <w:rsid w:val="00F330C2"/>
    <w:rsid w:val="00F33144"/>
    <w:rsid w:val="00F33251"/>
    <w:rsid w:val="00F332B6"/>
    <w:rsid w:val="00F336AC"/>
    <w:rsid w:val="00F34024"/>
    <w:rsid w:val="00F346DA"/>
    <w:rsid w:val="00F34BCC"/>
    <w:rsid w:val="00F350BB"/>
    <w:rsid w:val="00F353D4"/>
    <w:rsid w:val="00F35AC7"/>
    <w:rsid w:val="00F35DD7"/>
    <w:rsid w:val="00F364FB"/>
    <w:rsid w:val="00F36DFD"/>
    <w:rsid w:val="00F37261"/>
    <w:rsid w:val="00F37B4B"/>
    <w:rsid w:val="00F43671"/>
    <w:rsid w:val="00F43A1B"/>
    <w:rsid w:val="00F45CBC"/>
    <w:rsid w:val="00F47622"/>
    <w:rsid w:val="00F50180"/>
    <w:rsid w:val="00F50819"/>
    <w:rsid w:val="00F522E6"/>
    <w:rsid w:val="00F53D3A"/>
    <w:rsid w:val="00F54343"/>
    <w:rsid w:val="00F55358"/>
    <w:rsid w:val="00F56870"/>
    <w:rsid w:val="00F57054"/>
    <w:rsid w:val="00F57B03"/>
    <w:rsid w:val="00F633EF"/>
    <w:rsid w:val="00F6358D"/>
    <w:rsid w:val="00F6490B"/>
    <w:rsid w:val="00F65697"/>
    <w:rsid w:val="00F65D8A"/>
    <w:rsid w:val="00F702DC"/>
    <w:rsid w:val="00F71BBA"/>
    <w:rsid w:val="00F727CF"/>
    <w:rsid w:val="00F732F9"/>
    <w:rsid w:val="00F736A0"/>
    <w:rsid w:val="00F756DE"/>
    <w:rsid w:val="00F7581B"/>
    <w:rsid w:val="00F767E7"/>
    <w:rsid w:val="00F7753E"/>
    <w:rsid w:val="00F80571"/>
    <w:rsid w:val="00F80A72"/>
    <w:rsid w:val="00F84043"/>
    <w:rsid w:val="00F841D2"/>
    <w:rsid w:val="00F84A58"/>
    <w:rsid w:val="00F84CFB"/>
    <w:rsid w:val="00F85533"/>
    <w:rsid w:val="00F906C4"/>
    <w:rsid w:val="00F9118A"/>
    <w:rsid w:val="00F927C1"/>
    <w:rsid w:val="00FA0D09"/>
    <w:rsid w:val="00FA0FED"/>
    <w:rsid w:val="00FA17D4"/>
    <w:rsid w:val="00FA28B2"/>
    <w:rsid w:val="00FA28E5"/>
    <w:rsid w:val="00FA3DD4"/>
    <w:rsid w:val="00FA4B81"/>
    <w:rsid w:val="00FA4E89"/>
    <w:rsid w:val="00FA7D33"/>
    <w:rsid w:val="00FB024E"/>
    <w:rsid w:val="00FB1E59"/>
    <w:rsid w:val="00FB1ED9"/>
    <w:rsid w:val="00FB2276"/>
    <w:rsid w:val="00FB30AE"/>
    <w:rsid w:val="00FB367B"/>
    <w:rsid w:val="00FB3B75"/>
    <w:rsid w:val="00FB405A"/>
    <w:rsid w:val="00FB6044"/>
    <w:rsid w:val="00FB75AE"/>
    <w:rsid w:val="00FC0BED"/>
    <w:rsid w:val="00FC1472"/>
    <w:rsid w:val="00FC20A4"/>
    <w:rsid w:val="00FC2B95"/>
    <w:rsid w:val="00FC3049"/>
    <w:rsid w:val="00FC34E0"/>
    <w:rsid w:val="00FC3E84"/>
    <w:rsid w:val="00FC4260"/>
    <w:rsid w:val="00FC545C"/>
    <w:rsid w:val="00FC5529"/>
    <w:rsid w:val="00FC7DE5"/>
    <w:rsid w:val="00FD0411"/>
    <w:rsid w:val="00FD2004"/>
    <w:rsid w:val="00FD5C49"/>
    <w:rsid w:val="00FD69F8"/>
    <w:rsid w:val="00FD6B38"/>
    <w:rsid w:val="00FD7ADB"/>
    <w:rsid w:val="00FE0DFA"/>
    <w:rsid w:val="00FE149A"/>
    <w:rsid w:val="00FE1D04"/>
    <w:rsid w:val="00FE1E42"/>
    <w:rsid w:val="00FE3C08"/>
    <w:rsid w:val="00FE41D5"/>
    <w:rsid w:val="00FE4C33"/>
    <w:rsid w:val="00FE539C"/>
    <w:rsid w:val="00FE6AB3"/>
    <w:rsid w:val="00FE6C3C"/>
    <w:rsid w:val="00FE6D39"/>
    <w:rsid w:val="00FF009F"/>
    <w:rsid w:val="00FF22D2"/>
    <w:rsid w:val="00FF4A77"/>
    <w:rsid w:val="00FF54D1"/>
    <w:rsid w:val="00FF5DCC"/>
    <w:rsid w:val="00FF6CB6"/>
    <w:rsid w:val="00FF7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18D6E9"/>
  <w15:chartTrackingRefBased/>
  <w15:docId w15:val="{726F3C50-E6D5-4669-AEAD-8BBC536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26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5ED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zh-TW"/>
    </w:rPr>
  </w:style>
  <w:style w:type="paragraph" w:styleId="Heading3">
    <w:name w:val="heading 3"/>
    <w:basedOn w:val="Normal"/>
    <w:next w:val="Normal"/>
    <w:link w:val="Heading3Char"/>
    <w:uiPriority w:val="9"/>
    <w:unhideWhenUsed/>
    <w:qFormat/>
    <w:rsid w:val="008A3E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3E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3E2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34"/>
  </w:style>
  <w:style w:type="paragraph" w:styleId="Footer">
    <w:name w:val="footer"/>
    <w:basedOn w:val="Normal"/>
    <w:link w:val="FooterChar"/>
    <w:uiPriority w:val="99"/>
    <w:unhideWhenUsed/>
    <w:rsid w:val="00DF5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34"/>
  </w:style>
  <w:style w:type="character" w:styleId="Hyperlink">
    <w:name w:val="Hyperlink"/>
    <w:basedOn w:val="DefaultParagraphFont"/>
    <w:uiPriority w:val="99"/>
    <w:unhideWhenUsed/>
    <w:rsid w:val="005B2613"/>
    <w:rPr>
      <w:color w:val="155589"/>
      <w:u w:val="single"/>
    </w:rPr>
  </w:style>
  <w:style w:type="paragraph" w:styleId="TOC1">
    <w:name w:val="toc 1"/>
    <w:basedOn w:val="Normal"/>
    <w:next w:val="Normal"/>
    <w:autoRedefine/>
    <w:uiPriority w:val="39"/>
    <w:unhideWhenUsed/>
    <w:rsid w:val="00C6199F"/>
    <w:pPr>
      <w:tabs>
        <w:tab w:val="right" w:leader="dot" w:pos="9072"/>
      </w:tabs>
      <w:spacing w:before="120" w:after="0" w:line="240" w:lineRule="auto"/>
    </w:pPr>
    <w:rPr>
      <w:rFonts w:eastAsiaTheme="minorEastAsia"/>
      <w:b/>
      <w:color w:val="0F293A"/>
      <w:sz w:val="24"/>
      <w:lang w:eastAsia="zh-TW"/>
    </w:rPr>
  </w:style>
  <w:style w:type="paragraph" w:styleId="TOC2">
    <w:name w:val="toc 2"/>
    <w:basedOn w:val="Normal"/>
    <w:next w:val="Normal"/>
    <w:autoRedefine/>
    <w:uiPriority w:val="39"/>
    <w:unhideWhenUsed/>
    <w:rsid w:val="005B2613"/>
    <w:pPr>
      <w:tabs>
        <w:tab w:val="right" w:leader="dot" w:pos="9072"/>
      </w:tabs>
      <w:spacing w:after="0" w:line="240" w:lineRule="auto"/>
      <w:ind w:left="567"/>
    </w:pPr>
    <w:rPr>
      <w:rFonts w:eastAsiaTheme="minorEastAsia"/>
      <w:lang w:eastAsia="zh-TW"/>
    </w:rPr>
  </w:style>
  <w:style w:type="character" w:customStyle="1" w:styleId="Heading1Char">
    <w:name w:val="Heading 1 Char"/>
    <w:basedOn w:val="DefaultParagraphFont"/>
    <w:link w:val="Heading1"/>
    <w:uiPriority w:val="9"/>
    <w:rsid w:val="005B261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B2613"/>
    <w:pPr>
      <w:outlineLvl w:val="9"/>
    </w:pPr>
    <w:rPr>
      <w:lang w:val="en-US"/>
    </w:rPr>
  </w:style>
  <w:style w:type="paragraph" w:styleId="TOC3">
    <w:name w:val="toc 3"/>
    <w:basedOn w:val="Normal"/>
    <w:next w:val="Normal"/>
    <w:autoRedefine/>
    <w:uiPriority w:val="39"/>
    <w:unhideWhenUsed/>
    <w:rsid w:val="00B86572"/>
    <w:pPr>
      <w:tabs>
        <w:tab w:val="right" w:leader="dot" w:pos="9016"/>
      </w:tabs>
      <w:spacing w:after="100" w:line="240" w:lineRule="auto"/>
      <w:ind w:left="720"/>
    </w:pPr>
    <w:rPr>
      <w:rFonts w:eastAsiaTheme="minorEastAsia"/>
      <w:lang w:eastAsia="zh-TW"/>
    </w:rPr>
  </w:style>
  <w:style w:type="paragraph" w:styleId="Title">
    <w:name w:val="Title"/>
    <w:basedOn w:val="Normal"/>
    <w:next w:val="Normal"/>
    <w:link w:val="TitleChar"/>
    <w:uiPriority w:val="10"/>
    <w:qFormat/>
    <w:rsid w:val="005B2613"/>
    <w:pPr>
      <w:spacing w:after="0" w:line="240" w:lineRule="auto"/>
      <w:contextualSpacing/>
    </w:pPr>
    <w:rPr>
      <w:rFonts w:asciiTheme="majorHAnsi" w:eastAsiaTheme="majorEastAsia" w:hAnsiTheme="majorHAnsi" w:cstheme="majorBidi"/>
      <w:spacing w:val="-10"/>
      <w:kern w:val="28"/>
      <w:sz w:val="56"/>
      <w:szCs w:val="56"/>
      <w:lang w:eastAsia="zh-TW"/>
    </w:rPr>
  </w:style>
  <w:style w:type="character" w:customStyle="1" w:styleId="TitleChar">
    <w:name w:val="Title Char"/>
    <w:basedOn w:val="DefaultParagraphFont"/>
    <w:link w:val="Title"/>
    <w:uiPriority w:val="10"/>
    <w:rsid w:val="005B2613"/>
    <w:rPr>
      <w:rFonts w:asciiTheme="majorHAnsi" w:eastAsiaTheme="majorEastAsia" w:hAnsiTheme="majorHAnsi" w:cstheme="majorBidi"/>
      <w:spacing w:val="-10"/>
      <w:kern w:val="28"/>
      <w:sz w:val="56"/>
      <w:szCs w:val="56"/>
      <w:lang w:eastAsia="zh-TW"/>
    </w:rPr>
  </w:style>
  <w:style w:type="character" w:styleId="CommentReference">
    <w:name w:val="annotation reference"/>
    <w:basedOn w:val="DefaultParagraphFont"/>
    <w:uiPriority w:val="99"/>
    <w:semiHidden/>
    <w:unhideWhenUsed/>
    <w:rsid w:val="005A62B5"/>
    <w:rPr>
      <w:sz w:val="16"/>
      <w:szCs w:val="16"/>
    </w:rPr>
  </w:style>
  <w:style w:type="paragraph" w:styleId="CommentText">
    <w:name w:val="annotation text"/>
    <w:basedOn w:val="Normal"/>
    <w:link w:val="CommentTextChar"/>
    <w:uiPriority w:val="99"/>
    <w:unhideWhenUsed/>
    <w:rsid w:val="005A62B5"/>
    <w:pPr>
      <w:spacing w:after="200" w:line="240" w:lineRule="auto"/>
    </w:pPr>
    <w:rPr>
      <w:rFonts w:eastAsiaTheme="minorEastAsia"/>
      <w:sz w:val="20"/>
      <w:szCs w:val="20"/>
      <w:lang w:eastAsia="zh-TW"/>
    </w:rPr>
  </w:style>
  <w:style w:type="character" w:customStyle="1" w:styleId="CommentTextChar">
    <w:name w:val="Comment Text Char"/>
    <w:basedOn w:val="DefaultParagraphFont"/>
    <w:link w:val="CommentText"/>
    <w:uiPriority w:val="99"/>
    <w:rsid w:val="005A62B5"/>
    <w:rPr>
      <w:rFonts w:eastAsiaTheme="minorEastAsia"/>
      <w:sz w:val="20"/>
      <w:szCs w:val="20"/>
      <w:lang w:eastAsia="zh-TW"/>
    </w:rPr>
  </w:style>
  <w:style w:type="paragraph" w:styleId="BalloonText">
    <w:name w:val="Balloon Text"/>
    <w:basedOn w:val="Normal"/>
    <w:link w:val="BalloonTextChar"/>
    <w:uiPriority w:val="99"/>
    <w:semiHidden/>
    <w:unhideWhenUsed/>
    <w:rsid w:val="005A6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2B5"/>
    <w:rPr>
      <w:rFonts w:ascii="Segoe UI" w:hAnsi="Segoe UI" w:cs="Segoe UI"/>
      <w:sz w:val="18"/>
      <w:szCs w:val="18"/>
    </w:rPr>
  </w:style>
  <w:style w:type="paragraph" w:styleId="ListParagraph">
    <w:name w:val="List Paragraph"/>
    <w:basedOn w:val="Normal"/>
    <w:link w:val="ListParagraphChar"/>
    <w:uiPriority w:val="34"/>
    <w:qFormat/>
    <w:rsid w:val="00987C0D"/>
    <w:pPr>
      <w:ind w:left="720"/>
      <w:contextualSpacing/>
    </w:pPr>
  </w:style>
  <w:style w:type="paragraph" w:customStyle="1" w:styleId="paragraph">
    <w:name w:val="paragraph"/>
    <w:basedOn w:val="Normal"/>
    <w:rsid w:val="00144E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144E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9C35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544"/>
    <w:rPr>
      <w:sz w:val="20"/>
      <w:szCs w:val="20"/>
    </w:rPr>
  </w:style>
  <w:style w:type="character" w:styleId="FootnoteReference">
    <w:name w:val="footnote reference"/>
    <w:basedOn w:val="DefaultParagraphFont"/>
    <w:uiPriority w:val="99"/>
    <w:semiHidden/>
    <w:unhideWhenUsed/>
    <w:rsid w:val="009C3544"/>
    <w:rPr>
      <w:vertAlign w:val="superscript"/>
    </w:rPr>
  </w:style>
  <w:style w:type="character" w:customStyle="1" w:styleId="Heading2Char">
    <w:name w:val="Heading 2 Char"/>
    <w:basedOn w:val="DefaultParagraphFont"/>
    <w:link w:val="Heading2"/>
    <w:uiPriority w:val="9"/>
    <w:rsid w:val="005C5ED4"/>
    <w:rPr>
      <w:rFonts w:asciiTheme="majorHAnsi" w:eastAsiaTheme="majorEastAsia" w:hAnsiTheme="majorHAnsi" w:cstheme="majorBidi"/>
      <w:color w:val="2E74B5" w:themeColor="accent1" w:themeShade="BF"/>
      <w:sz w:val="26"/>
      <w:szCs w:val="26"/>
      <w:lang w:eastAsia="zh-TW"/>
    </w:rPr>
  </w:style>
  <w:style w:type="table" w:styleId="PlainTable4">
    <w:name w:val="Plain Table 4"/>
    <w:basedOn w:val="TableNormal"/>
    <w:uiPriority w:val="44"/>
    <w:rsid w:val="005C5E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5C5ED4"/>
    <w:pPr>
      <w:spacing w:after="0" w:line="240" w:lineRule="auto"/>
    </w:pPr>
    <w:rPr>
      <w:rFonts w:eastAsiaTheme="minorEastAsia"/>
      <w:lang w:eastAsia="zh-TW"/>
    </w:rPr>
  </w:style>
  <w:style w:type="paragraph" w:styleId="CommentSubject">
    <w:name w:val="annotation subject"/>
    <w:basedOn w:val="CommentText"/>
    <w:next w:val="CommentText"/>
    <w:link w:val="CommentSubjectChar"/>
    <w:uiPriority w:val="99"/>
    <w:semiHidden/>
    <w:unhideWhenUsed/>
    <w:rsid w:val="00953503"/>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953503"/>
    <w:rPr>
      <w:rFonts w:eastAsiaTheme="minorEastAsia"/>
      <w:b/>
      <w:bCs/>
      <w:sz w:val="20"/>
      <w:szCs w:val="20"/>
      <w:lang w:eastAsia="zh-TW"/>
    </w:rPr>
  </w:style>
  <w:style w:type="table" w:styleId="GridTable5Dark-Accent1">
    <w:name w:val="Grid Table 5 Dark Accent 1"/>
    <w:basedOn w:val="TableNormal"/>
    <w:uiPriority w:val="50"/>
    <w:rsid w:val="001D26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ListParagraphChar">
    <w:name w:val="List Paragraph Char"/>
    <w:link w:val="ListParagraph"/>
    <w:uiPriority w:val="34"/>
    <w:rsid w:val="00F56870"/>
  </w:style>
  <w:style w:type="paragraph" w:customStyle="1" w:styleId="Bulletlevel1">
    <w:name w:val="Bullet level 1"/>
    <w:basedOn w:val="Normal"/>
    <w:qFormat/>
    <w:rsid w:val="003C1535"/>
    <w:pPr>
      <w:numPr>
        <w:numId w:val="10"/>
      </w:numPr>
      <w:spacing w:after="200" w:line="240" w:lineRule="auto"/>
      <w:ind w:left="567" w:hanging="567"/>
      <w:contextualSpacing/>
    </w:pPr>
  </w:style>
  <w:style w:type="character" w:styleId="FollowedHyperlink">
    <w:name w:val="FollowedHyperlink"/>
    <w:basedOn w:val="DefaultParagraphFont"/>
    <w:uiPriority w:val="99"/>
    <w:semiHidden/>
    <w:unhideWhenUsed/>
    <w:rsid w:val="000A6125"/>
    <w:rPr>
      <w:color w:val="954F72" w:themeColor="followedHyperlink"/>
      <w:u w:val="single"/>
    </w:rPr>
  </w:style>
  <w:style w:type="paragraph" w:styleId="Caption">
    <w:name w:val="caption"/>
    <w:basedOn w:val="Normal"/>
    <w:next w:val="Normal"/>
    <w:uiPriority w:val="35"/>
    <w:unhideWhenUsed/>
    <w:qFormat/>
    <w:rsid w:val="004C1E49"/>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8A3E2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3E2A"/>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8A3E2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A3E2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A3E2A"/>
    <w:rPr>
      <w:rFonts w:asciiTheme="majorHAnsi" w:eastAsiaTheme="majorEastAsia" w:hAnsiTheme="majorHAnsi" w:cstheme="majorBidi"/>
      <w:color w:val="2E74B5" w:themeColor="accent1" w:themeShade="BF"/>
    </w:rPr>
  </w:style>
  <w:style w:type="paragraph" w:styleId="Revision">
    <w:name w:val="Revision"/>
    <w:hidden/>
    <w:uiPriority w:val="99"/>
    <w:semiHidden/>
    <w:rsid w:val="00FA0FED"/>
    <w:pPr>
      <w:spacing w:after="0" w:line="240" w:lineRule="auto"/>
    </w:pPr>
  </w:style>
  <w:style w:type="table" w:styleId="TableGrid">
    <w:name w:val="Table Grid"/>
    <w:basedOn w:val="TableNormal"/>
    <w:uiPriority w:val="39"/>
    <w:rsid w:val="0039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093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7926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11349">
      <w:bodyDiv w:val="1"/>
      <w:marLeft w:val="0"/>
      <w:marRight w:val="0"/>
      <w:marTop w:val="0"/>
      <w:marBottom w:val="0"/>
      <w:divBdr>
        <w:top w:val="none" w:sz="0" w:space="0" w:color="auto"/>
        <w:left w:val="none" w:sz="0" w:space="0" w:color="auto"/>
        <w:bottom w:val="none" w:sz="0" w:space="0" w:color="auto"/>
        <w:right w:val="none" w:sz="0" w:space="0" w:color="auto"/>
      </w:divBdr>
    </w:div>
    <w:div w:id="553660388">
      <w:bodyDiv w:val="1"/>
      <w:marLeft w:val="0"/>
      <w:marRight w:val="0"/>
      <w:marTop w:val="0"/>
      <w:marBottom w:val="0"/>
      <w:divBdr>
        <w:top w:val="none" w:sz="0" w:space="0" w:color="auto"/>
        <w:left w:val="none" w:sz="0" w:space="0" w:color="auto"/>
        <w:bottom w:val="none" w:sz="0" w:space="0" w:color="auto"/>
        <w:right w:val="none" w:sz="0" w:space="0" w:color="auto"/>
      </w:divBdr>
    </w:div>
    <w:div w:id="851844451">
      <w:bodyDiv w:val="1"/>
      <w:marLeft w:val="0"/>
      <w:marRight w:val="0"/>
      <w:marTop w:val="0"/>
      <w:marBottom w:val="0"/>
      <w:divBdr>
        <w:top w:val="none" w:sz="0" w:space="0" w:color="auto"/>
        <w:left w:val="none" w:sz="0" w:space="0" w:color="auto"/>
        <w:bottom w:val="none" w:sz="0" w:space="0" w:color="auto"/>
        <w:right w:val="none" w:sz="0" w:space="0" w:color="auto"/>
      </w:divBdr>
    </w:div>
    <w:div w:id="21041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publications/accc-telecommunications-report" TargetMode="External"/><Relationship Id="rId3" Type="http://schemas.openxmlformats.org/officeDocument/2006/relationships/hyperlink" Target="https://www.communications.gov.au/have-your-say/850900-mhz-auction-allocation-limits-exposure-draft" TargetMode="External"/><Relationship Id="rId7" Type="http://schemas.openxmlformats.org/officeDocument/2006/relationships/hyperlink" Target="https://www.accc.gov.au/regulated-infrastructure/communications/mobile-services/spectrum-competition-limits/request-for-advice-850-900-mhz-spectrum" TargetMode="External"/><Relationship Id="rId2" Type="http://schemas.openxmlformats.org/officeDocument/2006/relationships/hyperlink" Target="https://www.accc.gov.au/regulated-infrastructure/communications/mobile-services/spectrum-competition-limits/request-for-advice-850-900-mhz-spectrum" TargetMode="External"/><Relationship Id="rId1" Type="http://schemas.openxmlformats.org/officeDocument/2006/relationships/hyperlink" Target="https://www.legislation.gov.au/Details/F2020L01407" TargetMode="External"/><Relationship Id="rId6" Type="http://schemas.openxmlformats.org/officeDocument/2006/relationships/hyperlink" Target="https://www.communications.gov.au/documents/spectrum-pricing-review" TargetMode="External"/><Relationship Id="rId5" Type="http://schemas.openxmlformats.org/officeDocument/2006/relationships/hyperlink" Target="https://www.acma.gov.au/auction-summary-26-ghz-band-2021" TargetMode="External"/><Relationship Id="rId4" Type="http://schemas.openxmlformats.org/officeDocument/2006/relationships/hyperlink" Target="https://www.communications.gov.au/documents/communications-policy-objectives-allocation-850-and-900-mhz-b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3.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0710205EC4EE324F94B14DAD9F9F6BC6" ma:contentTypeVersion="5" ma:contentTypeDescription="This content type is the root content type of all trim record types with behaviour as Document" ma:contentTypeScope="" ma:versionID="57dcb2a117c2f6f22e15a64dbbc9c682">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5E74B-75BD-4934-BD0F-4A280B341185}">
  <ds:schemaRefs>
    <ds:schemaRef ds:uri="http://schemas.microsoft.com/sharepoint/v3/contenttype/forms"/>
  </ds:schemaRefs>
</ds:datastoreItem>
</file>

<file path=customXml/itemProps2.xml><?xml version="1.0" encoding="utf-8"?>
<ds:datastoreItem xmlns:ds="http://schemas.openxmlformats.org/officeDocument/2006/customXml" ds:itemID="{8FD9CCE4-5FFC-4405-8BE8-E9F098C9498F}">
  <ds:schemaRefs>
    <ds:schemaRef ds:uri="4597da67-68a3-4e9d-8803-ba3e1787ab6c"/>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150993C-ACFA-466C-A5F7-6E33777CC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DFE11-E8FC-4549-8070-174A18CC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10385</Words>
  <Characters>54628</Characters>
  <Application>Microsoft Office Word</Application>
  <DocSecurity>0</DocSecurity>
  <Lines>910</Lines>
  <Paragraphs>328</Paragraphs>
  <ScaleCrop>false</ScaleCrop>
  <HeadingPairs>
    <vt:vector size="2" baseType="variant">
      <vt:variant>
        <vt:lpstr>Title</vt:lpstr>
      </vt:variant>
      <vt:variant>
        <vt:i4>1</vt:i4>
      </vt:variant>
    </vt:vector>
  </HeadingPairs>
  <TitlesOfParts>
    <vt:vector size="1" baseType="lpstr">
      <vt:lpstr>RIS - 850-900 MHz allocation limits - Final Redacted version.docx</vt:lpstr>
    </vt:vector>
  </TitlesOfParts>
  <Company>Department of Communications and the Arts</Company>
  <LinksUpToDate>false</LinksUpToDate>
  <CharactersWithSpaces>64685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- 850-900 MHz allocation limits - Final Redacted version.docx</dc:title>
  <dc:subject/>
  <dc:creator>Blackwood, Rachel</dc:creator>
  <cp:keywords/>
  <dc:description/>
  <cp:lastModifiedBy>Dawson, Lauren</cp:lastModifiedBy>
  <cp:revision>4</cp:revision>
  <cp:lastPrinted>2021-07-26T00:40:00Z</cp:lastPrinted>
  <dcterms:created xsi:type="dcterms:W3CDTF">2021-07-26T23:27:00Z</dcterms:created>
  <dcterms:modified xsi:type="dcterms:W3CDTF">2021-07-26T23:57:00Z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0x010100407620DDFF47524F86BCF55EDD394643000710205EC4EE324F94B14DAD9F9F6BC6</vt:lpwstr>
  </property>
  <property fmtid="{D5CDD505-2E9C-101B-9397-08002B2CF9AE}" pid="3" name="_dlc_DocIdItemGuid">
    <vt:lpwstr>546672ff-c6e9-4f36-a51e-772b016f69f6</vt:lpwstr>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y fmtid="{D5CDD505-2E9C-101B-9397-08002B2CF9AE}" pid="14" name="TrimRevisionNumber">
    <vt:i4>5</vt:i4>
  </property>
</Properties>
</file>