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06A76" w14:textId="45D87053" w:rsidR="00CB186C" w:rsidRDefault="004D7175" w:rsidP="00070E3D">
      <w:pPr>
        <w:pStyle w:val="CABBackGround"/>
        <w:spacing w:before="60" w:after="60" w:line="240" w:lineRule="auto"/>
        <w:rPr>
          <w:szCs w:val="24"/>
        </w:rPr>
      </w:pPr>
      <w:bookmarkStart w:id="0" w:name="_GoBack"/>
      <w:bookmarkEnd w:id="0"/>
      <w:r>
        <w:rPr>
          <w:noProof/>
        </w:rPr>
        <w:drawing>
          <wp:inline distT="0" distB="0" distL="0" distR="0" wp14:anchorId="1EDE5D81" wp14:editId="4C49E051">
            <wp:extent cx="2994598" cy="772885"/>
            <wp:effectExtent l="0" t="0" r="0" b="8255"/>
            <wp:docPr id="28" name="Picture 28" descr="Official crest of the Australian Government,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ISER-inline_Mono-X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1319" cy="784943"/>
                    </a:xfrm>
                    <a:prstGeom prst="rect">
                      <a:avLst/>
                    </a:prstGeom>
                  </pic:spPr>
                </pic:pic>
              </a:graphicData>
            </a:graphic>
          </wp:inline>
        </w:drawing>
      </w:r>
    </w:p>
    <w:p w14:paraId="1B59F63F" w14:textId="77777777" w:rsidR="009065C0" w:rsidRPr="009065C0" w:rsidRDefault="009065C0" w:rsidP="00070E3D">
      <w:pPr>
        <w:pStyle w:val="CABBackGround"/>
        <w:spacing w:before="60" w:after="60" w:line="240" w:lineRule="auto"/>
        <w:rPr>
          <w:sz w:val="56"/>
          <w:szCs w:val="24"/>
        </w:rPr>
      </w:pPr>
    </w:p>
    <w:p w14:paraId="32A62925" w14:textId="08E2B2CE" w:rsidR="00970ED6" w:rsidRPr="00337CED" w:rsidRDefault="00337CED" w:rsidP="00970ED6">
      <w:pPr>
        <w:pStyle w:val="CABBackGround"/>
        <w:spacing w:before="60" w:after="60" w:line="240" w:lineRule="auto"/>
        <w:rPr>
          <w:b/>
          <w:sz w:val="32"/>
          <w:szCs w:val="24"/>
        </w:rPr>
      </w:pPr>
      <w:r w:rsidRPr="00337CED">
        <w:rPr>
          <w:b/>
          <w:sz w:val="32"/>
          <w:szCs w:val="24"/>
        </w:rPr>
        <w:t>Securing Australia’s Domestic Fuel Stocks and Refining Capacity</w:t>
      </w:r>
      <w:r w:rsidRPr="00337CED">
        <w:rPr>
          <w:b/>
          <w:sz w:val="32"/>
          <w:szCs w:val="24"/>
        </w:rPr>
        <w:br/>
        <w:t>Regulation Impact Statement</w:t>
      </w:r>
    </w:p>
    <w:p w14:paraId="3380D030" w14:textId="22CAA65B" w:rsidR="004F5C69" w:rsidRDefault="00D62459" w:rsidP="00970ED6">
      <w:pPr>
        <w:pStyle w:val="CABBackGround"/>
        <w:pBdr>
          <w:top w:val="single" w:sz="4" w:space="1" w:color="auto"/>
        </w:pBdr>
        <w:spacing w:before="60" w:after="60" w:line="240" w:lineRule="auto"/>
        <w:rPr>
          <w:b/>
          <w:sz w:val="32"/>
          <w:szCs w:val="24"/>
        </w:rPr>
      </w:pPr>
      <w:r>
        <w:rPr>
          <w:b/>
          <w:sz w:val="32"/>
          <w:szCs w:val="24"/>
        </w:rPr>
        <w:t xml:space="preserve">May </w:t>
      </w:r>
      <w:r w:rsidR="00970ED6">
        <w:rPr>
          <w:b/>
          <w:sz w:val="32"/>
          <w:szCs w:val="24"/>
        </w:rPr>
        <w:t>202</w:t>
      </w:r>
      <w:r w:rsidR="0005277E">
        <w:rPr>
          <w:b/>
          <w:sz w:val="32"/>
          <w:szCs w:val="24"/>
        </w:rPr>
        <w:t>1</w:t>
      </w:r>
    </w:p>
    <w:p w14:paraId="69532EB8" w14:textId="71E5D52E" w:rsidR="0087609F" w:rsidRDefault="0087609F" w:rsidP="00E31C24">
      <w:pPr>
        <w:pStyle w:val="CABBackGround"/>
        <w:pBdr>
          <w:top w:val="single" w:sz="4" w:space="1" w:color="auto"/>
        </w:pBdr>
        <w:spacing w:before="60" w:after="60" w:line="240" w:lineRule="auto"/>
        <w:rPr>
          <w:rFonts w:cs="Arial"/>
          <w:bCs/>
        </w:rPr>
      </w:pPr>
      <w:bookmarkStart w:id="1" w:name="_Toc446601433"/>
      <w:bookmarkStart w:id="2" w:name="_Toc448392762"/>
      <w:r>
        <w:rPr>
          <w:rFonts w:cs="Arial"/>
          <w:bCs/>
        </w:rPr>
        <w:br w:type="page"/>
      </w:r>
    </w:p>
    <w:p w14:paraId="1FAFFE7A" w14:textId="77777777" w:rsidR="00970ED6" w:rsidRPr="004944B5" w:rsidRDefault="00970ED6" w:rsidP="00970ED6">
      <w:pPr>
        <w:rPr>
          <w:rFonts w:cs="Arial"/>
          <w:b/>
          <w:bCs/>
        </w:rPr>
      </w:pPr>
      <w:r w:rsidRPr="11FF59B9">
        <w:rPr>
          <w:rFonts w:cs="Arial"/>
          <w:b/>
          <w:bCs/>
        </w:rPr>
        <w:lastRenderedPageBreak/>
        <w:t>Disclaimer:</w:t>
      </w:r>
    </w:p>
    <w:p w14:paraId="3DC24984" w14:textId="77777777" w:rsidR="00970ED6" w:rsidRPr="004944B5" w:rsidRDefault="00970ED6" w:rsidP="00970ED6">
      <w:pPr>
        <w:rPr>
          <w:rFonts w:cs="Arial"/>
        </w:rPr>
      </w:pPr>
      <w:r w:rsidRPr="11FF59B9">
        <w:rPr>
          <w:rFonts w:cs="Arial"/>
        </w:rPr>
        <w:t xml:space="preserve">The Australian Government as represented by the </w:t>
      </w:r>
      <w:r>
        <w:rPr>
          <w:rFonts w:cs="Arial"/>
        </w:rPr>
        <w:t>Department of Industry, Science, Energy and Resources</w:t>
      </w:r>
      <w:r w:rsidRPr="11FF59B9">
        <w:rPr>
          <w:rFonts w:cs="Arial"/>
        </w:rPr>
        <w:t xml:space="preserve"> has exercised due care and skill in the preparation and compilation of the information and data in this publication.</w:t>
      </w:r>
    </w:p>
    <w:p w14:paraId="618B1375" w14:textId="77777777" w:rsidR="00970ED6" w:rsidRPr="00EA3D68" w:rsidRDefault="00970ED6" w:rsidP="00970ED6">
      <w:pPr>
        <w:rPr>
          <w:rFonts w:cs="Arial"/>
        </w:rPr>
      </w:pPr>
      <w:r w:rsidRPr="11FF59B9">
        <w:rPr>
          <w:rFonts w:cs="Arial"/>
        </w:rPr>
        <w:t>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2F766CC9" w14:textId="77777777" w:rsidR="00970ED6" w:rsidRPr="00DC2537" w:rsidRDefault="00970ED6" w:rsidP="00970ED6">
      <w:pPr>
        <w:rPr>
          <w:color w:val="005677"/>
          <w:highlight w:val="yellow"/>
        </w:rPr>
      </w:pPr>
    </w:p>
    <w:p w14:paraId="6D382978" w14:textId="77777777" w:rsidR="00970ED6" w:rsidRPr="00DC2537" w:rsidRDefault="00970ED6" w:rsidP="00970ED6">
      <w:pPr>
        <w:rPr>
          <w:color w:val="005677"/>
          <w:highlight w:val="yellow"/>
        </w:rPr>
      </w:pPr>
    </w:p>
    <w:p w14:paraId="7B7F5500" w14:textId="5D25558A" w:rsidR="002251BD" w:rsidRPr="00A00391" w:rsidRDefault="002251BD" w:rsidP="002251BD">
      <w:pPr>
        <w:rPr>
          <w:b/>
        </w:rPr>
      </w:pPr>
      <w:r w:rsidRPr="00A00391">
        <w:rPr>
          <w:b/>
        </w:rPr>
        <w:t xml:space="preserve">© Commonwealth of Australia </w:t>
      </w:r>
      <w:r w:rsidRPr="00F01A9C">
        <w:rPr>
          <w:b/>
        </w:rPr>
        <w:t>202</w:t>
      </w:r>
      <w:r w:rsidRPr="009F7189">
        <w:rPr>
          <w:b/>
        </w:rPr>
        <w:t>1</w:t>
      </w:r>
    </w:p>
    <w:p w14:paraId="5EECE3AD" w14:textId="77777777" w:rsidR="002251BD" w:rsidRPr="00A00391" w:rsidRDefault="002251BD" w:rsidP="002251BD">
      <w:pPr>
        <w:rPr>
          <w:b/>
        </w:rPr>
      </w:pPr>
      <w:r w:rsidRPr="00A00391">
        <w:rPr>
          <w:b/>
        </w:rPr>
        <w:t>Ownership of intellectual property rights</w:t>
      </w:r>
    </w:p>
    <w:p w14:paraId="40E740D5" w14:textId="77777777" w:rsidR="002251BD" w:rsidRDefault="002251BD" w:rsidP="002251BD">
      <w:r>
        <w:t>Unless otherwise noted, copyright (and any other intellectual property rights, if any) in this publication is owned by the Commonwealth of Australia.</w:t>
      </w:r>
    </w:p>
    <w:p w14:paraId="02AF152F" w14:textId="77777777" w:rsidR="002251BD" w:rsidRPr="00A00391" w:rsidRDefault="002251BD" w:rsidP="002251BD">
      <w:pPr>
        <w:spacing w:after="0"/>
        <w:rPr>
          <w:b/>
        </w:rPr>
      </w:pPr>
      <w:r>
        <w:rPr>
          <w:b/>
          <w:noProof/>
          <w:lang w:eastAsia="en-AU"/>
        </w:rPr>
        <w:drawing>
          <wp:anchor distT="0" distB="0" distL="114300" distR="114300" simplePos="0" relativeHeight="251658240" behindDoc="0" locked="0" layoutInCell="1" allowOverlap="1" wp14:anchorId="0FD509E8" wp14:editId="398A25A3">
            <wp:simplePos x="0" y="0"/>
            <wp:positionH relativeFrom="margin">
              <wp:align>left</wp:align>
            </wp:positionH>
            <wp:positionV relativeFrom="paragraph">
              <wp:posOffset>55245</wp:posOffset>
            </wp:positionV>
            <wp:extent cx="1341120" cy="461010"/>
            <wp:effectExtent l="0" t="0" r="0" b="0"/>
            <wp:wrapSquare wrapText="bothSides"/>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B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1120" cy="461010"/>
                    </a:xfrm>
                    <a:prstGeom prst="rect">
                      <a:avLst/>
                    </a:prstGeom>
                  </pic:spPr>
                </pic:pic>
              </a:graphicData>
            </a:graphic>
            <wp14:sizeRelH relativeFrom="page">
              <wp14:pctWidth>0</wp14:pctWidth>
            </wp14:sizeRelH>
            <wp14:sizeRelV relativeFrom="page">
              <wp14:pctHeight>0</wp14:pctHeight>
            </wp14:sizeRelV>
          </wp:anchor>
        </w:drawing>
      </w:r>
      <w:r w:rsidRPr="00A00391">
        <w:rPr>
          <w:b/>
        </w:rPr>
        <w:t>Creative Commons licence</w:t>
      </w:r>
    </w:p>
    <w:p w14:paraId="11CC4B79" w14:textId="77777777" w:rsidR="002251BD" w:rsidRPr="00A00391" w:rsidRDefault="002251BD" w:rsidP="002251BD">
      <w:pPr>
        <w:spacing w:after="0"/>
        <w:rPr>
          <w:b/>
        </w:rPr>
      </w:pPr>
      <w:r w:rsidRPr="00A00391">
        <w:rPr>
          <w:b/>
        </w:rPr>
        <w:t xml:space="preserve">Attribution </w:t>
      </w:r>
    </w:p>
    <w:p w14:paraId="6578188E" w14:textId="77777777" w:rsidR="002251BD" w:rsidRPr="00A00391" w:rsidRDefault="002251BD" w:rsidP="002251BD">
      <w:pPr>
        <w:rPr>
          <w:b/>
        </w:rPr>
      </w:pPr>
      <w:r w:rsidRPr="00A00391">
        <w:rPr>
          <w:b/>
        </w:rPr>
        <w:t>CC BY</w:t>
      </w:r>
    </w:p>
    <w:p w14:paraId="4B52E7E3" w14:textId="77777777" w:rsidR="002251BD" w:rsidRDefault="002251BD" w:rsidP="002251BD">
      <w: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4696C34F" w14:textId="77777777" w:rsidR="002251BD" w:rsidRDefault="002251BD" w:rsidP="002251BD">
      <w: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4" w:history="1">
        <w:r w:rsidRPr="00372386">
          <w:rPr>
            <w:rStyle w:val="Hyperlink"/>
          </w:rPr>
          <w:t>https://creativecommons.org/licenses/by/4.0/</w:t>
        </w:r>
      </w:hyperlink>
    </w:p>
    <w:p w14:paraId="20CF915B" w14:textId="77777777" w:rsidR="002251BD" w:rsidRDefault="002251BD" w:rsidP="002251BD">
      <w:r>
        <w:t xml:space="preserve">The full licence terms are available from </w:t>
      </w:r>
      <w:hyperlink r:id="rId15" w:history="1">
        <w:r w:rsidRPr="00372386">
          <w:rPr>
            <w:rStyle w:val="Hyperlink"/>
          </w:rPr>
          <w:t>https://creativecommons.org/licenses/by/4.0/legalcode</w:t>
        </w:r>
      </w:hyperlink>
    </w:p>
    <w:p w14:paraId="7DE81A44" w14:textId="24CB52E6" w:rsidR="0005277E" w:rsidRDefault="002251BD" w:rsidP="0005277E">
      <w:pPr>
        <w:rPr>
          <w:lang w:val="en"/>
        </w:rPr>
      </w:pPr>
      <w:r>
        <w:t xml:space="preserve">Content contained herein should be attributed as </w:t>
      </w:r>
      <w:r>
        <w:rPr>
          <w:rFonts w:cs="Arial"/>
          <w:lang w:val="en"/>
        </w:rPr>
        <w:t>Department of Industry, Science, Energy and Resources</w:t>
      </w:r>
      <w:r w:rsidRPr="002803BC">
        <w:rPr>
          <w:rFonts w:cs="Arial"/>
          <w:lang w:val="en"/>
        </w:rPr>
        <w:t xml:space="preserve"> </w:t>
      </w:r>
      <w:r w:rsidRPr="00E63425">
        <w:rPr>
          <w:rFonts w:cs="Arial"/>
          <w:lang w:val="en"/>
        </w:rPr>
        <w:t xml:space="preserve">2021, </w:t>
      </w:r>
      <w:r w:rsidRPr="00E63425">
        <w:rPr>
          <w:rFonts w:cs="Arial"/>
          <w:i/>
          <w:iCs/>
          <w:lang w:val="en"/>
        </w:rPr>
        <w:t xml:space="preserve">Regulation Impact Statement: </w:t>
      </w:r>
      <w:r>
        <w:rPr>
          <w:rFonts w:cs="Arial"/>
          <w:i/>
          <w:iCs/>
          <w:lang w:val="en"/>
        </w:rPr>
        <w:t xml:space="preserve">Securing </w:t>
      </w:r>
      <w:r w:rsidRPr="00E63425">
        <w:rPr>
          <w:rFonts w:cs="Arial"/>
          <w:i/>
          <w:iCs/>
          <w:lang w:val="en"/>
        </w:rPr>
        <w:t>Australia’s Domestic Fuel Stocks and Refining Capacity</w:t>
      </w:r>
      <w:r w:rsidRPr="00E63425">
        <w:rPr>
          <w:rFonts w:cs="Arial"/>
          <w:lang w:val="en"/>
        </w:rPr>
        <w:t xml:space="preserve">, </w:t>
      </w:r>
      <w:r>
        <w:rPr>
          <w:rFonts w:cs="Arial"/>
          <w:lang w:val="en"/>
        </w:rPr>
        <w:t>May</w:t>
      </w:r>
      <w:r w:rsidRPr="00E63425">
        <w:rPr>
          <w:rFonts w:cs="Arial"/>
          <w:lang w:val="en"/>
        </w:rPr>
        <w:t xml:space="preserve"> 2021,</w:t>
      </w:r>
      <w:r w:rsidRPr="002803BC">
        <w:rPr>
          <w:rFonts w:cs="Arial"/>
          <w:lang w:val="en"/>
        </w:rPr>
        <w:t xml:space="preserve"> </w:t>
      </w:r>
      <w:r>
        <w:rPr>
          <w:rFonts w:cs="Arial"/>
          <w:lang w:val="en"/>
        </w:rPr>
        <w:t>DISER.</w:t>
      </w:r>
      <w:bookmarkStart w:id="3" w:name="_Toc65253408"/>
      <w:bookmarkEnd w:id="3"/>
    </w:p>
    <w:p w14:paraId="60423DC4" w14:textId="172A6B7A" w:rsidR="00C95241" w:rsidRDefault="00C95241" w:rsidP="0005277E">
      <w:pPr>
        <w:rPr>
          <w:rFonts w:eastAsiaTheme="minorEastAsia" w:cs="Arial"/>
          <w:bCs/>
          <w:color w:val="000000"/>
          <w:kern w:val="24"/>
          <w:sz w:val="32"/>
          <w:lang w:eastAsia="en-AU"/>
        </w:rPr>
      </w:pPr>
      <w:r>
        <w:rPr>
          <w:rFonts w:eastAsiaTheme="minorEastAsia" w:cs="Arial"/>
          <w:bCs/>
          <w:color w:val="000000"/>
          <w:kern w:val="24"/>
          <w:sz w:val="32"/>
          <w:lang w:eastAsia="en-AU"/>
        </w:rPr>
        <w:br w:type="page"/>
      </w:r>
    </w:p>
    <w:sdt>
      <w:sdtPr>
        <w:rPr>
          <w:rFonts w:ascii="Arial" w:eastAsiaTheme="minorHAnsi" w:hAnsi="Arial" w:cstheme="minorBidi"/>
          <w:b w:val="0"/>
          <w:bCs w:val="0"/>
          <w:color w:val="auto"/>
          <w:sz w:val="22"/>
          <w:szCs w:val="22"/>
          <w:lang w:val="en-AU" w:eastAsia="en-US"/>
        </w:rPr>
        <w:id w:val="-980454853"/>
        <w:docPartObj>
          <w:docPartGallery w:val="Table of Contents"/>
          <w:docPartUnique/>
        </w:docPartObj>
      </w:sdtPr>
      <w:sdtEndPr>
        <w:rPr>
          <w:noProof/>
        </w:rPr>
      </w:sdtEndPr>
      <w:sdtContent>
        <w:p w14:paraId="7B0BB845" w14:textId="499E8E5C" w:rsidR="0005277E" w:rsidRPr="00D71104" w:rsidRDefault="0005277E" w:rsidP="0004290C">
          <w:pPr>
            <w:pStyle w:val="TOCHeading"/>
            <w:rPr>
              <w:rStyle w:val="BulletChar"/>
              <w:color w:val="005677"/>
            </w:rPr>
          </w:pPr>
          <w:r w:rsidRPr="00D71104">
            <w:rPr>
              <w:rStyle w:val="BulletChar"/>
              <w:color w:val="005677"/>
            </w:rPr>
            <w:t>Contents</w:t>
          </w:r>
        </w:p>
        <w:p w14:paraId="0A3872C9" w14:textId="4A7C7E50" w:rsidR="009B005D" w:rsidRDefault="0005277E">
          <w:pPr>
            <w:pStyle w:val="TOC1"/>
            <w:rPr>
              <w:rFonts w:asciiTheme="minorHAnsi" w:eastAsiaTheme="minorEastAsia" w:hAnsiTheme="minorHAnsi"/>
              <w:lang w:eastAsia="en-AU"/>
            </w:rPr>
          </w:pPr>
          <w:r>
            <w:rPr>
              <w:b/>
              <w:bCs/>
            </w:rPr>
            <w:fldChar w:fldCharType="begin"/>
          </w:r>
          <w:r>
            <w:rPr>
              <w:b/>
              <w:bCs/>
            </w:rPr>
            <w:instrText xml:space="preserve"> TOC \o "1-3" \h \z \u </w:instrText>
          </w:r>
          <w:r>
            <w:rPr>
              <w:b/>
              <w:bCs/>
            </w:rPr>
            <w:fldChar w:fldCharType="separate"/>
          </w:r>
          <w:hyperlink w:anchor="_Toc72395658" w:history="1">
            <w:r w:rsidR="009B005D" w:rsidRPr="00CF71F2">
              <w:rPr>
                <w:rStyle w:val="Hyperlink"/>
              </w:rPr>
              <w:t>Executive Summary</w:t>
            </w:r>
            <w:r w:rsidR="009B005D">
              <w:rPr>
                <w:webHidden/>
              </w:rPr>
              <w:tab/>
            </w:r>
            <w:r w:rsidR="009B005D">
              <w:rPr>
                <w:webHidden/>
              </w:rPr>
              <w:fldChar w:fldCharType="begin"/>
            </w:r>
            <w:r w:rsidR="009B005D">
              <w:rPr>
                <w:webHidden/>
              </w:rPr>
              <w:instrText xml:space="preserve"> PAGEREF _Toc72395658 \h </w:instrText>
            </w:r>
            <w:r w:rsidR="009B005D">
              <w:rPr>
                <w:webHidden/>
              </w:rPr>
            </w:r>
            <w:r w:rsidR="009B005D">
              <w:rPr>
                <w:webHidden/>
              </w:rPr>
              <w:fldChar w:fldCharType="separate"/>
            </w:r>
            <w:r w:rsidR="006A6B29">
              <w:rPr>
                <w:webHidden/>
              </w:rPr>
              <w:t>4</w:t>
            </w:r>
            <w:r w:rsidR="009B005D">
              <w:rPr>
                <w:webHidden/>
              </w:rPr>
              <w:fldChar w:fldCharType="end"/>
            </w:r>
          </w:hyperlink>
        </w:p>
        <w:p w14:paraId="32984171" w14:textId="25068E98" w:rsidR="009B005D" w:rsidRDefault="006A6B29">
          <w:pPr>
            <w:pStyle w:val="TOC1"/>
            <w:rPr>
              <w:rFonts w:asciiTheme="minorHAnsi" w:eastAsiaTheme="minorEastAsia" w:hAnsiTheme="minorHAnsi"/>
              <w:lang w:eastAsia="en-AU"/>
            </w:rPr>
          </w:pPr>
          <w:hyperlink w:anchor="_Toc72395659" w:history="1">
            <w:r w:rsidR="009B005D" w:rsidRPr="00CF71F2">
              <w:rPr>
                <w:rStyle w:val="Hyperlink"/>
              </w:rPr>
              <w:t>1.</w:t>
            </w:r>
            <w:r w:rsidR="009B005D">
              <w:rPr>
                <w:rFonts w:asciiTheme="minorHAnsi" w:eastAsiaTheme="minorEastAsia" w:hAnsiTheme="minorHAnsi"/>
                <w:lang w:eastAsia="en-AU"/>
              </w:rPr>
              <w:tab/>
            </w:r>
            <w:r w:rsidR="009B005D" w:rsidRPr="00CF71F2">
              <w:rPr>
                <w:rStyle w:val="Hyperlink"/>
              </w:rPr>
              <w:t>What is the problem that Government is trying to solve?</w:t>
            </w:r>
            <w:r w:rsidR="009B005D">
              <w:rPr>
                <w:webHidden/>
              </w:rPr>
              <w:tab/>
            </w:r>
            <w:r w:rsidR="009B005D">
              <w:rPr>
                <w:webHidden/>
              </w:rPr>
              <w:fldChar w:fldCharType="begin"/>
            </w:r>
            <w:r w:rsidR="009B005D">
              <w:rPr>
                <w:webHidden/>
              </w:rPr>
              <w:instrText xml:space="preserve"> PAGEREF _Toc72395659 \h </w:instrText>
            </w:r>
            <w:r w:rsidR="009B005D">
              <w:rPr>
                <w:webHidden/>
              </w:rPr>
            </w:r>
            <w:r w:rsidR="009B005D">
              <w:rPr>
                <w:webHidden/>
              </w:rPr>
              <w:fldChar w:fldCharType="separate"/>
            </w:r>
            <w:r>
              <w:rPr>
                <w:webHidden/>
              </w:rPr>
              <w:t>5</w:t>
            </w:r>
            <w:r w:rsidR="009B005D">
              <w:rPr>
                <w:webHidden/>
              </w:rPr>
              <w:fldChar w:fldCharType="end"/>
            </w:r>
          </w:hyperlink>
        </w:p>
        <w:p w14:paraId="16135D47" w14:textId="0799144B" w:rsidR="009B005D" w:rsidRDefault="006A6B29">
          <w:pPr>
            <w:pStyle w:val="TOC2"/>
            <w:rPr>
              <w:rFonts w:asciiTheme="minorHAnsi" w:eastAsiaTheme="minorEastAsia" w:hAnsiTheme="minorHAnsi"/>
              <w:noProof/>
              <w:lang w:eastAsia="en-AU"/>
            </w:rPr>
          </w:pPr>
          <w:hyperlink w:anchor="_Toc72395660" w:history="1">
            <w:r w:rsidR="009B005D" w:rsidRPr="00CF71F2">
              <w:rPr>
                <w:rStyle w:val="Hyperlink"/>
                <w:noProof/>
              </w:rPr>
              <w:t>1.1</w:t>
            </w:r>
            <w:r w:rsidR="009B005D">
              <w:rPr>
                <w:rFonts w:asciiTheme="minorHAnsi" w:eastAsiaTheme="minorEastAsia" w:hAnsiTheme="minorHAnsi"/>
                <w:noProof/>
                <w:lang w:eastAsia="en-AU"/>
              </w:rPr>
              <w:tab/>
            </w:r>
            <w:r w:rsidR="009B005D" w:rsidRPr="00CF71F2">
              <w:rPr>
                <w:rStyle w:val="Hyperlink"/>
                <w:noProof/>
              </w:rPr>
              <w:t>The continuing importance of liquid fuels</w:t>
            </w:r>
            <w:r w:rsidR="009B005D">
              <w:rPr>
                <w:noProof/>
                <w:webHidden/>
              </w:rPr>
              <w:tab/>
            </w:r>
            <w:r w:rsidR="009B005D">
              <w:rPr>
                <w:noProof/>
                <w:webHidden/>
              </w:rPr>
              <w:fldChar w:fldCharType="begin"/>
            </w:r>
            <w:r w:rsidR="009B005D">
              <w:rPr>
                <w:noProof/>
                <w:webHidden/>
              </w:rPr>
              <w:instrText xml:space="preserve"> PAGEREF _Toc72395660 \h </w:instrText>
            </w:r>
            <w:r w:rsidR="009B005D">
              <w:rPr>
                <w:noProof/>
                <w:webHidden/>
              </w:rPr>
            </w:r>
            <w:r w:rsidR="009B005D">
              <w:rPr>
                <w:noProof/>
                <w:webHidden/>
              </w:rPr>
              <w:fldChar w:fldCharType="separate"/>
            </w:r>
            <w:r>
              <w:rPr>
                <w:noProof/>
                <w:webHidden/>
              </w:rPr>
              <w:t>7</w:t>
            </w:r>
            <w:r w:rsidR="009B005D">
              <w:rPr>
                <w:noProof/>
                <w:webHidden/>
              </w:rPr>
              <w:fldChar w:fldCharType="end"/>
            </w:r>
          </w:hyperlink>
        </w:p>
        <w:p w14:paraId="7FEE1C5E" w14:textId="16AC4822" w:rsidR="009B005D" w:rsidRDefault="006A6B29">
          <w:pPr>
            <w:pStyle w:val="TOC2"/>
            <w:rPr>
              <w:rFonts w:asciiTheme="minorHAnsi" w:eastAsiaTheme="minorEastAsia" w:hAnsiTheme="minorHAnsi"/>
              <w:noProof/>
              <w:lang w:eastAsia="en-AU"/>
            </w:rPr>
          </w:pPr>
          <w:hyperlink w:anchor="_Toc72395661" w:history="1">
            <w:r w:rsidR="009B005D" w:rsidRPr="00CF71F2">
              <w:rPr>
                <w:rStyle w:val="Hyperlink"/>
                <w:noProof/>
              </w:rPr>
              <w:t>1.2</w:t>
            </w:r>
            <w:r w:rsidR="009B005D">
              <w:rPr>
                <w:rFonts w:asciiTheme="minorHAnsi" w:eastAsiaTheme="minorEastAsia" w:hAnsiTheme="minorHAnsi"/>
                <w:noProof/>
                <w:lang w:eastAsia="en-AU"/>
              </w:rPr>
              <w:tab/>
            </w:r>
            <w:r w:rsidR="009B005D" w:rsidRPr="00CF71F2">
              <w:rPr>
                <w:rStyle w:val="Hyperlink"/>
                <w:noProof/>
              </w:rPr>
              <w:t>Refinery capability</w:t>
            </w:r>
            <w:r w:rsidR="009B005D">
              <w:rPr>
                <w:noProof/>
                <w:webHidden/>
              </w:rPr>
              <w:tab/>
            </w:r>
            <w:r w:rsidR="009B005D">
              <w:rPr>
                <w:noProof/>
                <w:webHidden/>
              </w:rPr>
              <w:fldChar w:fldCharType="begin"/>
            </w:r>
            <w:r w:rsidR="009B005D">
              <w:rPr>
                <w:noProof/>
                <w:webHidden/>
              </w:rPr>
              <w:instrText xml:space="preserve"> PAGEREF _Toc72395661 \h </w:instrText>
            </w:r>
            <w:r w:rsidR="009B005D">
              <w:rPr>
                <w:noProof/>
                <w:webHidden/>
              </w:rPr>
            </w:r>
            <w:r w:rsidR="009B005D">
              <w:rPr>
                <w:noProof/>
                <w:webHidden/>
              </w:rPr>
              <w:fldChar w:fldCharType="separate"/>
            </w:r>
            <w:r>
              <w:rPr>
                <w:noProof/>
                <w:webHidden/>
              </w:rPr>
              <w:t>8</w:t>
            </w:r>
            <w:r w:rsidR="009B005D">
              <w:rPr>
                <w:noProof/>
                <w:webHidden/>
              </w:rPr>
              <w:fldChar w:fldCharType="end"/>
            </w:r>
          </w:hyperlink>
        </w:p>
        <w:p w14:paraId="6CC34F76" w14:textId="6A57ED62" w:rsidR="009B005D" w:rsidRDefault="006A6B29">
          <w:pPr>
            <w:pStyle w:val="TOC2"/>
            <w:rPr>
              <w:rFonts w:asciiTheme="minorHAnsi" w:eastAsiaTheme="minorEastAsia" w:hAnsiTheme="minorHAnsi"/>
              <w:noProof/>
              <w:lang w:eastAsia="en-AU"/>
            </w:rPr>
          </w:pPr>
          <w:hyperlink w:anchor="_Toc72395662" w:history="1">
            <w:r w:rsidR="009B005D" w:rsidRPr="00CF71F2">
              <w:rPr>
                <w:rStyle w:val="Hyperlink"/>
                <w:noProof/>
              </w:rPr>
              <w:t>1.3</w:t>
            </w:r>
            <w:r w:rsidR="009B005D">
              <w:rPr>
                <w:rFonts w:asciiTheme="minorHAnsi" w:eastAsiaTheme="minorEastAsia" w:hAnsiTheme="minorHAnsi"/>
                <w:noProof/>
                <w:lang w:eastAsia="en-AU"/>
              </w:rPr>
              <w:tab/>
            </w:r>
            <w:r w:rsidR="009B005D" w:rsidRPr="00CF71F2">
              <w:rPr>
                <w:rStyle w:val="Hyperlink"/>
                <w:noProof/>
              </w:rPr>
              <w:t>Domestic stockholdings</w:t>
            </w:r>
            <w:r w:rsidR="009B005D">
              <w:rPr>
                <w:noProof/>
                <w:webHidden/>
              </w:rPr>
              <w:tab/>
            </w:r>
            <w:r w:rsidR="009B005D">
              <w:rPr>
                <w:noProof/>
                <w:webHidden/>
              </w:rPr>
              <w:fldChar w:fldCharType="begin"/>
            </w:r>
            <w:r w:rsidR="009B005D">
              <w:rPr>
                <w:noProof/>
                <w:webHidden/>
              </w:rPr>
              <w:instrText xml:space="preserve"> PAGEREF _Toc72395662 \h </w:instrText>
            </w:r>
            <w:r w:rsidR="009B005D">
              <w:rPr>
                <w:noProof/>
                <w:webHidden/>
              </w:rPr>
            </w:r>
            <w:r w:rsidR="009B005D">
              <w:rPr>
                <w:noProof/>
                <w:webHidden/>
              </w:rPr>
              <w:fldChar w:fldCharType="separate"/>
            </w:r>
            <w:r>
              <w:rPr>
                <w:noProof/>
                <w:webHidden/>
              </w:rPr>
              <w:t>10</w:t>
            </w:r>
            <w:r w:rsidR="009B005D">
              <w:rPr>
                <w:noProof/>
                <w:webHidden/>
              </w:rPr>
              <w:fldChar w:fldCharType="end"/>
            </w:r>
          </w:hyperlink>
        </w:p>
        <w:p w14:paraId="1BCC51E3" w14:textId="4A3AA8CF" w:rsidR="009B005D" w:rsidRDefault="006A6B29">
          <w:pPr>
            <w:pStyle w:val="TOC2"/>
            <w:rPr>
              <w:rFonts w:asciiTheme="minorHAnsi" w:eastAsiaTheme="minorEastAsia" w:hAnsiTheme="minorHAnsi"/>
              <w:noProof/>
              <w:lang w:eastAsia="en-AU"/>
            </w:rPr>
          </w:pPr>
          <w:hyperlink w:anchor="_Toc72395663" w:history="1">
            <w:r w:rsidR="009B005D" w:rsidRPr="00CF71F2">
              <w:rPr>
                <w:rStyle w:val="Hyperlink"/>
                <w:noProof/>
              </w:rPr>
              <w:t>1.4</w:t>
            </w:r>
            <w:r w:rsidR="009B005D">
              <w:rPr>
                <w:rFonts w:asciiTheme="minorHAnsi" w:eastAsiaTheme="minorEastAsia" w:hAnsiTheme="minorHAnsi"/>
                <w:noProof/>
                <w:lang w:eastAsia="en-AU"/>
              </w:rPr>
              <w:tab/>
            </w:r>
            <w:r w:rsidR="009B005D" w:rsidRPr="00CF71F2">
              <w:rPr>
                <w:rStyle w:val="Hyperlink"/>
                <w:noProof/>
              </w:rPr>
              <w:t>Historical disruption events</w:t>
            </w:r>
            <w:r w:rsidR="009B005D">
              <w:rPr>
                <w:noProof/>
                <w:webHidden/>
              </w:rPr>
              <w:tab/>
            </w:r>
            <w:r w:rsidR="009B005D">
              <w:rPr>
                <w:noProof/>
                <w:webHidden/>
              </w:rPr>
              <w:fldChar w:fldCharType="begin"/>
            </w:r>
            <w:r w:rsidR="009B005D">
              <w:rPr>
                <w:noProof/>
                <w:webHidden/>
              </w:rPr>
              <w:instrText xml:space="preserve"> PAGEREF _Toc72395663 \h </w:instrText>
            </w:r>
            <w:r w:rsidR="009B005D">
              <w:rPr>
                <w:noProof/>
                <w:webHidden/>
              </w:rPr>
            </w:r>
            <w:r w:rsidR="009B005D">
              <w:rPr>
                <w:noProof/>
                <w:webHidden/>
              </w:rPr>
              <w:fldChar w:fldCharType="separate"/>
            </w:r>
            <w:r>
              <w:rPr>
                <w:noProof/>
                <w:webHidden/>
              </w:rPr>
              <w:t>11</w:t>
            </w:r>
            <w:r w:rsidR="009B005D">
              <w:rPr>
                <w:noProof/>
                <w:webHidden/>
              </w:rPr>
              <w:fldChar w:fldCharType="end"/>
            </w:r>
          </w:hyperlink>
        </w:p>
        <w:p w14:paraId="086E3A39" w14:textId="476AEFBB" w:rsidR="009B005D" w:rsidRDefault="006A6B29">
          <w:pPr>
            <w:pStyle w:val="TOC2"/>
            <w:rPr>
              <w:rFonts w:asciiTheme="minorHAnsi" w:eastAsiaTheme="minorEastAsia" w:hAnsiTheme="minorHAnsi"/>
              <w:noProof/>
              <w:lang w:eastAsia="en-AU"/>
            </w:rPr>
          </w:pPr>
          <w:hyperlink w:anchor="_Toc72395664" w:history="1">
            <w:r w:rsidR="009B005D" w:rsidRPr="00CF71F2">
              <w:rPr>
                <w:rStyle w:val="Hyperlink"/>
                <w:noProof/>
              </w:rPr>
              <w:t>1.5</w:t>
            </w:r>
            <w:r w:rsidR="009B005D">
              <w:rPr>
                <w:rFonts w:asciiTheme="minorHAnsi" w:eastAsiaTheme="minorEastAsia" w:hAnsiTheme="minorHAnsi"/>
                <w:noProof/>
                <w:lang w:eastAsia="en-AU"/>
              </w:rPr>
              <w:tab/>
            </w:r>
            <w:r w:rsidR="009B005D" w:rsidRPr="00CF71F2">
              <w:rPr>
                <w:rStyle w:val="Hyperlink"/>
                <w:noProof/>
              </w:rPr>
              <w:t>Expanding stockholdings</w:t>
            </w:r>
            <w:r w:rsidR="009B005D">
              <w:rPr>
                <w:noProof/>
                <w:webHidden/>
              </w:rPr>
              <w:tab/>
            </w:r>
            <w:r w:rsidR="009B005D">
              <w:rPr>
                <w:noProof/>
                <w:webHidden/>
              </w:rPr>
              <w:fldChar w:fldCharType="begin"/>
            </w:r>
            <w:r w:rsidR="009B005D">
              <w:rPr>
                <w:noProof/>
                <w:webHidden/>
              </w:rPr>
              <w:instrText xml:space="preserve"> PAGEREF _Toc72395664 \h </w:instrText>
            </w:r>
            <w:r w:rsidR="009B005D">
              <w:rPr>
                <w:noProof/>
                <w:webHidden/>
              </w:rPr>
            </w:r>
            <w:r w:rsidR="009B005D">
              <w:rPr>
                <w:noProof/>
                <w:webHidden/>
              </w:rPr>
              <w:fldChar w:fldCharType="separate"/>
            </w:r>
            <w:r>
              <w:rPr>
                <w:noProof/>
                <w:webHidden/>
              </w:rPr>
              <w:t>12</w:t>
            </w:r>
            <w:r w:rsidR="009B005D">
              <w:rPr>
                <w:noProof/>
                <w:webHidden/>
              </w:rPr>
              <w:fldChar w:fldCharType="end"/>
            </w:r>
          </w:hyperlink>
        </w:p>
        <w:p w14:paraId="07BC5E7F" w14:textId="6C7BAD4D" w:rsidR="009B005D" w:rsidRDefault="006A6B29">
          <w:pPr>
            <w:pStyle w:val="TOC1"/>
            <w:rPr>
              <w:rFonts w:asciiTheme="minorHAnsi" w:eastAsiaTheme="minorEastAsia" w:hAnsiTheme="minorHAnsi"/>
              <w:lang w:eastAsia="en-AU"/>
            </w:rPr>
          </w:pPr>
          <w:hyperlink w:anchor="_Toc72395665" w:history="1">
            <w:r w:rsidR="009B005D" w:rsidRPr="00CF71F2">
              <w:rPr>
                <w:rStyle w:val="Hyperlink"/>
              </w:rPr>
              <w:t>2</w:t>
            </w:r>
            <w:r w:rsidR="009B005D">
              <w:rPr>
                <w:rFonts w:asciiTheme="minorHAnsi" w:eastAsiaTheme="minorEastAsia" w:hAnsiTheme="minorHAnsi"/>
                <w:lang w:eastAsia="en-AU"/>
              </w:rPr>
              <w:tab/>
            </w:r>
            <w:r w:rsidR="009B005D" w:rsidRPr="00CF71F2">
              <w:rPr>
                <w:rStyle w:val="Hyperlink"/>
              </w:rPr>
              <w:t>Why is Government action needed?</w:t>
            </w:r>
            <w:r w:rsidR="009B005D">
              <w:rPr>
                <w:webHidden/>
              </w:rPr>
              <w:tab/>
            </w:r>
            <w:r w:rsidR="009B005D">
              <w:rPr>
                <w:webHidden/>
              </w:rPr>
              <w:fldChar w:fldCharType="begin"/>
            </w:r>
            <w:r w:rsidR="009B005D">
              <w:rPr>
                <w:webHidden/>
              </w:rPr>
              <w:instrText xml:space="preserve"> PAGEREF _Toc72395665 \h </w:instrText>
            </w:r>
            <w:r w:rsidR="009B005D">
              <w:rPr>
                <w:webHidden/>
              </w:rPr>
            </w:r>
            <w:r w:rsidR="009B005D">
              <w:rPr>
                <w:webHidden/>
              </w:rPr>
              <w:fldChar w:fldCharType="separate"/>
            </w:r>
            <w:r>
              <w:rPr>
                <w:webHidden/>
              </w:rPr>
              <w:t>14</w:t>
            </w:r>
            <w:r w:rsidR="009B005D">
              <w:rPr>
                <w:webHidden/>
              </w:rPr>
              <w:fldChar w:fldCharType="end"/>
            </w:r>
          </w:hyperlink>
        </w:p>
        <w:p w14:paraId="6081F40B" w14:textId="5FB4510A" w:rsidR="009B005D" w:rsidRDefault="006A6B29">
          <w:pPr>
            <w:pStyle w:val="TOC2"/>
            <w:rPr>
              <w:rFonts w:asciiTheme="minorHAnsi" w:eastAsiaTheme="minorEastAsia" w:hAnsiTheme="minorHAnsi"/>
              <w:noProof/>
              <w:lang w:eastAsia="en-AU"/>
            </w:rPr>
          </w:pPr>
          <w:hyperlink w:anchor="_Toc72395666" w:history="1">
            <w:r w:rsidR="009B005D" w:rsidRPr="00CF71F2">
              <w:rPr>
                <w:rStyle w:val="Hyperlink"/>
                <w:noProof/>
              </w:rPr>
              <w:t>2.1</w:t>
            </w:r>
            <w:r w:rsidR="009B005D">
              <w:rPr>
                <w:rFonts w:asciiTheme="minorHAnsi" w:eastAsiaTheme="minorEastAsia" w:hAnsiTheme="minorHAnsi"/>
                <w:noProof/>
                <w:lang w:eastAsia="en-AU"/>
              </w:rPr>
              <w:tab/>
            </w:r>
            <w:r w:rsidR="009B005D" w:rsidRPr="00CF71F2">
              <w:rPr>
                <w:rStyle w:val="Hyperlink"/>
                <w:noProof/>
              </w:rPr>
              <w:t>Securing domestic refining capacity</w:t>
            </w:r>
            <w:r w:rsidR="009B005D">
              <w:rPr>
                <w:noProof/>
                <w:webHidden/>
              </w:rPr>
              <w:tab/>
            </w:r>
            <w:r w:rsidR="009B005D">
              <w:rPr>
                <w:noProof/>
                <w:webHidden/>
              </w:rPr>
              <w:fldChar w:fldCharType="begin"/>
            </w:r>
            <w:r w:rsidR="009B005D">
              <w:rPr>
                <w:noProof/>
                <w:webHidden/>
              </w:rPr>
              <w:instrText xml:space="preserve"> PAGEREF _Toc72395666 \h </w:instrText>
            </w:r>
            <w:r w:rsidR="009B005D">
              <w:rPr>
                <w:noProof/>
                <w:webHidden/>
              </w:rPr>
            </w:r>
            <w:r w:rsidR="009B005D">
              <w:rPr>
                <w:noProof/>
                <w:webHidden/>
              </w:rPr>
              <w:fldChar w:fldCharType="separate"/>
            </w:r>
            <w:r>
              <w:rPr>
                <w:noProof/>
                <w:webHidden/>
              </w:rPr>
              <w:t>14</w:t>
            </w:r>
            <w:r w:rsidR="009B005D">
              <w:rPr>
                <w:noProof/>
                <w:webHidden/>
              </w:rPr>
              <w:fldChar w:fldCharType="end"/>
            </w:r>
          </w:hyperlink>
        </w:p>
        <w:p w14:paraId="747C35E4" w14:textId="2395E665" w:rsidR="009B005D" w:rsidRDefault="006A6B29">
          <w:pPr>
            <w:pStyle w:val="TOC2"/>
            <w:rPr>
              <w:rFonts w:asciiTheme="minorHAnsi" w:eastAsiaTheme="minorEastAsia" w:hAnsiTheme="minorHAnsi"/>
              <w:noProof/>
              <w:lang w:eastAsia="en-AU"/>
            </w:rPr>
          </w:pPr>
          <w:hyperlink w:anchor="_Toc72395667" w:history="1">
            <w:r w:rsidR="009B005D" w:rsidRPr="00CF71F2">
              <w:rPr>
                <w:rStyle w:val="Hyperlink"/>
                <w:noProof/>
              </w:rPr>
              <w:t>2.2</w:t>
            </w:r>
            <w:r w:rsidR="009B005D">
              <w:rPr>
                <w:rFonts w:asciiTheme="minorHAnsi" w:eastAsiaTheme="minorEastAsia" w:hAnsiTheme="minorHAnsi"/>
                <w:noProof/>
                <w:lang w:eastAsia="en-AU"/>
              </w:rPr>
              <w:tab/>
            </w:r>
            <w:r w:rsidR="009B005D" w:rsidRPr="00CF71F2">
              <w:rPr>
                <w:rStyle w:val="Hyperlink"/>
                <w:noProof/>
              </w:rPr>
              <w:t>The need to increase fuel stocks</w:t>
            </w:r>
            <w:r w:rsidR="009B005D">
              <w:rPr>
                <w:noProof/>
                <w:webHidden/>
              </w:rPr>
              <w:tab/>
            </w:r>
            <w:r w:rsidR="009B005D">
              <w:rPr>
                <w:noProof/>
                <w:webHidden/>
              </w:rPr>
              <w:fldChar w:fldCharType="begin"/>
            </w:r>
            <w:r w:rsidR="009B005D">
              <w:rPr>
                <w:noProof/>
                <w:webHidden/>
              </w:rPr>
              <w:instrText xml:space="preserve"> PAGEREF _Toc72395667 \h </w:instrText>
            </w:r>
            <w:r w:rsidR="009B005D">
              <w:rPr>
                <w:noProof/>
                <w:webHidden/>
              </w:rPr>
            </w:r>
            <w:r w:rsidR="009B005D">
              <w:rPr>
                <w:noProof/>
                <w:webHidden/>
              </w:rPr>
              <w:fldChar w:fldCharType="separate"/>
            </w:r>
            <w:r>
              <w:rPr>
                <w:noProof/>
                <w:webHidden/>
              </w:rPr>
              <w:t>14</w:t>
            </w:r>
            <w:r w:rsidR="009B005D">
              <w:rPr>
                <w:noProof/>
                <w:webHidden/>
              </w:rPr>
              <w:fldChar w:fldCharType="end"/>
            </w:r>
          </w:hyperlink>
        </w:p>
        <w:p w14:paraId="5C2C5B3F" w14:textId="48B46A89" w:rsidR="009B005D" w:rsidRDefault="006A6B29">
          <w:pPr>
            <w:pStyle w:val="TOC1"/>
            <w:rPr>
              <w:rFonts w:asciiTheme="minorHAnsi" w:eastAsiaTheme="minorEastAsia" w:hAnsiTheme="minorHAnsi"/>
              <w:lang w:eastAsia="en-AU"/>
            </w:rPr>
          </w:pPr>
          <w:hyperlink w:anchor="_Toc72395668" w:history="1">
            <w:r w:rsidR="009B005D" w:rsidRPr="00CF71F2">
              <w:rPr>
                <w:rStyle w:val="Hyperlink"/>
              </w:rPr>
              <w:t>3</w:t>
            </w:r>
            <w:r w:rsidR="009B005D">
              <w:rPr>
                <w:rFonts w:asciiTheme="minorHAnsi" w:eastAsiaTheme="minorEastAsia" w:hAnsiTheme="minorHAnsi"/>
                <w:lang w:eastAsia="en-AU"/>
              </w:rPr>
              <w:tab/>
            </w:r>
            <w:r w:rsidR="009B005D" w:rsidRPr="00CF71F2">
              <w:rPr>
                <w:rStyle w:val="Hyperlink"/>
              </w:rPr>
              <w:t>What policy options are under consideration?</w:t>
            </w:r>
            <w:r w:rsidR="009B005D">
              <w:rPr>
                <w:webHidden/>
              </w:rPr>
              <w:tab/>
            </w:r>
            <w:r w:rsidR="009B005D">
              <w:rPr>
                <w:webHidden/>
              </w:rPr>
              <w:fldChar w:fldCharType="begin"/>
            </w:r>
            <w:r w:rsidR="009B005D">
              <w:rPr>
                <w:webHidden/>
              </w:rPr>
              <w:instrText xml:space="preserve"> PAGEREF _Toc72395668 \h </w:instrText>
            </w:r>
            <w:r w:rsidR="009B005D">
              <w:rPr>
                <w:webHidden/>
              </w:rPr>
            </w:r>
            <w:r w:rsidR="009B005D">
              <w:rPr>
                <w:webHidden/>
              </w:rPr>
              <w:fldChar w:fldCharType="separate"/>
            </w:r>
            <w:r>
              <w:rPr>
                <w:webHidden/>
              </w:rPr>
              <w:t>16</w:t>
            </w:r>
            <w:r w:rsidR="009B005D">
              <w:rPr>
                <w:webHidden/>
              </w:rPr>
              <w:fldChar w:fldCharType="end"/>
            </w:r>
          </w:hyperlink>
        </w:p>
        <w:p w14:paraId="2CB55DA0" w14:textId="4C67EC4D" w:rsidR="009B005D" w:rsidRDefault="006A6B29">
          <w:pPr>
            <w:pStyle w:val="TOC2"/>
            <w:rPr>
              <w:rFonts w:asciiTheme="minorHAnsi" w:eastAsiaTheme="minorEastAsia" w:hAnsiTheme="minorHAnsi"/>
              <w:noProof/>
              <w:lang w:eastAsia="en-AU"/>
            </w:rPr>
          </w:pPr>
          <w:hyperlink w:anchor="_Toc72395669" w:history="1">
            <w:r w:rsidR="009B005D" w:rsidRPr="00CF71F2">
              <w:rPr>
                <w:rStyle w:val="Hyperlink"/>
                <w:noProof/>
              </w:rPr>
              <w:t>3.1</w:t>
            </w:r>
            <w:r w:rsidR="009B005D">
              <w:rPr>
                <w:rFonts w:asciiTheme="minorHAnsi" w:eastAsiaTheme="minorEastAsia" w:hAnsiTheme="minorHAnsi"/>
                <w:noProof/>
                <w:lang w:eastAsia="en-AU"/>
              </w:rPr>
              <w:tab/>
            </w:r>
            <w:r w:rsidR="009B005D" w:rsidRPr="00CF71F2">
              <w:rPr>
                <w:rStyle w:val="Hyperlink"/>
                <w:noProof/>
              </w:rPr>
              <w:t>Maintain the status quo</w:t>
            </w:r>
            <w:r w:rsidR="009B005D">
              <w:rPr>
                <w:noProof/>
                <w:webHidden/>
              </w:rPr>
              <w:tab/>
            </w:r>
            <w:r w:rsidR="009B005D">
              <w:rPr>
                <w:noProof/>
                <w:webHidden/>
              </w:rPr>
              <w:fldChar w:fldCharType="begin"/>
            </w:r>
            <w:r w:rsidR="009B005D">
              <w:rPr>
                <w:noProof/>
                <w:webHidden/>
              </w:rPr>
              <w:instrText xml:space="preserve"> PAGEREF _Toc72395669 \h </w:instrText>
            </w:r>
            <w:r w:rsidR="009B005D">
              <w:rPr>
                <w:noProof/>
                <w:webHidden/>
              </w:rPr>
            </w:r>
            <w:r w:rsidR="009B005D">
              <w:rPr>
                <w:noProof/>
                <w:webHidden/>
              </w:rPr>
              <w:fldChar w:fldCharType="separate"/>
            </w:r>
            <w:r>
              <w:rPr>
                <w:noProof/>
                <w:webHidden/>
              </w:rPr>
              <w:t>16</w:t>
            </w:r>
            <w:r w:rsidR="009B005D">
              <w:rPr>
                <w:noProof/>
                <w:webHidden/>
              </w:rPr>
              <w:fldChar w:fldCharType="end"/>
            </w:r>
          </w:hyperlink>
        </w:p>
        <w:p w14:paraId="44D57F84" w14:textId="49E11A57" w:rsidR="009B005D" w:rsidRDefault="006A6B29">
          <w:pPr>
            <w:pStyle w:val="TOC2"/>
            <w:rPr>
              <w:rFonts w:asciiTheme="minorHAnsi" w:eastAsiaTheme="minorEastAsia" w:hAnsiTheme="minorHAnsi"/>
              <w:noProof/>
              <w:lang w:eastAsia="en-AU"/>
            </w:rPr>
          </w:pPr>
          <w:hyperlink w:anchor="_Toc72395670" w:history="1">
            <w:r w:rsidR="009B005D" w:rsidRPr="00CF71F2">
              <w:rPr>
                <w:rStyle w:val="Hyperlink"/>
                <w:noProof/>
              </w:rPr>
              <w:t>3.2</w:t>
            </w:r>
            <w:r w:rsidR="009B005D">
              <w:rPr>
                <w:rFonts w:asciiTheme="minorHAnsi" w:eastAsiaTheme="minorEastAsia" w:hAnsiTheme="minorHAnsi"/>
                <w:noProof/>
                <w:lang w:eastAsia="en-AU"/>
              </w:rPr>
              <w:tab/>
            </w:r>
            <w:r w:rsidR="009B005D" w:rsidRPr="00CF71F2">
              <w:rPr>
                <w:rStyle w:val="Hyperlink"/>
                <w:noProof/>
              </w:rPr>
              <w:t>Securing a minimum level of stocks for domestic fuel security</w:t>
            </w:r>
            <w:r w:rsidR="009B005D">
              <w:rPr>
                <w:noProof/>
                <w:webHidden/>
              </w:rPr>
              <w:tab/>
            </w:r>
            <w:r w:rsidR="009B005D">
              <w:rPr>
                <w:noProof/>
                <w:webHidden/>
              </w:rPr>
              <w:fldChar w:fldCharType="begin"/>
            </w:r>
            <w:r w:rsidR="009B005D">
              <w:rPr>
                <w:noProof/>
                <w:webHidden/>
              </w:rPr>
              <w:instrText xml:space="preserve"> PAGEREF _Toc72395670 \h </w:instrText>
            </w:r>
            <w:r w:rsidR="009B005D">
              <w:rPr>
                <w:noProof/>
                <w:webHidden/>
              </w:rPr>
            </w:r>
            <w:r w:rsidR="009B005D">
              <w:rPr>
                <w:noProof/>
                <w:webHidden/>
              </w:rPr>
              <w:fldChar w:fldCharType="separate"/>
            </w:r>
            <w:r>
              <w:rPr>
                <w:noProof/>
                <w:webHidden/>
              </w:rPr>
              <w:t>16</w:t>
            </w:r>
            <w:r w:rsidR="009B005D">
              <w:rPr>
                <w:noProof/>
                <w:webHidden/>
              </w:rPr>
              <w:fldChar w:fldCharType="end"/>
            </w:r>
          </w:hyperlink>
        </w:p>
        <w:p w14:paraId="4D89D43A" w14:textId="5BBC69AC" w:rsidR="009B005D" w:rsidRDefault="006A6B29">
          <w:pPr>
            <w:pStyle w:val="TOC2"/>
            <w:rPr>
              <w:rFonts w:asciiTheme="minorHAnsi" w:eastAsiaTheme="minorEastAsia" w:hAnsiTheme="minorHAnsi"/>
              <w:noProof/>
              <w:lang w:eastAsia="en-AU"/>
            </w:rPr>
          </w:pPr>
          <w:hyperlink w:anchor="_Toc72395671" w:history="1">
            <w:r w:rsidR="009B005D" w:rsidRPr="00CF71F2">
              <w:rPr>
                <w:rStyle w:val="Hyperlink"/>
                <w:noProof/>
              </w:rPr>
              <w:t>3.3</w:t>
            </w:r>
            <w:r w:rsidR="009B005D">
              <w:rPr>
                <w:rFonts w:asciiTheme="minorHAnsi" w:eastAsiaTheme="minorEastAsia" w:hAnsiTheme="minorHAnsi"/>
                <w:noProof/>
                <w:lang w:eastAsia="en-AU"/>
              </w:rPr>
              <w:tab/>
            </w:r>
            <w:r w:rsidR="009B005D" w:rsidRPr="00CF71F2">
              <w:rPr>
                <w:rStyle w:val="Hyperlink"/>
                <w:noProof/>
              </w:rPr>
              <w:t>Maintaining domestic refining capability</w:t>
            </w:r>
            <w:r w:rsidR="009B005D">
              <w:rPr>
                <w:noProof/>
                <w:webHidden/>
              </w:rPr>
              <w:tab/>
            </w:r>
            <w:r w:rsidR="009B005D">
              <w:rPr>
                <w:noProof/>
                <w:webHidden/>
              </w:rPr>
              <w:fldChar w:fldCharType="begin"/>
            </w:r>
            <w:r w:rsidR="009B005D">
              <w:rPr>
                <w:noProof/>
                <w:webHidden/>
              </w:rPr>
              <w:instrText xml:space="preserve"> PAGEREF _Toc72395671 \h </w:instrText>
            </w:r>
            <w:r w:rsidR="009B005D">
              <w:rPr>
                <w:noProof/>
                <w:webHidden/>
              </w:rPr>
            </w:r>
            <w:r w:rsidR="009B005D">
              <w:rPr>
                <w:noProof/>
                <w:webHidden/>
              </w:rPr>
              <w:fldChar w:fldCharType="separate"/>
            </w:r>
            <w:r>
              <w:rPr>
                <w:noProof/>
                <w:webHidden/>
              </w:rPr>
              <w:t>18</w:t>
            </w:r>
            <w:r w:rsidR="009B005D">
              <w:rPr>
                <w:noProof/>
                <w:webHidden/>
              </w:rPr>
              <w:fldChar w:fldCharType="end"/>
            </w:r>
          </w:hyperlink>
        </w:p>
        <w:p w14:paraId="3B9F96C7" w14:textId="662EE52A" w:rsidR="009B005D" w:rsidRDefault="006A6B29">
          <w:pPr>
            <w:pStyle w:val="TOC1"/>
            <w:rPr>
              <w:rFonts w:asciiTheme="minorHAnsi" w:eastAsiaTheme="minorEastAsia" w:hAnsiTheme="minorHAnsi"/>
              <w:lang w:eastAsia="en-AU"/>
            </w:rPr>
          </w:pPr>
          <w:hyperlink w:anchor="_Toc72395672" w:history="1">
            <w:r w:rsidR="009B005D" w:rsidRPr="00CF71F2">
              <w:rPr>
                <w:rStyle w:val="Hyperlink"/>
                <w:rFonts w:eastAsia="Calibri"/>
              </w:rPr>
              <w:t>4</w:t>
            </w:r>
            <w:r w:rsidR="009B005D">
              <w:rPr>
                <w:rFonts w:asciiTheme="minorHAnsi" w:eastAsiaTheme="minorEastAsia" w:hAnsiTheme="minorHAnsi"/>
                <w:lang w:eastAsia="en-AU"/>
              </w:rPr>
              <w:tab/>
            </w:r>
            <w:r w:rsidR="009B005D" w:rsidRPr="00CF71F2">
              <w:rPr>
                <w:rStyle w:val="Hyperlink"/>
              </w:rPr>
              <w:t>What is the likely net benefit of each option?</w:t>
            </w:r>
            <w:r w:rsidR="009B005D">
              <w:rPr>
                <w:webHidden/>
              </w:rPr>
              <w:tab/>
            </w:r>
            <w:r w:rsidR="009B005D">
              <w:rPr>
                <w:webHidden/>
              </w:rPr>
              <w:fldChar w:fldCharType="begin"/>
            </w:r>
            <w:r w:rsidR="009B005D">
              <w:rPr>
                <w:webHidden/>
              </w:rPr>
              <w:instrText xml:space="preserve"> PAGEREF _Toc72395672 \h </w:instrText>
            </w:r>
            <w:r w:rsidR="009B005D">
              <w:rPr>
                <w:webHidden/>
              </w:rPr>
            </w:r>
            <w:r w:rsidR="009B005D">
              <w:rPr>
                <w:webHidden/>
              </w:rPr>
              <w:fldChar w:fldCharType="separate"/>
            </w:r>
            <w:r>
              <w:rPr>
                <w:webHidden/>
              </w:rPr>
              <w:t>20</w:t>
            </w:r>
            <w:r w:rsidR="009B005D">
              <w:rPr>
                <w:webHidden/>
              </w:rPr>
              <w:fldChar w:fldCharType="end"/>
            </w:r>
          </w:hyperlink>
        </w:p>
        <w:p w14:paraId="746824BC" w14:textId="301A7BDD" w:rsidR="009B005D" w:rsidRDefault="006A6B29">
          <w:pPr>
            <w:pStyle w:val="TOC2"/>
            <w:rPr>
              <w:rFonts w:asciiTheme="minorHAnsi" w:eastAsiaTheme="minorEastAsia" w:hAnsiTheme="minorHAnsi"/>
              <w:noProof/>
              <w:lang w:eastAsia="en-AU"/>
            </w:rPr>
          </w:pPr>
          <w:hyperlink w:anchor="_Toc72395673" w:history="1">
            <w:r w:rsidR="009B005D" w:rsidRPr="00CF71F2">
              <w:rPr>
                <w:rStyle w:val="Hyperlink"/>
                <w:rFonts w:cs="Arial"/>
                <w:noProof/>
              </w:rPr>
              <w:t>4.1</w:t>
            </w:r>
            <w:r w:rsidR="009B005D">
              <w:rPr>
                <w:rFonts w:asciiTheme="minorHAnsi" w:eastAsiaTheme="minorEastAsia" w:hAnsiTheme="minorHAnsi"/>
                <w:noProof/>
                <w:lang w:eastAsia="en-AU"/>
              </w:rPr>
              <w:tab/>
            </w:r>
            <w:r w:rsidR="009B005D" w:rsidRPr="00CF71F2">
              <w:rPr>
                <w:rStyle w:val="Hyperlink"/>
                <w:rFonts w:cs="Arial"/>
                <w:noProof/>
              </w:rPr>
              <w:t>Maintain the status quo</w:t>
            </w:r>
            <w:r w:rsidR="009B005D">
              <w:rPr>
                <w:noProof/>
                <w:webHidden/>
              </w:rPr>
              <w:tab/>
            </w:r>
            <w:r w:rsidR="009B005D">
              <w:rPr>
                <w:noProof/>
                <w:webHidden/>
              </w:rPr>
              <w:fldChar w:fldCharType="begin"/>
            </w:r>
            <w:r w:rsidR="009B005D">
              <w:rPr>
                <w:noProof/>
                <w:webHidden/>
              </w:rPr>
              <w:instrText xml:space="preserve"> PAGEREF _Toc72395673 \h </w:instrText>
            </w:r>
            <w:r w:rsidR="009B005D">
              <w:rPr>
                <w:noProof/>
                <w:webHidden/>
              </w:rPr>
            </w:r>
            <w:r w:rsidR="009B005D">
              <w:rPr>
                <w:noProof/>
                <w:webHidden/>
              </w:rPr>
              <w:fldChar w:fldCharType="separate"/>
            </w:r>
            <w:r>
              <w:rPr>
                <w:noProof/>
                <w:webHidden/>
              </w:rPr>
              <w:t>20</w:t>
            </w:r>
            <w:r w:rsidR="009B005D">
              <w:rPr>
                <w:noProof/>
                <w:webHidden/>
              </w:rPr>
              <w:fldChar w:fldCharType="end"/>
            </w:r>
          </w:hyperlink>
        </w:p>
        <w:p w14:paraId="5A563555" w14:textId="030E8D94" w:rsidR="009B005D" w:rsidRDefault="006A6B29">
          <w:pPr>
            <w:pStyle w:val="TOC2"/>
            <w:rPr>
              <w:rFonts w:asciiTheme="minorHAnsi" w:eastAsiaTheme="minorEastAsia" w:hAnsiTheme="minorHAnsi"/>
              <w:noProof/>
              <w:lang w:eastAsia="en-AU"/>
            </w:rPr>
          </w:pPr>
          <w:hyperlink w:anchor="_Toc72395674" w:history="1">
            <w:r w:rsidR="009B005D" w:rsidRPr="00CF71F2">
              <w:rPr>
                <w:rStyle w:val="Hyperlink"/>
                <w:rFonts w:cs="Arial"/>
                <w:noProof/>
              </w:rPr>
              <w:t>4.2</w:t>
            </w:r>
            <w:r w:rsidR="009B005D">
              <w:rPr>
                <w:rFonts w:asciiTheme="minorHAnsi" w:eastAsiaTheme="minorEastAsia" w:hAnsiTheme="minorHAnsi"/>
                <w:noProof/>
                <w:lang w:eastAsia="en-AU"/>
              </w:rPr>
              <w:tab/>
            </w:r>
            <w:r w:rsidR="009B005D" w:rsidRPr="00CF71F2">
              <w:rPr>
                <w:rStyle w:val="Hyperlink"/>
                <w:rFonts w:cs="Arial"/>
                <w:noProof/>
              </w:rPr>
              <w:t>Minimum stockholding obligation and the Fuel Security Service Payment</w:t>
            </w:r>
            <w:r w:rsidR="009B005D">
              <w:rPr>
                <w:noProof/>
                <w:webHidden/>
              </w:rPr>
              <w:tab/>
            </w:r>
            <w:r w:rsidR="009B005D">
              <w:rPr>
                <w:noProof/>
                <w:webHidden/>
              </w:rPr>
              <w:fldChar w:fldCharType="begin"/>
            </w:r>
            <w:r w:rsidR="009B005D">
              <w:rPr>
                <w:noProof/>
                <w:webHidden/>
              </w:rPr>
              <w:instrText xml:space="preserve"> PAGEREF _Toc72395674 \h </w:instrText>
            </w:r>
            <w:r w:rsidR="009B005D">
              <w:rPr>
                <w:noProof/>
                <w:webHidden/>
              </w:rPr>
            </w:r>
            <w:r w:rsidR="009B005D">
              <w:rPr>
                <w:noProof/>
                <w:webHidden/>
              </w:rPr>
              <w:fldChar w:fldCharType="separate"/>
            </w:r>
            <w:r>
              <w:rPr>
                <w:noProof/>
                <w:webHidden/>
              </w:rPr>
              <w:t>21</w:t>
            </w:r>
            <w:r w:rsidR="009B005D">
              <w:rPr>
                <w:noProof/>
                <w:webHidden/>
              </w:rPr>
              <w:fldChar w:fldCharType="end"/>
            </w:r>
          </w:hyperlink>
        </w:p>
        <w:p w14:paraId="3848F398" w14:textId="605A1465" w:rsidR="009B005D" w:rsidRDefault="006A6B29">
          <w:pPr>
            <w:pStyle w:val="TOC1"/>
            <w:rPr>
              <w:rFonts w:asciiTheme="minorHAnsi" w:eastAsiaTheme="minorEastAsia" w:hAnsiTheme="minorHAnsi"/>
              <w:lang w:eastAsia="en-AU"/>
            </w:rPr>
          </w:pPr>
          <w:hyperlink w:anchor="_Toc72395675" w:history="1">
            <w:r w:rsidR="009B005D" w:rsidRPr="00CF71F2">
              <w:rPr>
                <w:rStyle w:val="Hyperlink"/>
              </w:rPr>
              <w:t>5</w:t>
            </w:r>
            <w:r w:rsidR="009B005D">
              <w:rPr>
                <w:rFonts w:asciiTheme="minorHAnsi" w:eastAsiaTheme="minorEastAsia" w:hAnsiTheme="minorHAnsi"/>
                <w:lang w:eastAsia="en-AU"/>
              </w:rPr>
              <w:tab/>
            </w:r>
            <w:r w:rsidR="009B005D" w:rsidRPr="00CF71F2">
              <w:rPr>
                <w:rStyle w:val="Hyperlink"/>
              </w:rPr>
              <w:t>Who was consulted about these options and how were they consulted?</w:t>
            </w:r>
            <w:r w:rsidR="009B005D">
              <w:rPr>
                <w:webHidden/>
              </w:rPr>
              <w:tab/>
            </w:r>
            <w:r w:rsidR="009B005D">
              <w:rPr>
                <w:webHidden/>
              </w:rPr>
              <w:fldChar w:fldCharType="begin"/>
            </w:r>
            <w:r w:rsidR="009B005D">
              <w:rPr>
                <w:webHidden/>
              </w:rPr>
              <w:instrText xml:space="preserve"> PAGEREF _Toc72395675 \h </w:instrText>
            </w:r>
            <w:r w:rsidR="009B005D">
              <w:rPr>
                <w:webHidden/>
              </w:rPr>
            </w:r>
            <w:r w:rsidR="009B005D">
              <w:rPr>
                <w:webHidden/>
              </w:rPr>
              <w:fldChar w:fldCharType="separate"/>
            </w:r>
            <w:r>
              <w:rPr>
                <w:webHidden/>
              </w:rPr>
              <w:t>31</w:t>
            </w:r>
            <w:r w:rsidR="009B005D">
              <w:rPr>
                <w:webHidden/>
              </w:rPr>
              <w:fldChar w:fldCharType="end"/>
            </w:r>
          </w:hyperlink>
        </w:p>
        <w:p w14:paraId="61B5CF68" w14:textId="7ACD5848" w:rsidR="009B005D" w:rsidRDefault="006A6B29">
          <w:pPr>
            <w:pStyle w:val="TOC2"/>
            <w:rPr>
              <w:rFonts w:asciiTheme="minorHAnsi" w:eastAsiaTheme="minorEastAsia" w:hAnsiTheme="minorHAnsi"/>
              <w:noProof/>
              <w:lang w:eastAsia="en-AU"/>
            </w:rPr>
          </w:pPr>
          <w:hyperlink w:anchor="_Toc72395676" w:history="1">
            <w:r w:rsidR="009B005D" w:rsidRPr="00CF71F2">
              <w:rPr>
                <w:rStyle w:val="Hyperlink"/>
                <w:noProof/>
              </w:rPr>
              <w:t>5.1</w:t>
            </w:r>
            <w:r w:rsidR="009B005D">
              <w:rPr>
                <w:rFonts w:asciiTheme="minorHAnsi" w:eastAsiaTheme="minorEastAsia" w:hAnsiTheme="minorHAnsi"/>
                <w:noProof/>
                <w:lang w:eastAsia="en-AU"/>
              </w:rPr>
              <w:tab/>
            </w:r>
            <w:r w:rsidR="009B005D" w:rsidRPr="00CF71F2">
              <w:rPr>
                <w:rStyle w:val="Hyperlink"/>
                <w:noProof/>
              </w:rPr>
              <w:t>Objectives</w:t>
            </w:r>
            <w:r w:rsidR="009B005D">
              <w:rPr>
                <w:noProof/>
                <w:webHidden/>
              </w:rPr>
              <w:tab/>
            </w:r>
            <w:r w:rsidR="009B005D">
              <w:rPr>
                <w:noProof/>
                <w:webHidden/>
              </w:rPr>
              <w:fldChar w:fldCharType="begin"/>
            </w:r>
            <w:r w:rsidR="009B005D">
              <w:rPr>
                <w:noProof/>
                <w:webHidden/>
              </w:rPr>
              <w:instrText xml:space="preserve"> PAGEREF _Toc72395676 \h </w:instrText>
            </w:r>
            <w:r w:rsidR="009B005D">
              <w:rPr>
                <w:noProof/>
                <w:webHidden/>
              </w:rPr>
            </w:r>
            <w:r w:rsidR="009B005D">
              <w:rPr>
                <w:noProof/>
                <w:webHidden/>
              </w:rPr>
              <w:fldChar w:fldCharType="separate"/>
            </w:r>
            <w:r>
              <w:rPr>
                <w:noProof/>
                <w:webHidden/>
              </w:rPr>
              <w:t>31</w:t>
            </w:r>
            <w:r w:rsidR="009B005D">
              <w:rPr>
                <w:noProof/>
                <w:webHidden/>
              </w:rPr>
              <w:fldChar w:fldCharType="end"/>
            </w:r>
          </w:hyperlink>
        </w:p>
        <w:p w14:paraId="16E2A3AC" w14:textId="32C0C116" w:rsidR="009B005D" w:rsidRDefault="006A6B29">
          <w:pPr>
            <w:pStyle w:val="TOC2"/>
            <w:rPr>
              <w:rFonts w:asciiTheme="minorHAnsi" w:eastAsiaTheme="minorEastAsia" w:hAnsiTheme="minorHAnsi"/>
              <w:noProof/>
              <w:lang w:eastAsia="en-AU"/>
            </w:rPr>
          </w:pPr>
          <w:hyperlink w:anchor="_Toc72395677" w:history="1">
            <w:r w:rsidR="009B005D" w:rsidRPr="00CF71F2">
              <w:rPr>
                <w:rStyle w:val="Hyperlink"/>
                <w:noProof/>
              </w:rPr>
              <w:t>5.2</w:t>
            </w:r>
            <w:r w:rsidR="009B005D">
              <w:rPr>
                <w:rFonts w:asciiTheme="minorHAnsi" w:eastAsiaTheme="minorEastAsia" w:hAnsiTheme="minorHAnsi"/>
                <w:noProof/>
                <w:lang w:eastAsia="en-AU"/>
              </w:rPr>
              <w:tab/>
            </w:r>
            <w:r w:rsidR="009B005D" w:rsidRPr="00CF71F2">
              <w:rPr>
                <w:rStyle w:val="Hyperlink"/>
                <w:noProof/>
              </w:rPr>
              <w:t>Fuel Security Service Payment</w:t>
            </w:r>
            <w:r w:rsidR="009B005D">
              <w:rPr>
                <w:noProof/>
                <w:webHidden/>
              </w:rPr>
              <w:tab/>
            </w:r>
            <w:r w:rsidR="009B005D">
              <w:rPr>
                <w:noProof/>
                <w:webHidden/>
              </w:rPr>
              <w:fldChar w:fldCharType="begin"/>
            </w:r>
            <w:r w:rsidR="009B005D">
              <w:rPr>
                <w:noProof/>
                <w:webHidden/>
              </w:rPr>
              <w:instrText xml:space="preserve"> PAGEREF _Toc72395677 \h </w:instrText>
            </w:r>
            <w:r w:rsidR="009B005D">
              <w:rPr>
                <w:noProof/>
                <w:webHidden/>
              </w:rPr>
            </w:r>
            <w:r w:rsidR="009B005D">
              <w:rPr>
                <w:noProof/>
                <w:webHidden/>
              </w:rPr>
              <w:fldChar w:fldCharType="separate"/>
            </w:r>
            <w:r>
              <w:rPr>
                <w:noProof/>
                <w:webHidden/>
              </w:rPr>
              <w:t>31</w:t>
            </w:r>
            <w:r w:rsidR="009B005D">
              <w:rPr>
                <w:noProof/>
                <w:webHidden/>
              </w:rPr>
              <w:fldChar w:fldCharType="end"/>
            </w:r>
          </w:hyperlink>
        </w:p>
        <w:p w14:paraId="0FADBDA0" w14:textId="27BC3772" w:rsidR="009B005D" w:rsidRDefault="006A6B29">
          <w:pPr>
            <w:pStyle w:val="TOC2"/>
            <w:rPr>
              <w:rFonts w:asciiTheme="minorHAnsi" w:eastAsiaTheme="minorEastAsia" w:hAnsiTheme="minorHAnsi"/>
              <w:noProof/>
              <w:lang w:eastAsia="en-AU"/>
            </w:rPr>
          </w:pPr>
          <w:hyperlink w:anchor="_Toc72395678" w:history="1">
            <w:r w:rsidR="009B005D" w:rsidRPr="00CF71F2">
              <w:rPr>
                <w:rStyle w:val="Hyperlink"/>
                <w:noProof/>
              </w:rPr>
              <w:t>5.3</w:t>
            </w:r>
            <w:r w:rsidR="009B005D">
              <w:rPr>
                <w:rFonts w:asciiTheme="minorHAnsi" w:eastAsiaTheme="minorEastAsia" w:hAnsiTheme="minorHAnsi"/>
                <w:noProof/>
                <w:lang w:eastAsia="en-AU"/>
              </w:rPr>
              <w:tab/>
            </w:r>
            <w:r w:rsidR="009B005D" w:rsidRPr="00CF71F2">
              <w:rPr>
                <w:rStyle w:val="Hyperlink"/>
                <w:noProof/>
              </w:rPr>
              <w:t>Minimum Stockholding Obligation</w:t>
            </w:r>
            <w:r w:rsidR="009B005D">
              <w:rPr>
                <w:noProof/>
                <w:webHidden/>
              </w:rPr>
              <w:tab/>
            </w:r>
            <w:r w:rsidR="009B005D">
              <w:rPr>
                <w:noProof/>
                <w:webHidden/>
              </w:rPr>
              <w:fldChar w:fldCharType="begin"/>
            </w:r>
            <w:r w:rsidR="009B005D">
              <w:rPr>
                <w:noProof/>
                <w:webHidden/>
              </w:rPr>
              <w:instrText xml:space="preserve"> PAGEREF _Toc72395678 \h </w:instrText>
            </w:r>
            <w:r w:rsidR="009B005D">
              <w:rPr>
                <w:noProof/>
                <w:webHidden/>
              </w:rPr>
            </w:r>
            <w:r w:rsidR="009B005D">
              <w:rPr>
                <w:noProof/>
                <w:webHidden/>
              </w:rPr>
              <w:fldChar w:fldCharType="separate"/>
            </w:r>
            <w:r>
              <w:rPr>
                <w:noProof/>
                <w:webHidden/>
              </w:rPr>
              <w:t>32</w:t>
            </w:r>
            <w:r w:rsidR="009B005D">
              <w:rPr>
                <w:noProof/>
                <w:webHidden/>
              </w:rPr>
              <w:fldChar w:fldCharType="end"/>
            </w:r>
          </w:hyperlink>
        </w:p>
        <w:p w14:paraId="17506930" w14:textId="7AA7CAB4" w:rsidR="009B005D" w:rsidRDefault="006A6B29">
          <w:pPr>
            <w:pStyle w:val="TOC2"/>
            <w:rPr>
              <w:rFonts w:asciiTheme="minorHAnsi" w:eastAsiaTheme="minorEastAsia" w:hAnsiTheme="minorHAnsi"/>
              <w:noProof/>
              <w:lang w:eastAsia="en-AU"/>
            </w:rPr>
          </w:pPr>
          <w:hyperlink w:anchor="_Toc72395679" w:history="1">
            <w:r w:rsidR="009B005D" w:rsidRPr="00CF71F2">
              <w:rPr>
                <w:rStyle w:val="Hyperlink"/>
                <w:noProof/>
              </w:rPr>
              <w:t>5.4</w:t>
            </w:r>
            <w:r w:rsidR="009B005D">
              <w:rPr>
                <w:rFonts w:asciiTheme="minorHAnsi" w:eastAsiaTheme="minorEastAsia" w:hAnsiTheme="minorHAnsi"/>
                <w:noProof/>
                <w:lang w:eastAsia="en-AU"/>
              </w:rPr>
              <w:tab/>
            </w:r>
            <w:r w:rsidR="009B005D" w:rsidRPr="00CF71F2">
              <w:rPr>
                <w:rStyle w:val="Hyperlink"/>
                <w:noProof/>
              </w:rPr>
              <w:t>Further consultation</w:t>
            </w:r>
            <w:r w:rsidR="009B005D">
              <w:rPr>
                <w:noProof/>
                <w:webHidden/>
              </w:rPr>
              <w:tab/>
            </w:r>
            <w:r w:rsidR="009B005D">
              <w:rPr>
                <w:noProof/>
                <w:webHidden/>
              </w:rPr>
              <w:fldChar w:fldCharType="begin"/>
            </w:r>
            <w:r w:rsidR="009B005D">
              <w:rPr>
                <w:noProof/>
                <w:webHidden/>
              </w:rPr>
              <w:instrText xml:space="preserve"> PAGEREF _Toc72395679 \h </w:instrText>
            </w:r>
            <w:r w:rsidR="009B005D">
              <w:rPr>
                <w:noProof/>
                <w:webHidden/>
              </w:rPr>
            </w:r>
            <w:r w:rsidR="009B005D">
              <w:rPr>
                <w:noProof/>
                <w:webHidden/>
              </w:rPr>
              <w:fldChar w:fldCharType="separate"/>
            </w:r>
            <w:r>
              <w:rPr>
                <w:noProof/>
                <w:webHidden/>
              </w:rPr>
              <w:t>33</w:t>
            </w:r>
            <w:r w:rsidR="009B005D">
              <w:rPr>
                <w:noProof/>
                <w:webHidden/>
              </w:rPr>
              <w:fldChar w:fldCharType="end"/>
            </w:r>
          </w:hyperlink>
        </w:p>
        <w:p w14:paraId="02E0038C" w14:textId="121867BC" w:rsidR="009B005D" w:rsidRDefault="006A6B29">
          <w:pPr>
            <w:pStyle w:val="TOC1"/>
            <w:rPr>
              <w:rFonts w:asciiTheme="minorHAnsi" w:eastAsiaTheme="minorEastAsia" w:hAnsiTheme="minorHAnsi"/>
              <w:lang w:eastAsia="en-AU"/>
            </w:rPr>
          </w:pPr>
          <w:hyperlink w:anchor="_Toc72395680" w:history="1">
            <w:r w:rsidR="009B005D" w:rsidRPr="00CF71F2">
              <w:rPr>
                <w:rStyle w:val="Hyperlink"/>
                <w:rFonts w:eastAsia="Calibri"/>
              </w:rPr>
              <w:t>6</w:t>
            </w:r>
            <w:r w:rsidR="009B005D">
              <w:rPr>
                <w:rFonts w:asciiTheme="minorHAnsi" w:eastAsiaTheme="minorEastAsia" w:hAnsiTheme="minorHAnsi"/>
                <w:lang w:eastAsia="en-AU"/>
              </w:rPr>
              <w:tab/>
            </w:r>
            <w:r w:rsidR="009B005D" w:rsidRPr="00CF71F2">
              <w:rPr>
                <w:rStyle w:val="Hyperlink"/>
                <w:rFonts w:eastAsia="Calibri"/>
              </w:rPr>
              <w:t>What is the best option from those considered?</w:t>
            </w:r>
            <w:r w:rsidR="009B005D">
              <w:rPr>
                <w:webHidden/>
              </w:rPr>
              <w:tab/>
            </w:r>
            <w:r w:rsidR="009B005D">
              <w:rPr>
                <w:webHidden/>
              </w:rPr>
              <w:fldChar w:fldCharType="begin"/>
            </w:r>
            <w:r w:rsidR="009B005D">
              <w:rPr>
                <w:webHidden/>
              </w:rPr>
              <w:instrText xml:space="preserve"> PAGEREF _Toc72395680 \h </w:instrText>
            </w:r>
            <w:r w:rsidR="009B005D">
              <w:rPr>
                <w:webHidden/>
              </w:rPr>
            </w:r>
            <w:r w:rsidR="009B005D">
              <w:rPr>
                <w:webHidden/>
              </w:rPr>
              <w:fldChar w:fldCharType="separate"/>
            </w:r>
            <w:r>
              <w:rPr>
                <w:webHidden/>
              </w:rPr>
              <w:t>34</w:t>
            </w:r>
            <w:r w:rsidR="009B005D">
              <w:rPr>
                <w:webHidden/>
              </w:rPr>
              <w:fldChar w:fldCharType="end"/>
            </w:r>
          </w:hyperlink>
        </w:p>
        <w:p w14:paraId="66F4D2AC" w14:textId="4D505304" w:rsidR="009B005D" w:rsidRDefault="006A6B29">
          <w:pPr>
            <w:pStyle w:val="TOC1"/>
            <w:rPr>
              <w:rFonts w:asciiTheme="minorHAnsi" w:eastAsiaTheme="minorEastAsia" w:hAnsiTheme="minorHAnsi"/>
              <w:lang w:eastAsia="en-AU"/>
            </w:rPr>
          </w:pPr>
          <w:hyperlink w:anchor="_Toc72395681" w:history="1">
            <w:r w:rsidR="009B005D" w:rsidRPr="00CF71F2">
              <w:rPr>
                <w:rStyle w:val="Hyperlink"/>
                <w:rFonts w:eastAsia="Calibri"/>
              </w:rPr>
              <w:t>7</w:t>
            </w:r>
            <w:r w:rsidR="009B005D">
              <w:rPr>
                <w:rFonts w:asciiTheme="minorHAnsi" w:eastAsiaTheme="minorEastAsia" w:hAnsiTheme="minorHAnsi"/>
                <w:lang w:eastAsia="en-AU"/>
              </w:rPr>
              <w:tab/>
            </w:r>
            <w:r w:rsidR="009B005D" w:rsidRPr="00CF71F2">
              <w:rPr>
                <w:rStyle w:val="Hyperlink"/>
                <w:rFonts w:eastAsia="Calibri"/>
              </w:rPr>
              <w:t>How will the chosen option be implemented and evaluated?</w:t>
            </w:r>
            <w:r w:rsidR="009B005D">
              <w:rPr>
                <w:webHidden/>
              </w:rPr>
              <w:tab/>
            </w:r>
            <w:r w:rsidR="009B005D">
              <w:rPr>
                <w:webHidden/>
              </w:rPr>
              <w:fldChar w:fldCharType="begin"/>
            </w:r>
            <w:r w:rsidR="009B005D">
              <w:rPr>
                <w:webHidden/>
              </w:rPr>
              <w:instrText xml:space="preserve"> PAGEREF _Toc72395681 \h </w:instrText>
            </w:r>
            <w:r w:rsidR="009B005D">
              <w:rPr>
                <w:webHidden/>
              </w:rPr>
            </w:r>
            <w:r w:rsidR="009B005D">
              <w:rPr>
                <w:webHidden/>
              </w:rPr>
              <w:fldChar w:fldCharType="separate"/>
            </w:r>
            <w:r>
              <w:rPr>
                <w:webHidden/>
              </w:rPr>
              <w:t>35</w:t>
            </w:r>
            <w:r w:rsidR="009B005D">
              <w:rPr>
                <w:webHidden/>
              </w:rPr>
              <w:fldChar w:fldCharType="end"/>
            </w:r>
          </w:hyperlink>
        </w:p>
        <w:p w14:paraId="5942EEE5" w14:textId="1D8D9161" w:rsidR="009B005D" w:rsidRDefault="006A6B29">
          <w:pPr>
            <w:pStyle w:val="TOC2"/>
            <w:rPr>
              <w:rFonts w:asciiTheme="minorHAnsi" w:eastAsiaTheme="minorEastAsia" w:hAnsiTheme="minorHAnsi"/>
              <w:noProof/>
              <w:lang w:eastAsia="en-AU"/>
            </w:rPr>
          </w:pPr>
          <w:hyperlink w:anchor="_Toc72395682" w:history="1">
            <w:r w:rsidR="009B005D" w:rsidRPr="00CF71F2">
              <w:rPr>
                <w:rStyle w:val="Hyperlink"/>
                <w:noProof/>
              </w:rPr>
              <w:t>7.1</w:t>
            </w:r>
            <w:r w:rsidR="009B005D">
              <w:rPr>
                <w:rFonts w:asciiTheme="minorHAnsi" w:eastAsiaTheme="minorEastAsia" w:hAnsiTheme="minorHAnsi"/>
                <w:noProof/>
                <w:lang w:eastAsia="en-AU"/>
              </w:rPr>
              <w:tab/>
            </w:r>
            <w:r w:rsidR="009B005D" w:rsidRPr="00CF71F2">
              <w:rPr>
                <w:rStyle w:val="Hyperlink"/>
                <w:noProof/>
              </w:rPr>
              <w:t>Challenges</w:t>
            </w:r>
            <w:r w:rsidR="009B005D">
              <w:rPr>
                <w:noProof/>
                <w:webHidden/>
              </w:rPr>
              <w:tab/>
            </w:r>
            <w:r w:rsidR="009B005D">
              <w:rPr>
                <w:noProof/>
                <w:webHidden/>
              </w:rPr>
              <w:fldChar w:fldCharType="begin"/>
            </w:r>
            <w:r w:rsidR="009B005D">
              <w:rPr>
                <w:noProof/>
                <w:webHidden/>
              </w:rPr>
              <w:instrText xml:space="preserve"> PAGEREF _Toc72395682 \h </w:instrText>
            </w:r>
            <w:r w:rsidR="009B005D">
              <w:rPr>
                <w:noProof/>
                <w:webHidden/>
              </w:rPr>
            </w:r>
            <w:r w:rsidR="009B005D">
              <w:rPr>
                <w:noProof/>
                <w:webHidden/>
              </w:rPr>
              <w:fldChar w:fldCharType="separate"/>
            </w:r>
            <w:r>
              <w:rPr>
                <w:noProof/>
                <w:webHidden/>
              </w:rPr>
              <w:t>35</w:t>
            </w:r>
            <w:r w:rsidR="009B005D">
              <w:rPr>
                <w:noProof/>
                <w:webHidden/>
              </w:rPr>
              <w:fldChar w:fldCharType="end"/>
            </w:r>
          </w:hyperlink>
        </w:p>
        <w:p w14:paraId="77D3B2EF" w14:textId="5B0EF04E" w:rsidR="009B005D" w:rsidRDefault="006A6B29">
          <w:pPr>
            <w:pStyle w:val="TOC2"/>
            <w:rPr>
              <w:rFonts w:asciiTheme="minorHAnsi" w:eastAsiaTheme="minorEastAsia" w:hAnsiTheme="minorHAnsi"/>
              <w:noProof/>
              <w:lang w:eastAsia="en-AU"/>
            </w:rPr>
          </w:pPr>
          <w:hyperlink w:anchor="_Toc72395683" w:history="1">
            <w:r w:rsidR="009B005D" w:rsidRPr="00CF71F2">
              <w:rPr>
                <w:rStyle w:val="Hyperlink"/>
                <w:noProof/>
              </w:rPr>
              <w:t>7.2</w:t>
            </w:r>
            <w:r w:rsidR="009B005D">
              <w:rPr>
                <w:rFonts w:asciiTheme="minorHAnsi" w:eastAsiaTheme="minorEastAsia" w:hAnsiTheme="minorHAnsi"/>
                <w:noProof/>
                <w:lang w:eastAsia="en-AU"/>
              </w:rPr>
              <w:tab/>
            </w:r>
            <w:r w:rsidR="009B005D" w:rsidRPr="00CF71F2">
              <w:rPr>
                <w:rStyle w:val="Hyperlink"/>
                <w:noProof/>
              </w:rPr>
              <w:t>Implementation</w:t>
            </w:r>
            <w:r w:rsidR="009B005D">
              <w:rPr>
                <w:noProof/>
                <w:webHidden/>
              </w:rPr>
              <w:tab/>
            </w:r>
            <w:r w:rsidR="009B005D">
              <w:rPr>
                <w:noProof/>
                <w:webHidden/>
              </w:rPr>
              <w:fldChar w:fldCharType="begin"/>
            </w:r>
            <w:r w:rsidR="009B005D">
              <w:rPr>
                <w:noProof/>
                <w:webHidden/>
              </w:rPr>
              <w:instrText xml:space="preserve"> PAGEREF _Toc72395683 \h </w:instrText>
            </w:r>
            <w:r w:rsidR="009B005D">
              <w:rPr>
                <w:noProof/>
                <w:webHidden/>
              </w:rPr>
            </w:r>
            <w:r w:rsidR="009B005D">
              <w:rPr>
                <w:noProof/>
                <w:webHidden/>
              </w:rPr>
              <w:fldChar w:fldCharType="separate"/>
            </w:r>
            <w:r>
              <w:rPr>
                <w:noProof/>
                <w:webHidden/>
              </w:rPr>
              <w:t>35</w:t>
            </w:r>
            <w:r w:rsidR="009B005D">
              <w:rPr>
                <w:noProof/>
                <w:webHidden/>
              </w:rPr>
              <w:fldChar w:fldCharType="end"/>
            </w:r>
          </w:hyperlink>
        </w:p>
        <w:p w14:paraId="0F8482AC" w14:textId="6725D7C5" w:rsidR="009B005D" w:rsidRDefault="006A6B29">
          <w:pPr>
            <w:pStyle w:val="TOC3"/>
            <w:tabs>
              <w:tab w:val="left" w:pos="1320"/>
              <w:tab w:val="right" w:leader="dot" w:pos="9016"/>
            </w:tabs>
            <w:rPr>
              <w:rFonts w:asciiTheme="minorHAnsi" w:eastAsiaTheme="minorEastAsia" w:hAnsiTheme="minorHAnsi"/>
              <w:noProof/>
              <w:lang w:eastAsia="en-AU"/>
            </w:rPr>
          </w:pPr>
          <w:hyperlink w:anchor="_Toc72395684" w:history="1">
            <w:r w:rsidR="009B005D" w:rsidRPr="00CF71F2">
              <w:rPr>
                <w:rStyle w:val="Hyperlink"/>
                <w:noProof/>
              </w:rPr>
              <w:t>7.2.1</w:t>
            </w:r>
            <w:r w:rsidR="009B005D">
              <w:rPr>
                <w:rFonts w:asciiTheme="minorHAnsi" w:eastAsiaTheme="minorEastAsia" w:hAnsiTheme="minorHAnsi"/>
                <w:noProof/>
                <w:lang w:eastAsia="en-AU"/>
              </w:rPr>
              <w:tab/>
            </w:r>
            <w:r w:rsidR="009B005D" w:rsidRPr="00CF71F2">
              <w:rPr>
                <w:rStyle w:val="Hyperlink"/>
                <w:noProof/>
              </w:rPr>
              <w:t>Fuel Security Service Payment and Refinery Upgrades</w:t>
            </w:r>
            <w:r w:rsidR="009B005D">
              <w:rPr>
                <w:noProof/>
                <w:webHidden/>
              </w:rPr>
              <w:tab/>
            </w:r>
            <w:r w:rsidR="009B005D">
              <w:rPr>
                <w:noProof/>
                <w:webHidden/>
              </w:rPr>
              <w:fldChar w:fldCharType="begin"/>
            </w:r>
            <w:r w:rsidR="009B005D">
              <w:rPr>
                <w:noProof/>
                <w:webHidden/>
              </w:rPr>
              <w:instrText xml:space="preserve"> PAGEREF _Toc72395684 \h </w:instrText>
            </w:r>
            <w:r w:rsidR="009B005D">
              <w:rPr>
                <w:noProof/>
                <w:webHidden/>
              </w:rPr>
            </w:r>
            <w:r w:rsidR="009B005D">
              <w:rPr>
                <w:noProof/>
                <w:webHidden/>
              </w:rPr>
              <w:fldChar w:fldCharType="separate"/>
            </w:r>
            <w:r>
              <w:rPr>
                <w:noProof/>
                <w:webHidden/>
              </w:rPr>
              <w:t>35</w:t>
            </w:r>
            <w:r w:rsidR="009B005D">
              <w:rPr>
                <w:noProof/>
                <w:webHidden/>
              </w:rPr>
              <w:fldChar w:fldCharType="end"/>
            </w:r>
          </w:hyperlink>
        </w:p>
        <w:p w14:paraId="6995C019" w14:textId="31D38EF0" w:rsidR="009B005D" w:rsidRDefault="006A6B29">
          <w:pPr>
            <w:pStyle w:val="TOC3"/>
            <w:tabs>
              <w:tab w:val="left" w:pos="1320"/>
              <w:tab w:val="right" w:leader="dot" w:pos="9016"/>
            </w:tabs>
            <w:rPr>
              <w:rFonts w:asciiTheme="minorHAnsi" w:eastAsiaTheme="minorEastAsia" w:hAnsiTheme="minorHAnsi"/>
              <w:noProof/>
              <w:lang w:eastAsia="en-AU"/>
            </w:rPr>
          </w:pPr>
          <w:hyperlink w:anchor="_Toc72395685" w:history="1">
            <w:r w:rsidR="009B005D" w:rsidRPr="00CF71F2">
              <w:rPr>
                <w:rStyle w:val="Hyperlink"/>
                <w:rFonts w:cs="Arial"/>
                <w:noProof/>
              </w:rPr>
              <w:t>7.2.2</w:t>
            </w:r>
            <w:r w:rsidR="009B005D">
              <w:rPr>
                <w:rFonts w:asciiTheme="minorHAnsi" w:eastAsiaTheme="minorEastAsia" w:hAnsiTheme="minorHAnsi"/>
                <w:noProof/>
                <w:lang w:eastAsia="en-AU"/>
              </w:rPr>
              <w:tab/>
            </w:r>
            <w:r w:rsidR="009B005D" w:rsidRPr="00CF71F2">
              <w:rPr>
                <w:rStyle w:val="Hyperlink"/>
                <w:rFonts w:cs="Arial"/>
                <w:noProof/>
              </w:rPr>
              <w:t>Minimum Stockholding Obligation</w:t>
            </w:r>
            <w:r w:rsidR="009B005D">
              <w:rPr>
                <w:noProof/>
                <w:webHidden/>
              </w:rPr>
              <w:tab/>
            </w:r>
            <w:r w:rsidR="009B005D">
              <w:rPr>
                <w:noProof/>
                <w:webHidden/>
              </w:rPr>
              <w:fldChar w:fldCharType="begin"/>
            </w:r>
            <w:r w:rsidR="009B005D">
              <w:rPr>
                <w:noProof/>
                <w:webHidden/>
              </w:rPr>
              <w:instrText xml:space="preserve"> PAGEREF _Toc72395685 \h </w:instrText>
            </w:r>
            <w:r w:rsidR="009B005D">
              <w:rPr>
                <w:noProof/>
                <w:webHidden/>
              </w:rPr>
            </w:r>
            <w:r w:rsidR="009B005D">
              <w:rPr>
                <w:noProof/>
                <w:webHidden/>
              </w:rPr>
              <w:fldChar w:fldCharType="separate"/>
            </w:r>
            <w:r>
              <w:rPr>
                <w:noProof/>
                <w:webHidden/>
              </w:rPr>
              <w:t>36</w:t>
            </w:r>
            <w:r w:rsidR="009B005D">
              <w:rPr>
                <w:noProof/>
                <w:webHidden/>
              </w:rPr>
              <w:fldChar w:fldCharType="end"/>
            </w:r>
          </w:hyperlink>
        </w:p>
        <w:p w14:paraId="30F76117" w14:textId="1C1F5605" w:rsidR="009B005D" w:rsidRDefault="006A6B29">
          <w:pPr>
            <w:pStyle w:val="TOC1"/>
            <w:rPr>
              <w:rFonts w:asciiTheme="minorHAnsi" w:eastAsiaTheme="minorEastAsia" w:hAnsiTheme="minorHAnsi"/>
              <w:lang w:eastAsia="en-AU"/>
            </w:rPr>
          </w:pPr>
          <w:hyperlink w:anchor="_Toc72395686" w:history="1">
            <w:r w:rsidR="009B005D" w:rsidRPr="00CF71F2">
              <w:rPr>
                <w:rStyle w:val="Hyperlink"/>
              </w:rPr>
              <w:t>Appendix A: Emergency stockholding approaches in IEA member</w:t>
            </w:r>
            <w:r w:rsidR="009B005D" w:rsidRPr="00CF71F2">
              <w:rPr>
                <w:rStyle w:val="Hyperlink"/>
                <w:rFonts w:eastAsia="Times New Roman" w:cs="Times New Roman"/>
              </w:rPr>
              <w:t xml:space="preserve"> nations</w:t>
            </w:r>
            <w:r w:rsidR="009B005D">
              <w:rPr>
                <w:webHidden/>
              </w:rPr>
              <w:tab/>
            </w:r>
            <w:r w:rsidR="009B005D">
              <w:rPr>
                <w:webHidden/>
              </w:rPr>
              <w:fldChar w:fldCharType="begin"/>
            </w:r>
            <w:r w:rsidR="009B005D">
              <w:rPr>
                <w:webHidden/>
              </w:rPr>
              <w:instrText xml:space="preserve"> PAGEREF _Toc72395686 \h </w:instrText>
            </w:r>
            <w:r w:rsidR="009B005D">
              <w:rPr>
                <w:webHidden/>
              </w:rPr>
            </w:r>
            <w:r w:rsidR="009B005D">
              <w:rPr>
                <w:webHidden/>
              </w:rPr>
              <w:fldChar w:fldCharType="separate"/>
            </w:r>
            <w:r>
              <w:rPr>
                <w:webHidden/>
              </w:rPr>
              <w:t>37</w:t>
            </w:r>
            <w:r w:rsidR="009B005D">
              <w:rPr>
                <w:webHidden/>
              </w:rPr>
              <w:fldChar w:fldCharType="end"/>
            </w:r>
          </w:hyperlink>
        </w:p>
        <w:p w14:paraId="1D547950" w14:textId="7933C692" w:rsidR="009B005D" w:rsidRDefault="006A6B29">
          <w:pPr>
            <w:pStyle w:val="TOC1"/>
            <w:rPr>
              <w:rFonts w:asciiTheme="minorHAnsi" w:eastAsiaTheme="minorEastAsia" w:hAnsiTheme="minorHAnsi"/>
              <w:lang w:eastAsia="en-AU"/>
            </w:rPr>
          </w:pPr>
          <w:hyperlink w:anchor="_Toc72395687" w:history="1">
            <w:r w:rsidR="009B005D" w:rsidRPr="00CF71F2">
              <w:rPr>
                <w:rStyle w:val="Hyperlink"/>
              </w:rPr>
              <w:t>Appendix B: Demand and Consumption Cover in Australia</w:t>
            </w:r>
            <w:r w:rsidR="009B005D">
              <w:rPr>
                <w:webHidden/>
              </w:rPr>
              <w:tab/>
            </w:r>
            <w:r w:rsidR="009B005D">
              <w:rPr>
                <w:webHidden/>
              </w:rPr>
              <w:fldChar w:fldCharType="begin"/>
            </w:r>
            <w:r w:rsidR="009B005D">
              <w:rPr>
                <w:webHidden/>
              </w:rPr>
              <w:instrText xml:space="preserve"> PAGEREF _Toc72395687 \h </w:instrText>
            </w:r>
            <w:r w:rsidR="009B005D">
              <w:rPr>
                <w:webHidden/>
              </w:rPr>
            </w:r>
            <w:r w:rsidR="009B005D">
              <w:rPr>
                <w:webHidden/>
              </w:rPr>
              <w:fldChar w:fldCharType="separate"/>
            </w:r>
            <w:r>
              <w:rPr>
                <w:webHidden/>
              </w:rPr>
              <w:t>39</w:t>
            </w:r>
            <w:r w:rsidR="009B005D">
              <w:rPr>
                <w:webHidden/>
              </w:rPr>
              <w:fldChar w:fldCharType="end"/>
            </w:r>
          </w:hyperlink>
        </w:p>
        <w:p w14:paraId="4CBEB041" w14:textId="5255B730" w:rsidR="009B005D" w:rsidRDefault="006A6B29">
          <w:pPr>
            <w:pStyle w:val="TOC1"/>
            <w:rPr>
              <w:rFonts w:asciiTheme="minorHAnsi" w:eastAsiaTheme="minorEastAsia" w:hAnsiTheme="minorHAnsi"/>
              <w:lang w:eastAsia="en-AU"/>
            </w:rPr>
          </w:pPr>
          <w:hyperlink w:anchor="_Toc72395688" w:history="1">
            <w:r w:rsidR="009B005D" w:rsidRPr="00CF71F2">
              <w:rPr>
                <w:rStyle w:val="Hyperlink"/>
              </w:rPr>
              <w:t>Appendix C: References</w:t>
            </w:r>
            <w:r w:rsidR="009B005D">
              <w:rPr>
                <w:webHidden/>
              </w:rPr>
              <w:tab/>
            </w:r>
            <w:r w:rsidR="009B005D">
              <w:rPr>
                <w:webHidden/>
              </w:rPr>
              <w:fldChar w:fldCharType="begin"/>
            </w:r>
            <w:r w:rsidR="009B005D">
              <w:rPr>
                <w:webHidden/>
              </w:rPr>
              <w:instrText xml:space="preserve"> PAGEREF _Toc72395688 \h </w:instrText>
            </w:r>
            <w:r w:rsidR="009B005D">
              <w:rPr>
                <w:webHidden/>
              </w:rPr>
            </w:r>
            <w:r w:rsidR="009B005D">
              <w:rPr>
                <w:webHidden/>
              </w:rPr>
              <w:fldChar w:fldCharType="separate"/>
            </w:r>
            <w:r>
              <w:rPr>
                <w:webHidden/>
              </w:rPr>
              <w:t>41</w:t>
            </w:r>
            <w:r w:rsidR="009B005D">
              <w:rPr>
                <w:webHidden/>
              </w:rPr>
              <w:fldChar w:fldCharType="end"/>
            </w:r>
          </w:hyperlink>
        </w:p>
        <w:p w14:paraId="7DAAD79A" w14:textId="77777777" w:rsidR="006C75D1" w:rsidRDefault="0005277E">
          <w:pPr>
            <w:rPr>
              <w:b/>
              <w:bCs/>
              <w:noProof/>
            </w:rPr>
          </w:pPr>
          <w:r>
            <w:rPr>
              <w:b/>
              <w:bCs/>
              <w:noProof/>
            </w:rPr>
            <w:fldChar w:fldCharType="end"/>
          </w:r>
        </w:p>
        <w:p w14:paraId="4B23C295" w14:textId="77777777" w:rsidR="00EA3D68" w:rsidRDefault="006A6B29" w:rsidP="006C75D1">
          <w:pPr>
            <w:rPr>
              <w:noProof/>
            </w:rPr>
          </w:pPr>
        </w:p>
      </w:sdtContent>
    </w:sdt>
    <w:bookmarkStart w:id="4" w:name="_Toc65228313" w:displacedByCustomXml="prev"/>
    <w:bookmarkStart w:id="5" w:name="_Toc65247696" w:displacedByCustomXml="prev"/>
    <w:bookmarkStart w:id="6" w:name="_Toc65250651" w:displacedByCustomXml="prev"/>
    <w:bookmarkStart w:id="7" w:name="_Toc65253409" w:displacedByCustomXml="prev"/>
    <w:bookmarkStart w:id="8" w:name="_Toc65329392" w:displacedByCustomXml="prev"/>
    <w:bookmarkStart w:id="9" w:name="_Toc65332745" w:displacedByCustomXml="prev"/>
    <w:bookmarkStart w:id="10" w:name="_Toc65339144" w:displacedByCustomXml="prev"/>
    <w:p w14:paraId="76B24DF5" w14:textId="38FFDF3C" w:rsidR="006C75D1" w:rsidRDefault="006C75D1" w:rsidP="006C75D1">
      <w:pPr>
        <w:rPr>
          <w:noProof/>
        </w:rPr>
      </w:pPr>
      <w:r>
        <w:rPr>
          <w:noProof/>
        </w:rPr>
        <w:br w:type="page"/>
      </w:r>
    </w:p>
    <w:p w14:paraId="17A05526" w14:textId="4B366A8A" w:rsidR="00352914" w:rsidRDefault="00C95241" w:rsidP="00C95241">
      <w:pPr>
        <w:pStyle w:val="Heading1"/>
      </w:pPr>
      <w:bookmarkStart w:id="11" w:name="_Toc67923583"/>
      <w:bookmarkStart w:id="12" w:name="_Toc67926820"/>
      <w:bookmarkStart w:id="13" w:name="_Toc68614679"/>
      <w:bookmarkStart w:id="14" w:name="_Toc69201383"/>
      <w:bookmarkStart w:id="15" w:name="_Toc69941547"/>
      <w:bookmarkStart w:id="16" w:name="_Toc70419833"/>
      <w:bookmarkStart w:id="17" w:name="_Toc72394915"/>
      <w:bookmarkStart w:id="18" w:name="_Toc72395658"/>
      <w:bookmarkStart w:id="19" w:name="_Toc65341076"/>
      <w:bookmarkStart w:id="20" w:name="_Toc65402161"/>
      <w:bookmarkStart w:id="21" w:name="_Toc65405394"/>
      <w:r>
        <w:lastRenderedPageBreak/>
        <w:t>Executive Summary</w:t>
      </w:r>
      <w:bookmarkEnd w:id="11"/>
      <w:bookmarkEnd w:id="12"/>
      <w:bookmarkEnd w:id="13"/>
      <w:bookmarkEnd w:id="14"/>
      <w:bookmarkEnd w:id="15"/>
      <w:bookmarkEnd w:id="16"/>
      <w:bookmarkEnd w:id="17"/>
      <w:bookmarkEnd w:id="18"/>
    </w:p>
    <w:p w14:paraId="11F0EA07" w14:textId="2DBA85E6" w:rsidR="00171ABC" w:rsidRDefault="00E44ACC" w:rsidP="00142181">
      <w:pPr>
        <w:spacing w:line="276" w:lineRule="auto"/>
      </w:pPr>
      <w:r w:rsidRPr="008C5FC1">
        <w:t xml:space="preserve">Liquid fuel security is about making sure that Australia has the fuel </w:t>
      </w:r>
      <w:r w:rsidR="00DC0A1A">
        <w:t>it</w:t>
      </w:r>
      <w:r w:rsidRPr="008C5FC1">
        <w:t xml:space="preserve"> need</w:t>
      </w:r>
      <w:r w:rsidR="00CF06DF">
        <w:t>s</w:t>
      </w:r>
      <w:r w:rsidRPr="008C5FC1">
        <w:t xml:space="preserve"> to meet our economic, environmental</w:t>
      </w:r>
      <w:r w:rsidR="00CF06DF">
        <w:t xml:space="preserve">, </w:t>
      </w:r>
      <w:r w:rsidRPr="008C5FC1">
        <w:t xml:space="preserve">social </w:t>
      </w:r>
      <w:r w:rsidR="00A930CA">
        <w:t xml:space="preserve">and national security </w:t>
      </w:r>
      <w:r w:rsidRPr="008C5FC1">
        <w:t>objectives. For many Australians</w:t>
      </w:r>
      <w:r>
        <w:t>,</w:t>
      </w:r>
      <w:r w:rsidRPr="008C5FC1">
        <w:t xml:space="preserve"> fuel security means having</w:t>
      </w:r>
      <w:r w:rsidR="00CF06DF">
        <w:t xml:space="preserve"> the</w:t>
      </w:r>
      <w:r w:rsidRPr="008C5FC1">
        <w:t xml:space="preserve"> confidence that there will be enough fuel for </w:t>
      </w:r>
      <w:r w:rsidR="003E45F9">
        <w:t>their</w:t>
      </w:r>
      <w:r w:rsidR="003E45F9" w:rsidRPr="008C5FC1">
        <w:t xml:space="preserve"> </w:t>
      </w:r>
      <w:r w:rsidRPr="008C5FC1">
        <w:t>journey to work</w:t>
      </w:r>
      <w:r w:rsidR="00142181">
        <w:t>,</w:t>
      </w:r>
      <w:r w:rsidRPr="008C5FC1">
        <w:t xml:space="preserve"> </w:t>
      </w:r>
      <w:r w:rsidR="006A466E">
        <w:t>and ensuring</w:t>
      </w:r>
      <w:r w:rsidRPr="008C5FC1">
        <w:t xml:space="preserve"> </w:t>
      </w:r>
      <w:r w:rsidR="00CF06DF">
        <w:t xml:space="preserve">that </w:t>
      </w:r>
      <w:r w:rsidRPr="008C5FC1">
        <w:t xml:space="preserve">businesses large and small can keep running day to </w:t>
      </w:r>
      <w:r w:rsidR="00142181">
        <w:t>day. It also means knowing that</w:t>
      </w:r>
      <w:r w:rsidRPr="008C5FC1">
        <w:t xml:space="preserve"> when things go wrong, there is a plan in place </w:t>
      </w:r>
      <w:r w:rsidR="006A466E" w:rsidRPr="00640DAD">
        <w:t xml:space="preserve">to </w:t>
      </w:r>
      <w:r w:rsidR="000E1ADD">
        <w:t>keep Australia moving</w:t>
      </w:r>
      <w:r w:rsidR="00E92AE3">
        <w:t>.</w:t>
      </w:r>
    </w:p>
    <w:p w14:paraId="1E242896" w14:textId="3F188E77" w:rsidR="00E92AE3" w:rsidRPr="00EA3D68" w:rsidRDefault="00E92AE3" w:rsidP="00EA3D68">
      <w:pPr>
        <w:spacing w:line="276" w:lineRule="auto"/>
      </w:pPr>
      <w:r w:rsidRPr="00EA3D68">
        <w:t xml:space="preserve">The Fuel Security Package, </w:t>
      </w:r>
      <w:r w:rsidR="00171ABC">
        <w:t xml:space="preserve">first </w:t>
      </w:r>
      <w:r w:rsidRPr="00EA3D68">
        <w:t xml:space="preserve">announced by </w:t>
      </w:r>
      <w:r w:rsidR="00EA3D68">
        <w:t xml:space="preserve">the </w:t>
      </w:r>
      <w:r w:rsidR="00682B2D">
        <w:t xml:space="preserve">Prime Minister and </w:t>
      </w:r>
      <w:r w:rsidRPr="00EA3D68">
        <w:t xml:space="preserve">Minister </w:t>
      </w:r>
      <w:r w:rsidR="00EA3D68">
        <w:t xml:space="preserve">for Energy and Emissions Reduction </w:t>
      </w:r>
      <w:r w:rsidRPr="00EA3D68">
        <w:t xml:space="preserve">on 14 September 2020, </w:t>
      </w:r>
      <w:r w:rsidR="00171ABC" w:rsidRPr="00EA3D68">
        <w:t xml:space="preserve">is being </w:t>
      </w:r>
      <w:r w:rsidRPr="00EA3D68">
        <w:t>implemented in 2021 to increase Australia’s fuel security</w:t>
      </w:r>
      <w:r w:rsidR="0062193F">
        <w:t>, stimulate employment,</w:t>
      </w:r>
      <w:r w:rsidRPr="00EA3D68">
        <w:t xml:space="preserve"> sec</w:t>
      </w:r>
      <w:r w:rsidR="00171ABC" w:rsidRPr="00171ABC">
        <w:t xml:space="preserve">ure </w:t>
      </w:r>
      <w:r w:rsidR="0062193F">
        <w:t xml:space="preserve">our </w:t>
      </w:r>
      <w:r w:rsidR="00171ABC" w:rsidRPr="00171ABC">
        <w:t>sovereign refining capacit</w:t>
      </w:r>
      <w:r w:rsidR="00171ABC">
        <w:t>y</w:t>
      </w:r>
      <w:r w:rsidR="0062193F">
        <w:t xml:space="preserve"> and keep prices low for fuel users</w:t>
      </w:r>
      <w:r w:rsidR="00171ABC">
        <w:t xml:space="preserve">. </w:t>
      </w:r>
      <w:r w:rsidRPr="00EA3D68">
        <w:t xml:space="preserve">The Package </w:t>
      </w:r>
      <w:r w:rsidR="00171ABC">
        <w:t>includes</w:t>
      </w:r>
      <w:r w:rsidRPr="00EA3D68">
        <w:t>:</w:t>
      </w:r>
    </w:p>
    <w:p w14:paraId="6C35CF25" w14:textId="09766707" w:rsidR="00E92AE3" w:rsidRPr="00EA3D68" w:rsidRDefault="00E92AE3" w:rsidP="00EA3D68">
      <w:pPr>
        <w:pStyle w:val="ListParagraph"/>
        <w:numPr>
          <w:ilvl w:val="0"/>
          <w:numId w:val="75"/>
        </w:numPr>
        <w:spacing w:line="276" w:lineRule="auto"/>
        <w:rPr>
          <w:rFonts w:cs="Arial"/>
        </w:rPr>
      </w:pPr>
      <w:r w:rsidRPr="00EA3D68">
        <w:rPr>
          <w:rFonts w:ascii="Arial" w:hAnsi="Arial" w:cs="Arial"/>
        </w:rPr>
        <w:t xml:space="preserve">Creation of a minimum stockholding obligation </w:t>
      </w:r>
      <w:r w:rsidR="00171ABC">
        <w:rPr>
          <w:rFonts w:ascii="Arial" w:hAnsi="Arial" w:cs="Arial"/>
        </w:rPr>
        <w:t xml:space="preserve">(MSO) </w:t>
      </w:r>
      <w:r w:rsidRPr="00EA3D68">
        <w:rPr>
          <w:rFonts w:ascii="Arial" w:hAnsi="Arial" w:cs="Arial"/>
        </w:rPr>
        <w:t>to safeguard key transport fuels, including increasing diesel stocks by 40 per cent</w:t>
      </w:r>
    </w:p>
    <w:p w14:paraId="6758A850" w14:textId="66000BD4" w:rsidR="00E92AE3" w:rsidRPr="00EA3D68" w:rsidRDefault="00E92AE3" w:rsidP="00EA3D68">
      <w:pPr>
        <w:pStyle w:val="ListParagraph"/>
        <w:numPr>
          <w:ilvl w:val="0"/>
          <w:numId w:val="75"/>
        </w:numPr>
        <w:spacing w:line="276" w:lineRule="auto"/>
        <w:rPr>
          <w:rFonts w:cs="Arial"/>
        </w:rPr>
      </w:pPr>
      <w:r w:rsidRPr="00FF5E4D">
        <w:rPr>
          <w:rFonts w:ascii="Arial" w:hAnsi="Arial" w:cs="Arial"/>
        </w:rPr>
        <w:t xml:space="preserve">Investment of $200 million in a competitive grants program to support up to 50 per cent of the costs of construction </w:t>
      </w:r>
      <w:r w:rsidR="006F2F54" w:rsidRPr="00FF5E4D">
        <w:rPr>
          <w:rFonts w:ascii="Arial" w:hAnsi="Arial" w:cs="Arial"/>
        </w:rPr>
        <w:t>to assist industry in meeting the additional diesel stockholding obligation</w:t>
      </w:r>
      <w:r w:rsidR="006F2F54">
        <w:rPr>
          <w:rFonts w:ascii="Arial" w:hAnsi="Arial" w:cs="Arial"/>
        </w:rPr>
        <w:t>.</w:t>
      </w:r>
    </w:p>
    <w:p w14:paraId="4F3DF83A" w14:textId="04C5DFF1" w:rsidR="00E92AE3" w:rsidRPr="00EA3D68" w:rsidRDefault="00E92AE3" w:rsidP="00EA3D68">
      <w:pPr>
        <w:pStyle w:val="ListParagraph"/>
        <w:numPr>
          <w:ilvl w:val="0"/>
          <w:numId w:val="75"/>
        </w:numPr>
        <w:spacing w:line="276" w:lineRule="auto"/>
        <w:rPr>
          <w:rFonts w:cs="Arial"/>
        </w:rPr>
      </w:pPr>
      <w:r w:rsidRPr="00EA3D68">
        <w:rPr>
          <w:rFonts w:ascii="Arial" w:hAnsi="Arial" w:cs="Arial"/>
        </w:rPr>
        <w:t xml:space="preserve">A </w:t>
      </w:r>
      <w:r w:rsidR="0062193F">
        <w:rPr>
          <w:rFonts w:ascii="Arial" w:hAnsi="Arial" w:cs="Arial"/>
        </w:rPr>
        <w:t xml:space="preserve">Government-funded adjustable </w:t>
      </w:r>
      <w:r w:rsidRPr="00EA3D68">
        <w:rPr>
          <w:rFonts w:ascii="Arial" w:hAnsi="Arial" w:cs="Arial"/>
        </w:rPr>
        <w:t xml:space="preserve">production payment </w:t>
      </w:r>
      <w:r w:rsidR="0062193F">
        <w:rPr>
          <w:rFonts w:ascii="Arial" w:hAnsi="Arial" w:cs="Arial"/>
        </w:rPr>
        <w:t xml:space="preserve">for refiners, </w:t>
      </w:r>
      <w:r w:rsidRPr="00EA3D68">
        <w:rPr>
          <w:rFonts w:ascii="Arial" w:hAnsi="Arial" w:cs="Arial"/>
        </w:rPr>
        <w:t xml:space="preserve">in recognition of the fuel security benefits </w:t>
      </w:r>
      <w:r w:rsidR="00EA3D68">
        <w:rPr>
          <w:rFonts w:ascii="Arial" w:hAnsi="Arial" w:cs="Arial"/>
        </w:rPr>
        <w:t xml:space="preserve">domestic </w:t>
      </w:r>
      <w:r w:rsidRPr="00EA3D68">
        <w:rPr>
          <w:rFonts w:ascii="Arial" w:hAnsi="Arial" w:cs="Arial"/>
        </w:rPr>
        <w:t>refineries provide Australia</w:t>
      </w:r>
    </w:p>
    <w:p w14:paraId="1768A9E1" w14:textId="730D022C" w:rsidR="00E92AE3" w:rsidRDefault="00E92AE3" w:rsidP="00EA3D68">
      <w:pPr>
        <w:pStyle w:val="ListParagraph"/>
        <w:numPr>
          <w:ilvl w:val="0"/>
          <w:numId w:val="75"/>
        </w:numPr>
        <w:spacing w:line="276" w:lineRule="auto"/>
        <w:rPr>
          <w:rFonts w:cs="Arial"/>
        </w:rPr>
      </w:pPr>
      <w:r w:rsidRPr="00EA3D68">
        <w:rPr>
          <w:rFonts w:ascii="Arial" w:hAnsi="Arial" w:cs="Arial"/>
        </w:rPr>
        <w:t>A</w:t>
      </w:r>
      <w:r w:rsidR="00171ABC">
        <w:rPr>
          <w:rFonts w:ascii="Arial" w:hAnsi="Arial" w:cs="Arial"/>
        </w:rPr>
        <w:t xml:space="preserve"> </w:t>
      </w:r>
      <w:r w:rsidRPr="00EA3D68">
        <w:rPr>
          <w:rFonts w:ascii="Arial" w:hAnsi="Arial" w:cs="Arial"/>
        </w:rPr>
        <w:t xml:space="preserve">Temporary Refinery Production Payment Program to provide interim support to </w:t>
      </w:r>
      <w:r w:rsidR="00171ABC">
        <w:rPr>
          <w:rFonts w:ascii="Arial" w:hAnsi="Arial" w:cs="Arial"/>
        </w:rPr>
        <w:t xml:space="preserve">domestic </w:t>
      </w:r>
      <w:r w:rsidR="00171ABC" w:rsidRPr="00171ABC">
        <w:rPr>
          <w:rFonts w:ascii="Arial" w:hAnsi="Arial" w:cs="Arial"/>
        </w:rPr>
        <w:t>refiner</w:t>
      </w:r>
      <w:r w:rsidRPr="00EA3D68">
        <w:rPr>
          <w:rFonts w:ascii="Arial" w:hAnsi="Arial" w:cs="Arial"/>
        </w:rPr>
        <w:t>s</w:t>
      </w:r>
      <w:r w:rsidR="000E1ADD">
        <w:rPr>
          <w:rFonts w:ascii="Arial" w:hAnsi="Arial" w:cs="Arial"/>
        </w:rPr>
        <w:t xml:space="preserve"> until such time as the permanent production payment is in place</w:t>
      </w:r>
    </w:p>
    <w:p w14:paraId="160326FC" w14:textId="36A632EA" w:rsidR="00171ABC" w:rsidRPr="00EA3D68" w:rsidRDefault="00171ABC" w:rsidP="00EA3D68">
      <w:pPr>
        <w:pStyle w:val="ListParagraph"/>
        <w:numPr>
          <w:ilvl w:val="0"/>
          <w:numId w:val="75"/>
        </w:numPr>
        <w:spacing w:line="276" w:lineRule="auto"/>
        <w:rPr>
          <w:rFonts w:cs="Arial"/>
        </w:rPr>
      </w:pPr>
      <w:r w:rsidRPr="00EA3D68">
        <w:rPr>
          <w:rFonts w:ascii="Arial" w:hAnsi="Arial" w:cs="Arial"/>
        </w:rPr>
        <w:t>Co</w:t>
      </w:r>
      <w:r w:rsidRPr="00EA3D68">
        <w:rPr>
          <w:rFonts w:ascii="Arial" w:hAnsi="Arial" w:cs="Arial"/>
        </w:rPr>
        <w:noBreakHyphen/>
        <w:t>investing with domestic refiners to undertake the necessary infrastructure upgrades required to provide better quality fuel</w:t>
      </w:r>
    </w:p>
    <w:p w14:paraId="2549EA4B" w14:textId="3615ABF2" w:rsidR="00E92AE3" w:rsidRPr="00EA3D68" w:rsidRDefault="00E92AE3" w:rsidP="00EA3D68">
      <w:pPr>
        <w:pStyle w:val="ListParagraph"/>
        <w:numPr>
          <w:ilvl w:val="0"/>
          <w:numId w:val="75"/>
        </w:numPr>
        <w:spacing w:line="276" w:lineRule="auto"/>
        <w:rPr>
          <w:rFonts w:cs="Arial"/>
        </w:rPr>
      </w:pPr>
      <w:r w:rsidRPr="00EA3D68">
        <w:rPr>
          <w:rFonts w:ascii="Arial" w:hAnsi="Arial" w:cs="Arial"/>
        </w:rPr>
        <w:t xml:space="preserve">A plan to modernise emergency and </w:t>
      </w:r>
      <w:r w:rsidR="00171ABC">
        <w:rPr>
          <w:rFonts w:ascii="Arial" w:hAnsi="Arial" w:cs="Arial"/>
        </w:rPr>
        <w:t xml:space="preserve">fuel </w:t>
      </w:r>
      <w:r w:rsidRPr="00EA3D68">
        <w:rPr>
          <w:rFonts w:ascii="Arial" w:hAnsi="Arial" w:cs="Arial"/>
        </w:rPr>
        <w:t>reporting legislation</w:t>
      </w:r>
      <w:r w:rsidR="000E1ADD">
        <w:rPr>
          <w:rFonts w:ascii="Arial" w:hAnsi="Arial" w:cs="Arial"/>
        </w:rPr>
        <w:t>.</w:t>
      </w:r>
    </w:p>
    <w:p w14:paraId="3F2304C3" w14:textId="0EE98871" w:rsidR="00715FC2" w:rsidRPr="00EA3D68" w:rsidRDefault="00171ABC" w:rsidP="00142181">
      <w:pPr>
        <w:spacing w:line="276" w:lineRule="auto"/>
      </w:pPr>
      <w:r>
        <w:t xml:space="preserve">The Package ensures Australia is </w:t>
      </w:r>
      <w:r w:rsidR="00E92AE3" w:rsidRPr="00EA3D68">
        <w:t xml:space="preserve">in a position where, under any scenario, </w:t>
      </w:r>
      <w:r>
        <w:t xml:space="preserve">fuel is available to those </w:t>
      </w:r>
      <w:r w:rsidR="00EA3D68">
        <w:t>who</w:t>
      </w:r>
      <w:r>
        <w:t xml:space="preserve"> need it</w:t>
      </w:r>
      <w:r w:rsidR="00F7240F">
        <w:t>. A sovereign refining capacity helps to maintain our fuel security and shields us from potential shocks in the future.</w:t>
      </w:r>
      <w:r w:rsidRPr="00EA3D68">
        <w:t> </w:t>
      </w:r>
    </w:p>
    <w:p w14:paraId="448A54D8" w14:textId="5B01B8B4" w:rsidR="0062193F" w:rsidRDefault="000451CD" w:rsidP="0062193F">
      <w:pPr>
        <w:spacing w:line="276" w:lineRule="auto"/>
      </w:pPr>
      <w:r w:rsidRPr="00C3636F">
        <w:t xml:space="preserve">This </w:t>
      </w:r>
      <w:r w:rsidRPr="00C3636F" w:rsidDel="006A466E">
        <w:t xml:space="preserve">Regulation Impact Statement </w:t>
      </w:r>
      <w:r>
        <w:t>(RIS)</w:t>
      </w:r>
      <w:r w:rsidRPr="00C3636F">
        <w:t xml:space="preserve"> </w:t>
      </w:r>
      <w:r>
        <w:t xml:space="preserve">examines </w:t>
      </w:r>
      <w:r w:rsidRPr="002A51D7" w:rsidDel="002A51D7">
        <w:t xml:space="preserve">the </w:t>
      </w:r>
      <w:r w:rsidDel="0000511A">
        <w:t>MSO</w:t>
      </w:r>
      <w:r w:rsidR="0062193F">
        <w:t xml:space="preserve">, </w:t>
      </w:r>
      <w:r w:rsidR="003E45F9">
        <w:t xml:space="preserve">permanent </w:t>
      </w:r>
      <w:r w:rsidR="0062193F">
        <w:t>production payment</w:t>
      </w:r>
      <w:r>
        <w:t xml:space="preserve"> and </w:t>
      </w:r>
      <w:r w:rsidR="0062193F">
        <w:t>funding</w:t>
      </w:r>
      <w:r>
        <w:t xml:space="preserve"> for </w:t>
      </w:r>
      <w:r w:rsidR="0062193F">
        <w:t>refinery upgrades.</w:t>
      </w:r>
      <w:r w:rsidRPr="00496135">
        <w:rPr>
          <w:rFonts w:cs="Arial"/>
        </w:rPr>
        <w:t xml:space="preserve"> </w:t>
      </w:r>
      <w:r w:rsidR="0062193F" w:rsidRPr="005724CC">
        <w:t>Th</w:t>
      </w:r>
      <w:r w:rsidR="0062193F">
        <w:t>e</w:t>
      </w:r>
      <w:r w:rsidR="0062193F" w:rsidRPr="005724CC">
        <w:t xml:space="preserve"> RIS focuses on the impacts of implementing these new measures a</w:t>
      </w:r>
      <w:r w:rsidR="0062193F" w:rsidRPr="00E92AE3">
        <w:t>nd the associated regulatory burden.</w:t>
      </w:r>
    </w:p>
    <w:p w14:paraId="5995C452" w14:textId="6F0513F5" w:rsidR="001B0ABD" w:rsidRPr="005724CC" w:rsidRDefault="00B21E4F" w:rsidP="00EA3D68">
      <w:pPr>
        <w:spacing w:line="276" w:lineRule="auto"/>
      </w:pPr>
      <w:r w:rsidRPr="00136F96">
        <w:t>T</w:t>
      </w:r>
      <w:r w:rsidR="00E73205" w:rsidRPr="00136F96">
        <w:t>h</w:t>
      </w:r>
      <w:r w:rsidR="00806527" w:rsidRPr="00136F96">
        <w:t>is</w:t>
      </w:r>
      <w:r w:rsidR="00833642" w:rsidRPr="00136F96">
        <w:t xml:space="preserve"> RIS </w:t>
      </w:r>
      <w:r w:rsidR="00E73205" w:rsidRPr="00136F96">
        <w:t>was</w:t>
      </w:r>
      <w:r w:rsidR="00833642" w:rsidRPr="00136F96">
        <w:t xml:space="preserve"> prepared and lodged with the Office of Best Practice Regulation for interim assessment</w:t>
      </w:r>
      <w:r w:rsidRPr="00136F96">
        <w:t xml:space="preserve"> as part of the 2020-21 Budget</w:t>
      </w:r>
      <w:r w:rsidR="00833642" w:rsidRPr="00136F96">
        <w:t>. At the point where the RIS supported</w:t>
      </w:r>
      <w:r w:rsidR="00833642">
        <w:t xml:space="preserve"> </w:t>
      </w:r>
      <w:r w:rsidR="0062193F">
        <w:t>the</w:t>
      </w:r>
      <w:r w:rsidR="00833642" w:rsidRPr="00136F96">
        <w:t xml:space="preserve"> announcement of a decision and enabling legislation, </w:t>
      </w:r>
      <w:r w:rsidR="004E74C3" w:rsidRPr="00136F96">
        <w:t xml:space="preserve">this </w:t>
      </w:r>
      <w:r w:rsidR="00833642" w:rsidRPr="00136F96">
        <w:t xml:space="preserve">RIS </w:t>
      </w:r>
      <w:r w:rsidR="00806527" w:rsidRPr="00136F96">
        <w:t>was</w:t>
      </w:r>
      <w:r w:rsidR="00833642" w:rsidRPr="00136F96">
        <w:t xml:space="preserve"> finalised and progressed through </w:t>
      </w:r>
      <w:r w:rsidR="006615CD" w:rsidRPr="00136F96">
        <w:t xml:space="preserve">first and </w:t>
      </w:r>
      <w:r w:rsidR="00833642" w:rsidRPr="00136F96">
        <w:t>second pass assessment.</w:t>
      </w:r>
      <w:r w:rsidR="000451CD" w:rsidRPr="00136F96">
        <w:t xml:space="preserve"> </w:t>
      </w:r>
    </w:p>
    <w:p w14:paraId="26223D7B" w14:textId="171C0AFB" w:rsidR="001B0ABD" w:rsidRPr="00AA50B7" w:rsidRDefault="001B0ABD" w:rsidP="00EA3D68">
      <w:pPr>
        <w:spacing w:line="276" w:lineRule="auto"/>
      </w:pPr>
      <w:r w:rsidRPr="00AA50B7">
        <w:t xml:space="preserve">This RIS does not assess </w:t>
      </w:r>
      <w:r w:rsidR="000E1ADD">
        <w:t xml:space="preserve">all </w:t>
      </w:r>
      <w:r w:rsidR="00BB1BE3">
        <w:t xml:space="preserve">the </w:t>
      </w:r>
      <w:r w:rsidRPr="00AA50B7">
        <w:t xml:space="preserve">measures </w:t>
      </w:r>
      <w:r w:rsidR="000E1ADD">
        <w:t>which form part of the Package. The modernisation of emergency and fuel reporting legislation</w:t>
      </w:r>
      <w:r w:rsidR="003E45F9">
        <w:t xml:space="preserve"> </w:t>
      </w:r>
      <w:r w:rsidR="00BB1BE3">
        <w:t>will</w:t>
      </w:r>
      <w:r w:rsidR="0062193F">
        <w:t xml:space="preserve"> </w:t>
      </w:r>
      <w:r w:rsidR="000E1ADD">
        <w:t xml:space="preserve">require </w:t>
      </w:r>
      <w:r w:rsidRPr="00AA50B7">
        <w:t xml:space="preserve">new legislation and will be assessed at a later point. </w:t>
      </w:r>
    </w:p>
    <w:p w14:paraId="52806D98" w14:textId="14B74FB6" w:rsidR="00F018A6" w:rsidRDefault="00E47426" w:rsidP="00EA3D68">
      <w:pPr>
        <w:spacing w:line="276" w:lineRule="auto"/>
      </w:pPr>
      <w:r w:rsidRPr="00AA50B7">
        <w:t>Th</w:t>
      </w:r>
      <w:r w:rsidR="000E1ADD">
        <w:t>is</w:t>
      </w:r>
      <w:r w:rsidRPr="00AA50B7">
        <w:t xml:space="preserve"> RIS</w:t>
      </w:r>
      <w:r w:rsidR="000E1ADD">
        <w:t xml:space="preserve"> also</w:t>
      </w:r>
      <w:r w:rsidRPr="00AA50B7">
        <w:t xml:space="preserve"> does not </w:t>
      </w:r>
      <w:r w:rsidR="00137DB5" w:rsidRPr="00AA50B7">
        <w:t xml:space="preserve">assess information relating to </w:t>
      </w:r>
      <w:r w:rsidRPr="00AA50B7">
        <w:t>previous decisi</w:t>
      </w:r>
      <w:r w:rsidR="00F90360" w:rsidRPr="00AA50B7">
        <w:t>ons</w:t>
      </w:r>
      <w:r w:rsidR="00137DB5" w:rsidRPr="00AA50B7">
        <w:t xml:space="preserve"> by Government</w:t>
      </w:r>
      <w:r w:rsidR="000E1ADD">
        <w:t>,</w:t>
      </w:r>
      <w:r w:rsidR="00137DB5" w:rsidRPr="00AA50B7">
        <w:t xml:space="preserve"> including Australia’s return to full compliance with </w:t>
      </w:r>
      <w:r w:rsidR="000E1ADD">
        <w:t xml:space="preserve">our International Energy Agency (IEA) </w:t>
      </w:r>
      <w:r w:rsidR="00137DB5" w:rsidRPr="00AA50B7">
        <w:t>obligations by 2026</w:t>
      </w:r>
      <w:r w:rsidR="00414B93" w:rsidRPr="00AA50B7">
        <w:t xml:space="preserve"> and </w:t>
      </w:r>
      <w:r w:rsidR="00B21E4F" w:rsidRPr="00AA50B7">
        <w:t xml:space="preserve">previous changes to </w:t>
      </w:r>
      <w:r w:rsidR="00414B93" w:rsidRPr="00AA50B7">
        <w:t>fuel quality standards</w:t>
      </w:r>
      <w:r w:rsidR="00A84EFC" w:rsidRPr="00AA50B7">
        <w:t>.</w:t>
      </w:r>
    </w:p>
    <w:p w14:paraId="55F4C814" w14:textId="77777777" w:rsidR="00F018A6" w:rsidRPr="00AA50B7" w:rsidRDefault="00F018A6" w:rsidP="00EA3D68"/>
    <w:p w14:paraId="49B0DD7B" w14:textId="55DFD654" w:rsidR="00F33E6E" w:rsidRPr="00AA50B7" w:rsidRDefault="00F33E6E" w:rsidP="00AA50B7">
      <w:pPr>
        <w:spacing w:before="0" w:after="200" w:line="276" w:lineRule="auto"/>
      </w:pPr>
    </w:p>
    <w:p w14:paraId="5B1AD8DA" w14:textId="7A6F276E" w:rsidR="00281F92" w:rsidRDefault="0026134B" w:rsidP="00EA3D68">
      <w:pPr>
        <w:pStyle w:val="Heading1"/>
        <w:numPr>
          <w:ilvl w:val="0"/>
          <w:numId w:val="73"/>
        </w:numPr>
      </w:pPr>
      <w:bookmarkStart w:id="22" w:name="_Toc65499053"/>
      <w:bookmarkStart w:id="23" w:name="_Toc65499482"/>
      <w:bookmarkStart w:id="24" w:name="_Toc67923584"/>
      <w:bookmarkStart w:id="25" w:name="_Toc67926821"/>
      <w:bookmarkStart w:id="26" w:name="_Toc68614680"/>
      <w:bookmarkStart w:id="27" w:name="_Toc69201384"/>
      <w:bookmarkStart w:id="28" w:name="_Toc69941548"/>
      <w:bookmarkStart w:id="29" w:name="_Toc70419834"/>
      <w:bookmarkStart w:id="30" w:name="_Toc72394916"/>
      <w:bookmarkStart w:id="31" w:name="_Toc72395659"/>
      <w:r>
        <w:lastRenderedPageBreak/>
        <w:t>What is t</w:t>
      </w:r>
      <w:r w:rsidR="00DE3C4A">
        <w:t xml:space="preserve">he </w:t>
      </w:r>
      <w:r>
        <w:t>p</w:t>
      </w:r>
      <w:r w:rsidR="00070E3D" w:rsidRPr="004423D7">
        <w:t>roblem</w:t>
      </w:r>
      <w:bookmarkEnd w:id="1"/>
      <w:bookmarkEnd w:id="2"/>
      <w:bookmarkEnd w:id="9"/>
      <w:bookmarkEnd w:id="8"/>
      <w:bookmarkEnd w:id="7"/>
      <w:bookmarkEnd w:id="6"/>
      <w:bookmarkEnd w:id="5"/>
      <w:bookmarkEnd w:id="4"/>
      <w:r>
        <w:t xml:space="preserve"> that Government is trying to solve?</w:t>
      </w:r>
      <w:bookmarkEnd w:id="19"/>
      <w:bookmarkEnd w:id="20"/>
      <w:bookmarkEnd w:id="21"/>
      <w:bookmarkEnd w:id="22"/>
      <w:bookmarkEnd w:id="23"/>
      <w:bookmarkEnd w:id="24"/>
      <w:bookmarkEnd w:id="25"/>
      <w:bookmarkEnd w:id="26"/>
      <w:bookmarkEnd w:id="27"/>
      <w:bookmarkEnd w:id="28"/>
      <w:bookmarkEnd w:id="29"/>
      <w:bookmarkEnd w:id="30"/>
      <w:bookmarkEnd w:id="31"/>
      <w:bookmarkEnd w:id="10"/>
    </w:p>
    <w:p w14:paraId="35E9FD9B" w14:textId="1B1C0B44" w:rsidR="00593F6F" w:rsidRDefault="00C110C9" w:rsidP="00475952">
      <w:pPr>
        <w:spacing w:before="0" w:after="200" w:line="276" w:lineRule="auto"/>
      </w:pPr>
      <w:r>
        <w:t xml:space="preserve">Liquid fuels underpin Australia’s </w:t>
      </w:r>
      <w:r w:rsidR="005473F2" w:rsidRPr="008C5FC1" w:rsidDel="00C110C9">
        <w:t>economy</w:t>
      </w:r>
      <w:r w:rsidR="00120C2E">
        <w:t>, particularly in the critical sectors of mining, agriculture and manufacturing.</w:t>
      </w:r>
      <w:r w:rsidR="005473F2" w:rsidRPr="008C5FC1">
        <w:t xml:space="preserve"> </w:t>
      </w:r>
      <w:r w:rsidR="009763C6">
        <w:t xml:space="preserve">More than half of the total energy Australians use comes from liquid fuels. </w:t>
      </w:r>
      <w:r w:rsidR="007463F2" w:rsidRPr="008C5FC1">
        <w:t>Growth in liquid fuel demand in Australia is much higher than that of countries with similar economies</w:t>
      </w:r>
      <w:r w:rsidR="007463F2">
        <w:t xml:space="preserve">. Prior to the COVID-19 pandemic, </w:t>
      </w:r>
      <w:r w:rsidR="00E33070">
        <w:t>Australia’s</w:t>
      </w:r>
      <w:r w:rsidR="009763C6" w:rsidRPr="00994C16">
        <w:t xml:space="preserve"> demand </w:t>
      </w:r>
      <w:r w:rsidR="007463F2">
        <w:t>for liquid fuels grew</w:t>
      </w:r>
      <w:r w:rsidR="009763C6">
        <w:t xml:space="preserve"> by </w:t>
      </w:r>
      <w:r w:rsidR="007463F2">
        <w:t xml:space="preserve">an average of 1.8 per cent per </w:t>
      </w:r>
      <w:r w:rsidR="007719C0">
        <w:t xml:space="preserve">year </w:t>
      </w:r>
      <w:r w:rsidR="00312458">
        <w:t>over a 10 year period to 2018-19</w:t>
      </w:r>
      <w:r w:rsidR="007463F2">
        <w:t>, outstripping population growth.</w:t>
      </w:r>
      <w:r w:rsidR="00432AF7">
        <w:t xml:space="preserve"> </w:t>
      </w:r>
      <w:r w:rsidR="007537C7" w:rsidRPr="00FF5E4D">
        <w:t>Over the same period, diesel demand grew by</w:t>
      </w:r>
      <w:r w:rsidR="00D913D8" w:rsidRPr="00FF5E4D">
        <w:t xml:space="preserve"> 5.0 per cent per year</w:t>
      </w:r>
      <w:r w:rsidR="00D6212F" w:rsidRPr="00FF5E4D">
        <w:t xml:space="preserve"> (DISER 2020a)</w:t>
      </w:r>
      <w:r w:rsidR="004C2A68" w:rsidRPr="00FF5E4D">
        <w:t>.</w:t>
      </w:r>
      <w:r w:rsidR="007537C7">
        <w:t xml:space="preserve"> </w:t>
      </w:r>
      <w:r w:rsidR="00312458">
        <w:t>The Australian economy is now experiencing a strong recovery from the COVID-19 downturn, with fuel c</w:t>
      </w:r>
      <w:r w:rsidR="009763C6">
        <w:t xml:space="preserve">onsumption projected </w:t>
      </w:r>
      <w:r w:rsidR="009763C6" w:rsidRPr="00994C16">
        <w:t>to</w:t>
      </w:r>
      <w:r w:rsidR="009763C6">
        <w:t xml:space="preserve"> </w:t>
      </w:r>
      <w:r w:rsidR="009763C6" w:rsidRPr="00994C16">
        <w:t xml:space="preserve">grow </w:t>
      </w:r>
      <w:r w:rsidR="00312458">
        <w:t>over</w:t>
      </w:r>
      <w:r w:rsidR="00312458" w:rsidRPr="00994C16">
        <w:t xml:space="preserve"> </w:t>
      </w:r>
      <w:r w:rsidR="009763C6" w:rsidRPr="00994C16">
        <w:t xml:space="preserve">the </w:t>
      </w:r>
      <w:r w:rsidR="007719C0">
        <w:t xml:space="preserve">coming </w:t>
      </w:r>
      <w:r w:rsidR="009763C6" w:rsidRPr="00994C16">
        <w:t>years</w:t>
      </w:r>
      <w:r w:rsidR="00593F6F">
        <w:t>.</w:t>
      </w:r>
      <w:r w:rsidR="00B31BB4">
        <w:t xml:space="preserve"> </w:t>
      </w:r>
      <w:r w:rsidR="00312458">
        <w:t>Concurrently over the last decade</w:t>
      </w:r>
      <w:r w:rsidR="007463F2">
        <w:t xml:space="preserve">, </w:t>
      </w:r>
      <w:r w:rsidR="00312458">
        <w:t xml:space="preserve">the </w:t>
      </w:r>
      <w:r w:rsidR="007463F2">
        <w:t>domestic production of liquid fuels has been in decline</w:t>
      </w:r>
      <w:r w:rsidR="00640765">
        <w:t xml:space="preserve">. Recent announcements of impending closures mean that soon only two domestic refineries will remain, </w:t>
      </w:r>
      <w:r w:rsidR="007463F2">
        <w:t xml:space="preserve">leaving </w:t>
      </w:r>
      <w:r w:rsidR="00312458">
        <w:t>Australia</w:t>
      </w:r>
      <w:r w:rsidR="007463F2">
        <w:t xml:space="preserve"> reliant on imports for </w:t>
      </w:r>
      <w:r w:rsidR="007463F2" w:rsidRPr="00640765">
        <w:t xml:space="preserve">around </w:t>
      </w:r>
      <w:r w:rsidR="00640765" w:rsidRPr="00F01A9C">
        <w:t>80</w:t>
      </w:r>
      <w:r w:rsidR="007463F2" w:rsidRPr="00640765">
        <w:t> per cent</w:t>
      </w:r>
      <w:r w:rsidR="007463F2">
        <w:t xml:space="preserve"> of our refined products.</w:t>
      </w:r>
    </w:p>
    <w:p w14:paraId="48316FEC" w14:textId="1E347650" w:rsidR="0041605D" w:rsidRDefault="00312458" w:rsidP="00475952">
      <w:pPr>
        <w:spacing w:before="0" w:after="200" w:line="276" w:lineRule="auto"/>
      </w:pPr>
      <w:r>
        <w:t xml:space="preserve">While Australia’s </w:t>
      </w:r>
      <w:r w:rsidR="009763C6">
        <w:t xml:space="preserve">international supply chains </w:t>
      </w:r>
      <w:r>
        <w:t>for liquid fuel</w:t>
      </w:r>
      <w:r w:rsidR="00B21E4F">
        <w:t>s</w:t>
      </w:r>
      <w:r>
        <w:t xml:space="preserve"> </w:t>
      </w:r>
      <w:r w:rsidR="00B21E4F">
        <w:t>are</w:t>
      </w:r>
      <w:r>
        <w:t xml:space="preserve"> diverse, our reliance on</w:t>
      </w:r>
      <w:r w:rsidR="009F293B">
        <w:t xml:space="preserve"> the</w:t>
      </w:r>
      <w:r>
        <w:t xml:space="preserve"> import</w:t>
      </w:r>
      <w:r w:rsidR="009F293B">
        <w:t xml:space="preserve"> of refined products</w:t>
      </w:r>
      <w:r>
        <w:t xml:space="preserve"> </w:t>
      </w:r>
      <w:r w:rsidR="009763C6">
        <w:t xml:space="preserve">for domestic fuel security </w:t>
      </w:r>
      <w:r w:rsidR="004F0CE7">
        <w:t>means that Australia is</w:t>
      </w:r>
      <w:r w:rsidR="009763C6">
        <w:t xml:space="preserve"> potentially vulnerable to </w:t>
      </w:r>
      <w:r w:rsidR="00147752">
        <w:t>moderate to severe</w:t>
      </w:r>
      <w:r w:rsidR="009F293B">
        <w:t xml:space="preserve"> supply chain</w:t>
      </w:r>
      <w:r w:rsidR="009763C6">
        <w:t xml:space="preserve"> </w:t>
      </w:r>
      <w:r w:rsidR="009F293B">
        <w:t xml:space="preserve">disruptions, particularly </w:t>
      </w:r>
      <w:r w:rsidR="001E7B1A">
        <w:t>across</w:t>
      </w:r>
      <w:r w:rsidR="009F293B">
        <w:t xml:space="preserve"> the Asia-Pacific region</w:t>
      </w:r>
      <w:r w:rsidR="009763C6">
        <w:t xml:space="preserve">. </w:t>
      </w:r>
      <w:r w:rsidR="004F0CE7">
        <w:t>Sourcing 98 per cent of its energy from liquid fuels, Australia’s transport sector</w:t>
      </w:r>
      <w:r w:rsidR="00047692">
        <w:t xml:space="preserve"> represents </w:t>
      </w:r>
      <w:r w:rsidR="00AA0AAD">
        <w:t xml:space="preserve">69 per cent </w:t>
      </w:r>
      <w:r w:rsidR="00047692">
        <w:t>of Australia’s liquid fuel demand</w:t>
      </w:r>
      <w:r w:rsidR="009F293B">
        <w:t>. Transport</w:t>
      </w:r>
      <w:r w:rsidR="00047692">
        <w:t xml:space="preserve"> </w:t>
      </w:r>
      <w:r w:rsidR="004F0CE7">
        <w:t>is</w:t>
      </w:r>
      <w:r w:rsidR="009F293B">
        <w:t xml:space="preserve"> therefore</w:t>
      </w:r>
      <w:r w:rsidR="004F0CE7">
        <w:t xml:space="preserve"> highly exposed to supply disruptions and has limited alternatives</w:t>
      </w:r>
      <w:r w:rsidR="00AF46B6">
        <w:t>. T</w:t>
      </w:r>
      <w:r w:rsidR="009763C6" w:rsidRPr="00994C16">
        <w:t>he mining and agricultural sector</w:t>
      </w:r>
      <w:r w:rsidR="009763C6">
        <w:t>s</w:t>
      </w:r>
      <w:r w:rsidR="009763C6" w:rsidRPr="00994C16">
        <w:t xml:space="preserve"> are </w:t>
      </w:r>
      <w:r w:rsidR="009F293B">
        <w:t xml:space="preserve">particularly </w:t>
      </w:r>
      <w:r w:rsidR="00A15D98" w:rsidRPr="00994C16">
        <w:t>dependent</w:t>
      </w:r>
      <w:r w:rsidR="009763C6" w:rsidRPr="00994C16">
        <w:t xml:space="preserve"> on </w:t>
      </w:r>
      <w:r w:rsidR="009F293B">
        <w:t xml:space="preserve">the reliable supply of </w:t>
      </w:r>
      <w:r w:rsidR="009763C6">
        <w:t xml:space="preserve">diesel </w:t>
      </w:r>
      <w:r w:rsidR="009763C6" w:rsidRPr="00994C16">
        <w:t xml:space="preserve">for </w:t>
      </w:r>
      <w:r w:rsidR="004F0CE7">
        <w:t>their operations</w:t>
      </w:r>
      <w:r w:rsidR="009763C6">
        <w:t>,</w:t>
      </w:r>
      <w:r w:rsidR="009763C6" w:rsidRPr="00994C16">
        <w:t xml:space="preserve"> </w:t>
      </w:r>
      <w:r w:rsidR="009763C6">
        <w:t xml:space="preserve">representing 10 per cent and 4 per cent of Australia’s </w:t>
      </w:r>
      <w:r w:rsidR="009F293B">
        <w:t xml:space="preserve">total </w:t>
      </w:r>
      <w:r w:rsidR="009763C6">
        <w:t>liquid fuel demand respectively</w:t>
      </w:r>
      <w:r w:rsidR="001E7B1A">
        <w:t xml:space="preserve"> (Figure 1)</w:t>
      </w:r>
      <w:r w:rsidR="009F293B">
        <w:t>. Furthermore</w:t>
      </w:r>
      <w:r w:rsidR="004F0CE7">
        <w:t xml:space="preserve">, </w:t>
      </w:r>
      <w:r w:rsidR="001A63DF">
        <w:t xml:space="preserve">some </w:t>
      </w:r>
      <w:r w:rsidR="009763C6" w:rsidRPr="00994C16">
        <w:t xml:space="preserve">remote regions </w:t>
      </w:r>
      <w:r w:rsidR="004F0CE7">
        <w:t>rely</w:t>
      </w:r>
      <w:r w:rsidR="0023410F">
        <w:t xml:space="preserve"> on</w:t>
      </w:r>
      <w:r w:rsidR="009763C6" w:rsidRPr="00994C16">
        <w:t xml:space="preserve"> liquid fuel</w:t>
      </w:r>
      <w:r w:rsidR="004F0CE7">
        <w:t>s</w:t>
      </w:r>
      <w:r w:rsidR="009763C6" w:rsidRPr="00994C16">
        <w:t xml:space="preserve"> to generate </w:t>
      </w:r>
      <w:r w:rsidR="009F293B">
        <w:t>electricity</w:t>
      </w:r>
      <w:r w:rsidR="009763C6" w:rsidRPr="00994C16">
        <w:t>.</w:t>
      </w:r>
    </w:p>
    <w:p w14:paraId="632DF910" w14:textId="77777777" w:rsidR="00A15D98" w:rsidRDefault="00A15D98" w:rsidP="00A15D98">
      <w:pPr>
        <w:keepNext/>
        <w:spacing w:before="0" w:after="0" w:line="276" w:lineRule="auto"/>
      </w:pPr>
      <w:r w:rsidRPr="00F01A9C">
        <w:rPr>
          <w:noProof/>
          <w:color w:val="005677"/>
          <w:lang w:eastAsia="en-AU"/>
        </w:rPr>
        <w:drawing>
          <wp:inline distT="0" distB="0" distL="0" distR="0" wp14:anchorId="2A3C37F3" wp14:editId="54904B22">
            <wp:extent cx="5727700" cy="3131127"/>
            <wp:effectExtent l="0" t="0" r="0" b="0"/>
            <wp:docPr id="31" name="Chart 31" descr="This chart presents liquid fuel use per sector as a share of total share of total liquid fuel consumption, for the financial year 2017-18. "/>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5B8D23F" w14:textId="1DD73B52" w:rsidR="00A15D98" w:rsidRPr="00F01A9C" w:rsidRDefault="00A15D98" w:rsidP="00A15D98">
      <w:pPr>
        <w:pStyle w:val="Caption"/>
        <w:jc w:val="center"/>
        <w:rPr>
          <w:color w:val="005677"/>
        </w:rPr>
      </w:pPr>
      <w:r w:rsidRPr="00F01A9C">
        <w:rPr>
          <w:color w:val="005677"/>
        </w:rPr>
        <w:t xml:space="preserve">Figure </w:t>
      </w:r>
      <w:r w:rsidR="00A458A0" w:rsidRPr="00F01A9C">
        <w:rPr>
          <w:color w:val="005677"/>
        </w:rPr>
        <w:fldChar w:fldCharType="begin"/>
      </w:r>
      <w:r w:rsidR="00A458A0" w:rsidRPr="00F01A9C">
        <w:rPr>
          <w:color w:val="005677"/>
        </w:rPr>
        <w:instrText xml:space="preserve"> SEQ Figure \* ARABIC </w:instrText>
      </w:r>
      <w:r w:rsidR="00A458A0" w:rsidRPr="00F01A9C">
        <w:rPr>
          <w:color w:val="005677"/>
        </w:rPr>
        <w:fldChar w:fldCharType="separate"/>
      </w:r>
      <w:r w:rsidR="006A6B29">
        <w:rPr>
          <w:noProof/>
          <w:color w:val="005677"/>
        </w:rPr>
        <w:t>1</w:t>
      </w:r>
      <w:r w:rsidR="00A458A0" w:rsidRPr="00F01A9C">
        <w:rPr>
          <w:color w:val="005677"/>
        </w:rPr>
        <w:fldChar w:fldCharType="end"/>
      </w:r>
      <w:r w:rsidRPr="00F01A9C">
        <w:rPr>
          <w:color w:val="005677"/>
        </w:rPr>
        <w:t>: Liquid fuel use per sector as a share of total share of total liquid fuel consumption, 2017–18</w:t>
      </w:r>
    </w:p>
    <w:p w14:paraId="74BC0356" w14:textId="23FE8B58" w:rsidR="00570B52" w:rsidRPr="00276B0C" w:rsidRDefault="00570B52" w:rsidP="00F50381">
      <w:pPr>
        <w:spacing w:before="0" w:after="200" w:line="276" w:lineRule="auto"/>
      </w:pPr>
      <w:r w:rsidRPr="00FF5E4D">
        <w:t>Businesses, both fuel suppliers and large fuel users, manage market risks through long-term contracts or maintaining their own stocks. These mechanisms have worked well and add stability to the market under normal market conditions.</w:t>
      </w:r>
      <w:r w:rsidRPr="00276B0C">
        <w:t xml:space="preserve"> </w:t>
      </w:r>
    </w:p>
    <w:p w14:paraId="648F797B" w14:textId="1C132CD0" w:rsidR="007579F9" w:rsidRDefault="00570B52" w:rsidP="00475952">
      <w:pPr>
        <w:spacing w:before="0" w:after="200" w:line="276" w:lineRule="auto"/>
      </w:pPr>
      <w:r>
        <w:lastRenderedPageBreak/>
        <w:t>However, a</w:t>
      </w:r>
      <w:r w:rsidR="007579F9" w:rsidRPr="005827AB">
        <w:t xml:space="preserve"> major disruption to liquid fuel supply would result in significant impacts</w:t>
      </w:r>
      <w:r w:rsidR="00A03BFB">
        <w:t xml:space="preserve"> to the Australian economy.</w:t>
      </w:r>
      <w:r w:rsidR="007579F9" w:rsidRPr="005827AB">
        <w:t xml:space="preserve"> In the event of a total stoppage of supply, Australia’s GDP </w:t>
      </w:r>
      <w:r w:rsidR="00343B9C">
        <w:t>is estimated to</w:t>
      </w:r>
      <w:r w:rsidR="007579F9" w:rsidRPr="005827AB">
        <w:t xml:space="preserve"> fall over a six-month period by 31.8 per cent, which is equivalent to a reduction of around </w:t>
      </w:r>
      <w:r w:rsidR="007579F9" w:rsidRPr="000E577F">
        <w:t>$225</w:t>
      </w:r>
      <w:r w:rsidR="003E704B" w:rsidRPr="000E577F">
        <w:t> </w:t>
      </w:r>
      <w:r w:rsidR="007579F9" w:rsidRPr="000E577F">
        <w:t>billion</w:t>
      </w:r>
      <w:r w:rsidR="002733F3" w:rsidRPr="000E577F">
        <w:t>.</w:t>
      </w:r>
    </w:p>
    <w:p w14:paraId="20F9935E" w14:textId="195A7B98" w:rsidR="00177C26" w:rsidRDefault="00390D69">
      <w:pPr>
        <w:spacing w:before="0" w:after="200" w:line="276" w:lineRule="auto"/>
      </w:pPr>
      <w:r>
        <w:t>Policy consideration of</w:t>
      </w:r>
      <w:r w:rsidR="000E577F">
        <w:t xml:space="preserve"> Australia’s liquid fuel sector is centred on the appropriate management of future risks and ensuring we are prepared for supply disruptions, should they arise. </w:t>
      </w:r>
      <w:r w:rsidR="003E704B">
        <w:t>Improving Australia’s fuel security will increase our self-sufficiency during emergencies</w:t>
      </w:r>
      <w:r w:rsidR="001E7B1A">
        <w:t>. This strategy includes</w:t>
      </w:r>
      <w:r w:rsidR="003E704B">
        <w:t xml:space="preserve"> reinforc</w:t>
      </w:r>
      <w:r w:rsidR="001E7B1A">
        <w:t>ing</w:t>
      </w:r>
      <w:r w:rsidR="003E704B">
        <w:t xml:space="preserve"> </w:t>
      </w:r>
      <w:r w:rsidR="001E7B1A">
        <w:t xml:space="preserve">fuel </w:t>
      </w:r>
      <w:r w:rsidR="003E704B">
        <w:t>supply chains</w:t>
      </w:r>
      <w:r w:rsidR="001E7B1A">
        <w:t xml:space="preserve">, increasing strategic </w:t>
      </w:r>
      <w:r w:rsidR="003E704B">
        <w:t>storage capacity</w:t>
      </w:r>
      <w:r w:rsidR="001E7B1A">
        <w:t>,</w:t>
      </w:r>
      <w:r w:rsidR="003E704B">
        <w:t xml:space="preserve"> </w:t>
      </w:r>
      <w:r w:rsidR="007547F9">
        <w:t xml:space="preserve">and </w:t>
      </w:r>
      <w:r w:rsidR="003E704B" w:rsidRPr="003C1053">
        <w:t>retain</w:t>
      </w:r>
      <w:r w:rsidR="001E7B1A">
        <w:t>ing</w:t>
      </w:r>
      <w:r w:rsidR="003E704B" w:rsidRPr="003C1053">
        <w:t xml:space="preserve"> the refining </w:t>
      </w:r>
      <w:r w:rsidR="001E7B1A">
        <w:t>capability required</w:t>
      </w:r>
      <w:r w:rsidR="003E704B" w:rsidRPr="003C1053">
        <w:t xml:space="preserve"> </w:t>
      </w:r>
      <w:r w:rsidR="001E7B1A">
        <w:t>to maintain critical services to ensure Australia is prepared for future supply disruptions</w:t>
      </w:r>
      <w:r w:rsidR="003E704B">
        <w:t>.</w:t>
      </w:r>
    </w:p>
    <w:p w14:paraId="107CA143" w14:textId="3080BC4B" w:rsidR="001C4407" w:rsidRDefault="001C4407" w:rsidP="00EA3D68">
      <w:pPr>
        <w:pStyle w:val="BodyText"/>
        <w:spacing w:line="276" w:lineRule="auto"/>
      </w:pPr>
      <w:r w:rsidRPr="00475952">
        <w:rPr>
          <w:rFonts w:ascii="Arial" w:hAnsi="Arial" w:cs="Arial"/>
        </w:rPr>
        <w:t xml:space="preserve">In a worst case scenario, </w:t>
      </w:r>
      <w:r>
        <w:rPr>
          <w:rFonts w:ascii="Arial" w:hAnsi="Arial" w:cs="Arial"/>
        </w:rPr>
        <w:t xml:space="preserve">Australia may not be able to import liquid fuels. </w:t>
      </w:r>
      <w:r w:rsidR="003E45F9">
        <w:rPr>
          <w:rFonts w:ascii="Arial" w:hAnsi="Arial" w:cs="Arial"/>
        </w:rPr>
        <w:t>Having a</w:t>
      </w:r>
      <w:r w:rsidRPr="007D2E0B">
        <w:rPr>
          <w:rFonts w:ascii="Arial" w:hAnsi="Arial" w:cs="Arial"/>
        </w:rPr>
        <w:t xml:space="preserve"> domestic refining capability means that</w:t>
      </w:r>
      <w:r w:rsidR="003E45F9">
        <w:rPr>
          <w:rFonts w:ascii="Arial" w:hAnsi="Arial" w:cs="Arial"/>
        </w:rPr>
        <w:t>,</w:t>
      </w:r>
      <w:r w:rsidRPr="007D2E0B">
        <w:rPr>
          <w:rFonts w:ascii="Arial" w:hAnsi="Arial" w:cs="Arial"/>
        </w:rPr>
        <w:t xml:space="preserve"> in a large-scale emergency, Australia is able to refine the crude oil that is produced in the country to maintain liquid fuel supply</w:t>
      </w:r>
      <w:r>
        <w:rPr>
          <w:rFonts w:ascii="Arial" w:hAnsi="Arial" w:cs="Arial"/>
        </w:rPr>
        <w:t xml:space="preserve"> for critical services</w:t>
      </w:r>
      <w:r w:rsidRPr="007D2E0B">
        <w:rPr>
          <w:rFonts w:ascii="Arial" w:hAnsi="Arial" w:cs="Arial"/>
        </w:rPr>
        <w:t>.</w:t>
      </w:r>
      <w:r>
        <w:rPr>
          <w:rFonts w:ascii="Arial" w:hAnsi="Arial" w:cs="Arial"/>
        </w:rPr>
        <w:t xml:space="preserve"> The fewer onshore refineries we maintain, the more vulnerable Australia is to supply shortfalls (see Table 1).</w:t>
      </w:r>
      <w:r>
        <w:t xml:space="preserve">  </w:t>
      </w:r>
    </w:p>
    <w:tbl>
      <w:tblPr>
        <w:tblW w:w="9635" w:type="dxa"/>
        <w:tblLayout w:type="fixed"/>
        <w:tblCellMar>
          <w:left w:w="0" w:type="dxa"/>
          <w:right w:w="0" w:type="dxa"/>
        </w:tblCellMar>
        <w:tblLook w:val="04A0" w:firstRow="1" w:lastRow="0" w:firstColumn="1" w:lastColumn="0" w:noHBand="0" w:noVBand="1"/>
      </w:tblPr>
      <w:tblGrid>
        <w:gridCol w:w="9635"/>
      </w:tblGrid>
      <w:tr w:rsidR="001C4407" w14:paraId="7BA5A9BB" w14:textId="77777777" w:rsidTr="00E2770E">
        <w:trPr>
          <w:trHeight w:val="2204"/>
        </w:trPr>
        <w:tc>
          <w:tcPr>
            <w:tcW w:w="96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433D4A" w14:textId="4A062876" w:rsidR="001C4407" w:rsidRPr="00FF5E4D" w:rsidRDefault="001C4407" w:rsidP="00F50381">
            <w:pPr>
              <w:ind w:left="369" w:hanging="369"/>
              <w:jc w:val="center"/>
              <w:rPr>
                <w:b/>
                <w:sz w:val="20"/>
                <w:szCs w:val="20"/>
                <w:lang w:eastAsia="en-AU"/>
              </w:rPr>
            </w:pPr>
            <w:r w:rsidRPr="00FF5E4D">
              <w:rPr>
                <w:b/>
                <w:sz w:val="20"/>
                <w:szCs w:val="20"/>
                <w:lang w:eastAsia="en-AU"/>
              </w:rPr>
              <w:t xml:space="preserve">Proportion of demand </w:t>
            </w:r>
            <w:r w:rsidR="00F7145E" w:rsidRPr="00FF5E4D">
              <w:rPr>
                <w:b/>
                <w:sz w:val="20"/>
                <w:szCs w:val="20"/>
                <w:lang w:eastAsia="en-AU"/>
              </w:rPr>
              <w:t xml:space="preserve">that supports critical services </w:t>
            </w:r>
            <w:r w:rsidRPr="00FF5E4D">
              <w:rPr>
                <w:b/>
                <w:sz w:val="20"/>
                <w:szCs w:val="20"/>
                <w:lang w:eastAsia="en-AU"/>
              </w:rPr>
              <w:t>(% normal demand)</w:t>
            </w:r>
          </w:p>
          <w:tbl>
            <w:tblPr>
              <w:tblW w:w="0" w:type="auto"/>
              <w:jc w:val="center"/>
              <w:tblLayout w:type="fixed"/>
              <w:tblCellMar>
                <w:left w:w="0" w:type="dxa"/>
                <w:right w:w="0" w:type="dxa"/>
              </w:tblCellMar>
              <w:tblLook w:val="04A0" w:firstRow="1" w:lastRow="0" w:firstColumn="1" w:lastColumn="0" w:noHBand="0" w:noVBand="1"/>
            </w:tblPr>
            <w:tblGrid>
              <w:gridCol w:w="1247"/>
              <w:gridCol w:w="2126"/>
            </w:tblGrid>
            <w:tr w:rsidR="00F7145E" w:rsidRPr="00C716DD" w14:paraId="251FCA04" w14:textId="77777777" w:rsidTr="00E2770E">
              <w:trPr>
                <w:trHeight w:val="408"/>
                <w:jc w:val="center"/>
              </w:trPr>
              <w:tc>
                <w:tcPr>
                  <w:tcW w:w="12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931154" w14:textId="77777777" w:rsidR="00F7145E" w:rsidRPr="00FF5E4D" w:rsidRDefault="00F7145E" w:rsidP="00F61BDB">
                  <w:pPr>
                    <w:rPr>
                      <w:b/>
                      <w:sz w:val="20"/>
                      <w:szCs w:val="20"/>
                      <w:lang w:eastAsia="en-AU"/>
                    </w:rPr>
                  </w:pPr>
                </w:p>
              </w:tc>
              <w:tc>
                <w:tcPr>
                  <w:tcW w:w="212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26F5BC1" w14:textId="77777777" w:rsidR="00F7145E" w:rsidRPr="00FF5E4D" w:rsidRDefault="00F7145E" w:rsidP="00F61BDB">
                  <w:pPr>
                    <w:spacing w:after="0" w:line="252" w:lineRule="auto"/>
                    <w:jc w:val="center"/>
                    <w:rPr>
                      <w:rFonts w:ascii="Calibri" w:hAnsi="Calibri" w:cs="Calibri"/>
                      <w:b/>
                      <w:color w:val="000000"/>
                      <w:sz w:val="18"/>
                      <w:szCs w:val="18"/>
                      <w:lang w:eastAsia="en-AU"/>
                    </w:rPr>
                  </w:pPr>
                  <w:r w:rsidRPr="00FF5E4D">
                    <w:rPr>
                      <w:b/>
                      <w:color w:val="000000"/>
                      <w:sz w:val="18"/>
                      <w:szCs w:val="18"/>
                      <w:lang w:eastAsia="en-AU"/>
                    </w:rPr>
                    <w:t xml:space="preserve">Demand that supports critical services </w:t>
                  </w:r>
                </w:p>
              </w:tc>
            </w:tr>
            <w:tr w:rsidR="00F7145E" w:rsidRPr="00C716DD" w14:paraId="7AC8AAD0" w14:textId="77777777" w:rsidTr="00E2770E">
              <w:trPr>
                <w:trHeight w:val="241"/>
                <w:jc w:val="center"/>
              </w:trPr>
              <w:tc>
                <w:tcPr>
                  <w:tcW w:w="124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F95B932" w14:textId="77777777" w:rsidR="00F7145E" w:rsidRPr="00FF5E4D" w:rsidRDefault="00F7145E" w:rsidP="00F61BDB">
                  <w:pPr>
                    <w:spacing w:after="0" w:line="252" w:lineRule="auto"/>
                    <w:rPr>
                      <w:rFonts w:ascii="Calibri" w:hAnsi="Calibri" w:cs="Calibri"/>
                      <w:b/>
                      <w:color w:val="000000"/>
                      <w:sz w:val="18"/>
                      <w:szCs w:val="18"/>
                      <w:lang w:eastAsia="en-AU"/>
                    </w:rPr>
                  </w:pPr>
                  <w:r w:rsidRPr="00FF5E4D">
                    <w:rPr>
                      <w:b/>
                      <w:color w:val="000000"/>
                      <w:sz w:val="18"/>
                      <w:szCs w:val="18"/>
                      <w:lang w:eastAsia="en-AU"/>
                    </w:rPr>
                    <w:t>Diesel</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E3949B" w14:textId="77777777" w:rsidR="00F7145E" w:rsidRPr="00FF5E4D" w:rsidRDefault="00F7145E" w:rsidP="00F61BDB">
                  <w:pPr>
                    <w:spacing w:after="0" w:line="252" w:lineRule="auto"/>
                    <w:jc w:val="center"/>
                    <w:rPr>
                      <w:rFonts w:ascii="Calibri" w:hAnsi="Calibri" w:cs="Calibri"/>
                      <w:color w:val="000000"/>
                      <w:sz w:val="18"/>
                      <w:szCs w:val="18"/>
                      <w:lang w:eastAsia="en-AU"/>
                    </w:rPr>
                  </w:pPr>
                  <w:r w:rsidRPr="00FF5E4D">
                    <w:rPr>
                      <w:color w:val="000000"/>
                      <w:sz w:val="18"/>
                      <w:szCs w:val="18"/>
                      <w:lang w:eastAsia="en-AU"/>
                    </w:rPr>
                    <w:t>16%</w:t>
                  </w:r>
                </w:p>
              </w:tc>
            </w:tr>
            <w:tr w:rsidR="00F7145E" w:rsidRPr="00C716DD" w14:paraId="7E656298" w14:textId="77777777" w:rsidTr="00E2770E">
              <w:trPr>
                <w:trHeight w:val="273"/>
                <w:jc w:val="center"/>
              </w:trPr>
              <w:tc>
                <w:tcPr>
                  <w:tcW w:w="124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F4DE9B7" w14:textId="77777777" w:rsidR="00F7145E" w:rsidRPr="00FF5E4D" w:rsidRDefault="00F7145E" w:rsidP="00F61BDB">
                  <w:pPr>
                    <w:spacing w:after="0" w:line="252" w:lineRule="auto"/>
                    <w:rPr>
                      <w:rFonts w:ascii="Calibri" w:hAnsi="Calibri" w:cs="Calibri"/>
                      <w:b/>
                      <w:color w:val="000000"/>
                      <w:sz w:val="18"/>
                      <w:szCs w:val="18"/>
                      <w:lang w:eastAsia="en-AU"/>
                    </w:rPr>
                  </w:pPr>
                  <w:r w:rsidRPr="00FF5E4D">
                    <w:rPr>
                      <w:b/>
                      <w:color w:val="000000"/>
                      <w:sz w:val="18"/>
                      <w:szCs w:val="18"/>
                      <w:lang w:eastAsia="en-AU"/>
                    </w:rPr>
                    <w:t>Petrol</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F677FA" w14:textId="77777777" w:rsidR="00F7145E" w:rsidRPr="00FF5E4D" w:rsidRDefault="00F7145E" w:rsidP="00F61BDB">
                  <w:pPr>
                    <w:spacing w:after="0" w:line="252" w:lineRule="auto"/>
                    <w:jc w:val="center"/>
                    <w:rPr>
                      <w:rFonts w:ascii="Calibri" w:hAnsi="Calibri" w:cs="Calibri"/>
                      <w:color w:val="000000"/>
                      <w:sz w:val="18"/>
                      <w:szCs w:val="18"/>
                      <w:lang w:eastAsia="en-AU"/>
                    </w:rPr>
                  </w:pPr>
                  <w:r w:rsidRPr="00FF5E4D">
                    <w:rPr>
                      <w:color w:val="000000"/>
                      <w:sz w:val="18"/>
                      <w:szCs w:val="18"/>
                      <w:lang w:eastAsia="en-AU"/>
                    </w:rPr>
                    <w:t>4%</w:t>
                  </w:r>
                </w:p>
              </w:tc>
            </w:tr>
            <w:tr w:rsidR="00F7145E" w:rsidRPr="00C716DD" w14:paraId="5DBA855E" w14:textId="77777777" w:rsidTr="00E2770E">
              <w:trPr>
                <w:trHeight w:val="135"/>
                <w:jc w:val="center"/>
              </w:trPr>
              <w:tc>
                <w:tcPr>
                  <w:tcW w:w="124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846AF1" w14:textId="77777777" w:rsidR="00F7145E" w:rsidRPr="00FF5E4D" w:rsidRDefault="00F7145E" w:rsidP="00F61BDB">
                  <w:pPr>
                    <w:spacing w:after="0" w:line="252" w:lineRule="auto"/>
                    <w:rPr>
                      <w:rFonts w:ascii="Calibri" w:hAnsi="Calibri" w:cs="Calibri"/>
                      <w:b/>
                      <w:color w:val="000000"/>
                      <w:sz w:val="18"/>
                      <w:szCs w:val="18"/>
                      <w:lang w:eastAsia="en-AU"/>
                    </w:rPr>
                  </w:pPr>
                  <w:r w:rsidRPr="00FF5E4D">
                    <w:rPr>
                      <w:b/>
                      <w:color w:val="000000"/>
                      <w:sz w:val="18"/>
                      <w:szCs w:val="18"/>
                      <w:lang w:eastAsia="en-AU"/>
                    </w:rPr>
                    <w:t>Jet</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6729C7" w14:textId="77777777" w:rsidR="00F7145E" w:rsidRPr="00FF5E4D" w:rsidRDefault="00F7145E" w:rsidP="00F61BDB">
                  <w:pPr>
                    <w:spacing w:after="0" w:line="252" w:lineRule="auto"/>
                    <w:jc w:val="center"/>
                    <w:rPr>
                      <w:rFonts w:ascii="Calibri" w:hAnsi="Calibri" w:cs="Calibri"/>
                      <w:color w:val="000000"/>
                      <w:sz w:val="18"/>
                      <w:szCs w:val="18"/>
                      <w:lang w:eastAsia="en-AU"/>
                    </w:rPr>
                  </w:pPr>
                  <w:r w:rsidRPr="00FF5E4D">
                    <w:rPr>
                      <w:color w:val="000000"/>
                      <w:sz w:val="18"/>
                      <w:szCs w:val="18"/>
                      <w:lang w:eastAsia="en-AU"/>
                    </w:rPr>
                    <w:t>6%</w:t>
                  </w:r>
                </w:p>
              </w:tc>
            </w:tr>
          </w:tbl>
          <w:p w14:paraId="579B4B54" w14:textId="77777777" w:rsidR="001C4407" w:rsidRPr="00FF5E4D" w:rsidRDefault="001C4407" w:rsidP="00F61BDB">
            <w:pPr>
              <w:rPr>
                <w:rFonts w:ascii="Calibri" w:hAnsi="Calibri" w:cs="Calibri"/>
                <w:i/>
                <w:sz w:val="16"/>
                <w:szCs w:val="16"/>
              </w:rPr>
            </w:pPr>
            <w:r w:rsidRPr="00FF5E4D">
              <w:rPr>
                <w:i/>
                <w:sz w:val="16"/>
                <w:szCs w:val="16"/>
              </w:rPr>
              <w:t>Critical services includes: Emergency services, public health care, pharmaceutical and medical; telecommunication, distribution of water and sewerage; food and essential goods; gas, electricity and fuels; domestic agricultural production etc.</w:t>
            </w:r>
          </w:p>
        </w:tc>
      </w:tr>
      <w:tr w:rsidR="001C4407" w14:paraId="7C6B5313" w14:textId="77777777" w:rsidTr="00E2770E">
        <w:trPr>
          <w:trHeight w:val="64"/>
        </w:trPr>
        <w:tc>
          <w:tcPr>
            <w:tcW w:w="96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6D716F" w14:textId="77777777" w:rsidR="001C4407" w:rsidRPr="00FF5E4D" w:rsidRDefault="001C4407" w:rsidP="00F61BDB">
            <w:pPr>
              <w:ind w:left="119"/>
              <w:rPr>
                <w:sz w:val="12"/>
                <w:szCs w:val="12"/>
                <w:lang w:eastAsia="en-AU"/>
              </w:rPr>
            </w:pPr>
          </w:p>
          <w:tbl>
            <w:tblPr>
              <w:tblW w:w="0" w:type="auto"/>
              <w:jc w:val="center"/>
              <w:tblLayout w:type="fixed"/>
              <w:tblCellMar>
                <w:left w:w="0" w:type="dxa"/>
                <w:right w:w="0" w:type="dxa"/>
              </w:tblCellMar>
              <w:tblLook w:val="04A0" w:firstRow="1" w:lastRow="0" w:firstColumn="1" w:lastColumn="0" w:noHBand="0" w:noVBand="1"/>
            </w:tblPr>
            <w:tblGrid>
              <w:gridCol w:w="1460"/>
              <w:gridCol w:w="1376"/>
              <w:gridCol w:w="1936"/>
              <w:gridCol w:w="2015"/>
              <w:gridCol w:w="2157"/>
            </w:tblGrid>
            <w:tr w:rsidR="00E2770E" w:rsidRPr="00C716DD" w14:paraId="07C0D04A" w14:textId="77777777" w:rsidTr="00E2770E">
              <w:trPr>
                <w:trHeight w:val="311"/>
                <w:jc w:val="center"/>
              </w:trPr>
              <w:tc>
                <w:tcPr>
                  <w:tcW w:w="1460"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14:paraId="71DE88C5" w14:textId="348682FB" w:rsidR="00E2770E" w:rsidRPr="00FF5E4D" w:rsidRDefault="00E2770E" w:rsidP="00E2770E">
                  <w:pPr>
                    <w:spacing w:line="252" w:lineRule="auto"/>
                    <w:jc w:val="center"/>
                    <w:rPr>
                      <w:b/>
                      <w:color w:val="000000"/>
                      <w:sz w:val="18"/>
                      <w:szCs w:val="18"/>
                      <w:lang w:eastAsia="en-AU"/>
                    </w:rPr>
                  </w:pPr>
                  <w:r w:rsidRPr="00FF5E4D">
                    <w:rPr>
                      <w:b/>
                      <w:color w:val="000000"/>
                      <w:sz w:val="18"/>
                      <w:szCs w:val="18"/>
                      <w:lang w:eastAsia="en-AU"/>
                    </w:rPr>
                    <w:t>Fuel</w:t>
                  </w:r>
                </w:p>
              </w:tc>
              <w:tc>
                <w:tcPr>
                  <w:tcW w:w="1376" w:type="dxa"/>
                  <w:vMerge w:val="restart"/>
                  <w:tcBorders>
                    <w:top w:val="single" w:sz="4" w:space="0" w:color="auto"/>
                    <w:left w:val="nil"/>
                    <w:right w:val="single" w:sz="8" w:space="0" w:color="auto"/>
                  </w:tcBorders>
                  <w:noWrap/>
                  <w:tcMar>
                    <w:top w:w="0" w:type="dxa"/>
                    <w:left w:w="108" w:type="dxa"/>
                    <w:bottom w:w="0" w:type="dxa"/>
                    <w:right w:w="108" w:type="dxa"/>
                  </w:tcMar>
                </w:tcPr>
                <w:p w14:paraId="0131D75F" w14:textId="77AC2433" w:rsidR="00E2770E" w:rsidRPr="00E2770E" w:rsidRDefault="00E2770E" w:rsidP="00E2770E">
                  <w:pPr>
                    <w:spacing w:line="252" w:lineRule="auto"/>
                    <w:jc w:val="center"/>
                    <w:rPr>
                      <w:b/>
                      <w:color w:val="000000"/>
                      <w:sz w:val="18"/>
                      <w:szCs w:val="18"/>
                      <w:lang w:eastAsia="en-AU"/>
                    </w:rPr>
                  </w:pPr>
                  <w:r w:rsidRPr="00E2770E">
                    <w:rPr>
                      <w:b/>
                      <w:color w:val="000000"/>
                      <w:sz w:val="18"/>
                      <w:szCs w:val="18"/>
                      <w:lang w:eastAsia="en-AU"/>
                    </w:rPr>
                    <w:t>Consumption</w:t>
                  </w:r>
                  <w:r w:rsidRPr="00E2770E">
                    <w:rPr>
                      <w:b/>
                      <w:color w:val="000000"/>
                      <w:sz w:val="18"/>
                      <w:szCs w:val="18"/>
                      <w:lang w:eastAsia="en-AU"/>
                    </w:rPr>
                    <w:br/>
                    <w:t>days</w:t>
                  </w:r>
                </w:p>
              </w:tc>
              <w:tc>
                <w:tcPr>
                  <w:tcW w:w="6108" w:type="dxa"/>
                  <w:gridSpan w:val="3"/>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926275C" w14:textId="40F13569" w:rsidR="00E2770E" w:rsidRPr="00E2770E" w:rsidRDefault="00E2770E" w:rsidP="00F61BDB">
                  <w:pPr>
                    <w:spacing w:line="252" w:lineRule="auto"/>
                    <w:jc w:val="center"/>
                    <w:rPr>
                      <w:b/>
                      <w:color w:val="000000"/>
                      <w:sz w:val="18"/>
                      <w:szCs w:val="18"/>
                      <w:lang w:eastAsia="en-AU"/>
                    </w:rPr>
                  </w:pPr>
                  <w:r w:rsidRPr="00E2770E">
                    <w:rPr>
                      <w:b/>
                      <w:color w:val="000000"/>
                      <w:sz w:val="18"/>
                      <w:szCs w:val="18"/>
                      <w:lang w:eastAsia="en-AU"/>
                    </w:rPr>
                    <w:t>Diesel keeps the country going in an emergency. This is how long Australia can support critical demand with no imports using domestic crude</w:t>
                  </w:r>
                </w:p>
              </w:tc>
            </w:tr>
            <w:tr w:rsidR="00E2770E" w:rsidRPr="00C716DD" w14:paraId="3DD878B4" w14:textId="77777777" w:rsidTr="00E2770E">
              <w:trPr>
                <w:trHeight w:val="311"/>
                <w:jc w:val="center"/>
              </w:trPr>
              <w:tc>
                <w:tcPr>
                  <w:tcW w:w="1460" w:type="dxa"/>
                  <w:vMerge/>
                  <w:tcBorders>
                    <w:left w:val="single" w:sz="8" w:space="0" w:color="auto"/>
                    <w:bottom w:val="single" w:sz="8" w:space="0" w:color="auto"/>
                    <w:right w:val="single" w:sz="8" w:space="0" w:color="auto"/>
                  </w:tcBorders>
                  <w:tcMar>
                    <w:top w:w="0" w:type="dxa"/>
                    <w:left w:w="108" w:type="dxa"/>
                    <w:bottom w:w="0" w:type="dxa"/>
                    <w:right w:w="108" w:type="dxa"/>
                  </w:tcMar>
                  <w:vAlign w:val="bottom"/>
                </w:tcPr>
                <w:p w14:paraId="0BD20C26" w14:textId="15290CEE" w:rsidR="00E2770E" w:rsidRPr="00FF5E4D" w:rsidRDefault="00E2770E" w:rsidP="00E2770E">
                  <w:pPr>
                    <w:spacing w:after="0" w:line="252" w:lineRule="auto"/>
                    <w:rPr>
                      <w:b/>
                      <w:color w:val="000000"/>
                      <w:sz w:val="18"/>
                      <w:szCs w:val="18"/>
                      <w:lang w:eastAsia="en-AU"/>
                    </w:rPr>
                  </w:pPr>
                </w:p>
              </w:tc>
              <w:tc>
                <w:tcPr>
                  <w:tcW w:w="1376" w:type="dxa"/>
                  <w:vMerge/>
                  <w:tcBorders>
                    <w:left w:val="nil"/>
                    <w:bottom w:val="single" w:sz="8" w:space="0" w:color="auto"/>
                    <w:right w:val="single" w:sz="8" w:space="0" w:color="auto"/>
                  </w:tcBorders>
                  <w:noWrap/>
                  <w:tcMar>
                    <w:top w:w="0" w:type="dxa"/>
                    <w:left w:w="108" w:type="dxa"/>
                    <w:bottom w:w="0" w:type="dxa"/>
                    <w:right w:w="108" w:type="dxa"/>
                  </w:tcMar>
                  <w:vAlign w:val="center"/>
                </w:tcPr>
                <w:p w14:paraId="1428C63B" w14:textId="77777777" w:rsidR="00E2770E" w:rsidRPr="00FF5E4D" w:rsidRDefault="00E2770E" w:rsidP="00E2770E">
                  <w:pPr>
                    <w:spacing w:line="252" w:lineRule="auto"/>
                    <w:jc w:val="center"/>
                    <w:rPr>
                      <w:color w:val="000000"/>
                      <w:sz w:val="18"/>
                      <w:szCs w:val="18"/>
                      <w:lang w:eastAsia="en-AU"/>
                    </w:rPr>
                  </w:pPr>
                </w:p>
              </w:tc>
              <w:tc>
                <w:tcPr>
                  <w:tcW w:w="1936" w:type="dxa"/>
                  <w:tcBorders>
                    <w:top w:val="nil"/>
                    <w:left w:val="nil"/>
                    <w:bottom w:val="single" w:sz="8" w:space="0" w:color="auto"/>
                    <w:right w:val="single" w:sz="8" w:space="0" w:color="auto"/>
                  </w:tcBorders>
                  <w:noWrap/>
                  <w:tcMar>
                    <w:top w:w="0" w:type="dxa"/>
                    <w:left w:w="108" w:type="dxa"/>
                    <w:bottom w:w="0" w:type="dxa"/>
                    <w:right w:w="108" w:type="dxa"/>
                  </w:tcMar>
                </w:tcPr>
                <w:p w14:paraId="7B49704A" w14:textId="0FB94995" w:rsidR="00E2770E" w:rsidRPr="00FF5E4D" w:rsidRDefault="00E2770E" w:rsidP="00E2770E">
                  <w:pPr>
                    <w:spacing w:line="252" w:lineRule="auto"/>
                    <w:jc w:val="center"/>
                    <w:rPr>
                      <w:color w:val="000000"/>
                      <w:sz w:val="18"/>
                      <w:szCs w:val="18"/>
                      <w:lang w:eastAsia="en-AU"/>
                    </w:rPr>
                  </w:pPr>
                  <w:r w:rsidRPr="00FF5E4D">
                    <w:rPr>
                      <w:b/>
                      <w:color w:val="000000"/>
                      <w:sz w:val="18"/>
                      <w:szCs w:val="18"/>
                      <w:lang w:eastAsia="en-AU"/>
                    </w:rPr>
                    <w:t>No refineries</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tcPr>
                <w:p w14:paraId="4B65C330" w14:textId="52489F7C" w:rsidR="00E2770E" w:rsidRPr="00FF5E4D" w:rsidRDefault="00E2770E" w:rsidP="00E2770E">
                  <w:pPr>
                    <w:spacing w:line="252" w:lineRule="auto"/>
                    <w:jc w:val="center"/>
                    <w:rPr>
                      <w:color w:val="000000"/>
                      <w:sz w:val="18"/>
                      <w:szCs w:val="18"/>
                      <w:lang w:eastAsia="en-AU"/>
                    </w:rPr>
                  </w:pPr>
                  <w:r w:rsidRPr="00FF5E4D">
                    <w:rPr>
                      <w:b/>
                      <w:sz w:val="18"/>
                      <w:szCs w:val="18"/>
                      <w:lang w:eastAsia="en-AU"/>
                    </w:rPr>
                    <w:t>1 Refinery</w:t>
                  </w:r>
                </w:p>
              </w:tc>
              <w:tc>
                <w:tcPr>
                  <w:tcW w:w="2157" w:type="dxa"/>
                  <w:tcBorders>
                    <w:top w:val="nil"/>
                    <w:left w:val="nil"/>
                    <w:bottom w:val="single" w:sz="8" w:space="0" w:color="auto"/>
                    <w:right w:val="single" w:sz="8" w:space="0" w:color="auto"/>
                  </w:tcBorders>
                  <w:noWrap/>
                  <w:tcMar>
                    <w:top w:w="0" w:type="dxa"/>
                    <w:left w:w="108" w:type="dxa"/>
                    <w:bottom w:w="0" w:type="dxa"/>
                    <w:right w:w="108" w:type="dxa"/>
                  </w:tcMar>
                </w:tcPr>
                <w:p w14:paraId="19FDEF77" w14:textId="471B4764" w:rsidR="00E2770E" w:rsidRPr="00FF5E4D" w:rsidRDefault="00E2770E" w:rsidP="00E2770E">
                  <w:pPr>
                    <w:spacing w:line="252" w:lineRule="auto"/>
                    <w:jc w:val="center"/>
                    <w:rPr>
                      <w:color w:val="000000"/>
                      <w:sz w:val="18"/>
                      <w:szCs w:val="18"/>
                      <w:lang w:eastAsia="en-AU"/>
                    </w:rPr>
                  </w:pPr>
                  <w:r w:rsidRPr="00FF5E4D">
                    <w:rPr>
                      <w:b/>
                      <w:sz w:val="18"/>
                      <w:szCs w:val="18"/>
                      <w:lang w:eastAsia="en-AU"/>
                    </w:rPr>
                    <w:t>2 Refineries</w:t>
                  </w:r>
                </w:p>
              </w:tc>
            </w:tr>
            <w:tr w:rsidR="00E2770E" w:rsidRPr="00C716DD" w14:paraId="251F9877" w14:textId="77777777" w:rsidTr="00E2770E">
              <w:trPr>
                <w:trHeight w:val="311"/>
                <w:jc w:val="center"/>
              </w:trPr>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FA6A77C" w14:textId="77777777" w:rsidR="00EE2C36" w:rsidRPr="00FF5E4D" w:rsidRDefault="00EE2C36" w:rsidP="00F61BDB">
                  <w:pPr>
                    <w:spacing w:after="0" w:line="252" w:lineRule="auto"/>
                    <w:rPr>
                      <w:color w:val="000000"/>
                      <w:sz w:val="18"/>
                      <w:szCs w:val="18"/>
                      <w:lang w:eastAsia="en-AU"/>
                    </w:rPr>
                  </w:pPr>
                  <w:r w:rsidRPr="00FF5E4D">
                    <w:rPr>
                      <w:b/>
                      <w:color w:val="000000"/>
                      <w:sz w:val="18"/>
                      <w:szCs w:val="18"/>
                      <w:lang w:eastAsia="en-AU"/>
                    </w:rPr>
                    <w:t xml:space="preserve">Diesel </w:t>
                  </w:r>
                  <w:r w:rsidRPr="00FF5E4D">
                    <w:rPr>
                      <w:color w:val="000000"/>
                      <w:sz w:val="18"/>
                      <w:szCs w:val="18"/>
                      <w:lang w:eastAsia="en-AU"/>
                    </w:rPr>
                    <w:br/>
                  </w:r>
                  <w:r w:rsidRPr="00FF5E4D">
                    <w:rPr>
                      <w:color w:val="000000"/>
                      <w:sz w:val="16"/>
                      <w:szCs w:val="16"/>
                      <w:lang w:eastAsia="en-AU"/>
                    </w:rPr>
                    <w:t>(2018-19 levels)</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7400EF" w14:textId="77777777" w:rsidR="00EE2C36" w:rsidRPr="00FF5E4D" w:rsidRDefault="00EE2C36" w:rsidP="00F61BDB">
                  <w:pPr>
                    <w:spacing w:line="252" w:lineRule="auto"/>
                    <w:jc w:val="center"/>
                    <w:rPr>
                      <w:color w:val="000000"/>
                      <w:sz w:val="18"/>
                      <w:szCs w:val="18"/>
                      <w:lang w:eastAsia="en-AU"/>
                    </w:rPr>
                  </w:pPr>
                  <w:r w:rsidRPr="00FF5E4D">
                    <w:rPr>
                      <w:color w:val="000000"/>
                      <w:sz w:val="18"/>
                      <w:szCs w:val="18"/>
                      <w:lang w:eastAsia="en-AU"/>
                    </w:rPr>
                    <w:t>20</w:t>
                  </w:r>
                </w:p>
              </w:tc>
              <w:tc>
                <w:tcPr>
                  <w:tcW w:w="1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54B634" w14:textId="77777777" w:rsidR="00EE2C36" w:rsidRPr="00FF5E4D" w:rsidRDefault="00EE2C36" w:rsidP="00F61BDB">
                  <w:pPr>
                    <w:spacing w:line="252" w:lineRule="auto"/>
                    <w:jc w:val="center"/>
                    <w:rPr>
                      <w:color w:val="000000"/>
                      <w:sz w:val="18"/>
                      <w:szCs w:val="18"/>
                      <w:lang w:eastAsia="en-AU"/>
                    </w:rPr>
                  </w:pPr>
                  <w:r w:rsidRPr="00FF5E4D">
                    <w:rPr>
                      <w:color w:val="000000"/>
                      <w:sz w:val="18"/>
                      <w:szCs w:val="18"/>
                      <w:lang w:eastAsia="en-AU"/>
                    </w:rPr>
                    <w:t>125</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DEB984" w14:textId="77777777" w:rsidR="00EE2C36" w:rsidRPr="00FF5E4D" w:rsidRDefault="00EE2C36" w:rsidP="00F61BDB">
                  <w:pPr>
                    <w:spacing w:line="252" w:lineRule="auto"/>
                    <w:jc w:val="center"/>
                    <w:rPr>
                      <w:color w:val="000000"/>
                      <w:sz w:val="18"/>
                      <w:szCs w:val="18"/>
                      <w:lang w:eastAsia="en-AU"/>
                    </w:rPr>
                  </w:pPr>
                  <w:r w:rsidRPr="00FF5E4D">
                    <w:rPr>
                      <w:color w:val="000000"/>
                      <w:sz w:val="18"/>
                      <w:szCs w:val="18"/>
                      <w:lang w:eastAsia="en-AU"/>
                    </w:rPr>
                    <w:t>207</w:t>
                  </w:r>
                </w:p>
              </w:tc>
              <w:tc>
                <w:tcPr>
                  <w:tcW w:w="21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7FC183" w14:textId="77777777" w:rsidR="00EE2C36" w:rsidRPr="00FF5E4D" w:rsidRDefault="00EE2C36" w:rsidP="00F61BDB">
                  <w:pPr>
                    <w:spacing w:line="252" w:lineRule="auto"/>
                    <w:jc w:val="center"/>
                    <w:rPr>
                      <w:color w:val="000000"/>
                      <w:sz w:val="18"/>
                      <w:szCs w:val="18"/>
                      <w:lang w:eastAsia="en-AU"/>
                    </w:rPr>
                  </w:pPr>
                  <w:r w:rsidRPr="00FF5E4D">
                    <w:rPr>
                      <w:color w:val="000000"/>
                      <w:sz w:val="18"/>
                      <w:szCs w:val="18"/>
                      <w:lang w:eastAsia="en-AU"/>
                    </w:rPr>
                    <w:t>465</w:t>
                  </w:r>
                </w:p>
              </w:tc>
            </w:tr>
            <w:tr w:rsidR="00E2770E" w:rsidRPr="00C716DD" w14:paraId="5B5440A0" w14:textId="77777777" w:rsidTr="00E2770E">
              <w:trPr>
                <w:trHeight w:val="91"/>
                <w:jc w:val="center"/>
              </w:trPr>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28CBB8" w14:textId="77777777" w:rsidR="00EE2C36" w:rsidRPr="00FF5E4D" w:rsidRDefault="00EE2C36" w:rsidP="00F61BDB">
                  <w:pPr>
                    <w:spacing w:after="0" w:line="252" w:lineRule="auto"/>
                    <w:rPr>
                      <w:color w:val="000000"/>
                      <w:sz w:val="18"/>
                      <w:szCs w:val="18"/>
                      <w:lang w:eastAsia="en-AU"/>
                    </w:rPr>
                  </w:pPr>
                  <w:r w:rsidRPr="00FF5E4D">
                    <w:rPr>
                      <w:b/>
                      <w:color w:val="000000"/>
                      <w:sz w:val="18"/>
                      <w:szCs w:val="18"/>
                      <w:lang w:eastAsia="en-AU"/>
                    </w:rPr>
                    <w:t>Diesel</w:t>
                  </w:r>
                  <w:r w:rsidRPr="00FF5E4D">
                    <w:rPr>
                      <w:color w:val="000000"/>
                      <w:sz w:val="18"/>
                      <w:szCs w:val="18"/>
                      <w:lang w:eastAsia="en-AU"/>
                    </w:rPr>
                    <w:br/>
                  </w:r>
                  <w:r w:rsidRPr="00FF5E4D">
                    <w:rPr>
                      <w:color w:val="000000"/>
                      <w:sz w:val="16"/>
                      <w:szCs w:val="16"/>
                      <w:lang w:eastAsia="en-AU"/>
                    </w:rPr>
                    <w:t>(+ 8 days)</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1C3E6A" w14:textId="77777777" w:rsidR="00EE2C36" w:rsidRPr="00FF5E4D" w:rsidRDefault="00EE2C36" w:rsidP="00F61BDB">
                  <w:pPr>
                    <w:spacing w:after="0" w:line="252" w:lineRule="auto"/>
                    <w:jc w:val="center"/>
                    <w:rPr>
                      <w:color w:val="000000"/>
                      <w:sz w:val="18"/>
                      <w:szCs w:val="18"/>
                      <w:lang w:eastAsia="en-AU"/>
                    </w:rPr>
                  </w:pPr>
                  <w:r w:rsidRPr="00FF5E4D">
                    <w:rPr>
                      <w:color w:val="000000"/>
                      <w:sz w:val="18"/>
                      <w:szCs w:val="18"/>
                      <w:lang w:eastAsia="en-AU"/>
                    </w:rPr>
                    <w:t>28</w:t>
                  </w:r>
                </w:p>
              </w:tc>
              <w:tc>
                <w:tcPr>
                  <w:tcW w:w="1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9349EA" w14:textId="77777777" w:rsidR="00EE2C36" w:rsidRPr="00FF5E4D" w:rsidRDefault="00EE2C36" w:rsidP="00F61BDB">
                  <w:pPr>
                    <w:spacing w:after="0" w:line="252" w:lineRule="auto"/>
                    <w:jc w:val="center"/>
                    <w:rPr>
                      <w:color w:val="000000"/>
                      <w:sz w:val="18"/>
                      <w:szCs w:val="18"/>
                      <w:lang w:eastAsia="en-AU"/>
                    </w:rPr>
                  </w:pPr>
                  <w:r w:rsidRPr="00FF5E4D">
                    <w:rPr>
                      <w:color w:val="000000"/>
                      <w:sz w:val="18"/>
                      <w:szCs w:val="18"/>
                      <w:lang w:eastAsia="en-AU"/>
                    </w:rPr>
                    <w:t>175</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8774F1" w14:textId="77777777" w:rsidR="00EE2C36" w:rsidRPr="00FF5E4D" w:rsidRDefault="00EE2C36" w:rsidP="00F61BDB">
                  <w:pPr>
                    <w:spacing w:after="0" w:line="252" w:lineRule="auto"/>
                    <w:jc w:val="center"/>
                    <w:rPr>
                      <w:color w:val="000000"/>
                      <w:sz w:val="18"/>
                      <w:szCs w:val="18"/>
                      <w:lang w:eastAsia="en-AU"/>
                    </w:rPr>
                  </w:pPr>
                  <w:r w:rsidRPr="00FF5E4D">
                    <w:rPr>
                      <w:color w:val="000000"/>
                      <w:sz w:val="18"/>
                      <w:szCs w:val="18"/>
                      <w:lang w:eastAsia="en-AU"/>
                    </w:rPr>
                    <w:t>290</w:t>
                  </w:r>
                </w:p>
              </w:tc>
              <w:tc>
                <w:tcPr>
                  <w:tcW w:w="21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9E20B6" w14:textId="77777777" w:rsidR="00EE2C36" w:rsidRPr="00FF5E4D" w:rsidRDefault="00EE2C36" w:rsidP="00F61BDB">
                  <w:pPr>
                    <w:spacing w:after="0" w:line="252" w:lineRule="auto"/>
                    <w:jc w:val="center"/>
                    <w:rPr>
                      <w:color w:val="000000"/>
                      <w:sz w:val="18"/>
                      <w:szCs w:val="18"/>
                      <w:lang w:eastAsia="en-AU"/>
                    </w:rPr>
                  </w:pPr>
                  <w:r w:rsidRPr="00FF5E4D">
                    <w:rPr>
                      <w:color w:val="000000"/>
                      <w:sz w:val="18"/>
                      <w:szCs w:val="18"/>
                      <w:lang w:eastAsia="en-AU"/>
                    </w:rPr>
                    <w:t>651</w:t>
                  </w:r>
                </w:p>
              </w:tc>
            </w:tr>
            <w:tr w:rsidR="00E2770E" w:rsidRPr="00C716DD" w14:paraId="2B494015" w14:textId="77777777" w:rsidTr="00E2770E">
              <w:trPr>
                <w:trHeight w:val="54"/>
                <w:jc w:val="center"/>
              </w:trPr>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629CEE9" w14:textId="77777777" w:rsidR="00EE2C36" w:rsidRPr="00FF5E4D" w:rsidRDefault="00EE2C36" w:rsidP="00F61BDB">
                  <w:pPr>
                    <w:spacing w:after="0" w:line="252" w:lineRule="auto"/>
                    <w:rPr>
                      <w:b/>
                      <w:color w:val="000000"/>
                      <w:sz w:val="18"/>
                      <w:szCs w:val="18"/>
                      <w:lang w:eastAsia="en-AU"/>
                    </w:rPr>
                  </w:pPr>
                  <w:r w:rsidRPr="00FF5E4D">
                    <w:rPr>
                      <w:b/>
                      <w:color w:val="000000"/>
                      <w:sz w:val="18"/>
                      <w:szCs w:val="18"/>
                      <w:lang w:eastAsia="en-AU"/>
                    </w:rPr>
                    <w:t>Petrol</w:t>
                  </w:r>
                </w:p>
                <w:p w14:paraId="5CF37697" w14:textId="77777777" w:rsidR="00EE2C36" w:rsidRPr="00FF5E4D" w:rsidRDefault="00EE2C36" w:rsidP="00F61BDB">
                  <w:pPr>
                    <w:spacing w:after="0" w:line="252" w:lineRule="auto"/>
                    <w:rPr>
                      <w:color w:val="000000"/>
                      <w:sz w:val="18"/>
                      <w:szCs w:val="18"/>
                      <w:lang w:eastAsia="en-AU"/>
                    </w:rPr>
                  </w:pPr>
                  <w:r w:rsidRPr="00FF5E4D">
                    <w:rPr>
                      <w:color w:val="000000"/>
                      <w:sz w:val="16"/>
                      <w:szCs w:val="16"/>
                      <w:lang w:eastAsia="en-AU"/>
                    </w:rPr>
                    <w:t>(2018-19 levels)</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1976AB" w14:textId="77777777" w:rsidR="00EE2C36" w:rsidRPr="00FF5E4D" w:rsidRDefault="00EE2C36" w:rsidP="00F61BDB">
                  <w:pPr>
                    <w:spacing w:after="0" w:line="252" w:lineRule="auto"/>
                    <w:jc w:val="center"/>
                    <w:rPr>
                      <w:color w:val="000000"/>
                      <w:sz w:val="18"/>
                      <w:szCs w:val="18"/>
                      <w:lang w:eastAsia="en-AU"/>
                    </w:rPr>
                  </w:pPr>
                  <w:r w:rsidRPr="00FF5E4D">
                    <w:rPr>
                      <w:color w:val="000000"/>
                      <w:sz w:val="18"/>
                      <w:szCs w:val="18"/>
                      <w:lang w:eastAsia="en-AU"/>
                    </w:rPr>
                    <w:t>24</w:t>
                  </w:r>
                </w:p>
              </w:tc>
              <w:tc>
                <w:tcPr>
                  <w:tcW w:w="1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EA429C" w14:textId="77777777" w:rsidR="00EE2C36" w:rsidRPr="00FF5E4D" w:rsidRDefault="00EE2C36" w:rsidP="00F61BDB">
                  <w:pPr>
                    <w:spacing w:after="0" w:line="252" w:lineRule="auto"/>
                    <w:jc w:val="center"/>
                    <w:rPr>
                      <w:color w:val="000000"/>
                      <w:sz w:val="18"/>
                      <w:szCs w:val="18"/>
                      <w:lang w:eastAsia="en-AU"/>
                    </w:rPr>
                  </w:pPr>
                  <w:r w:rsidRPr="00FF5E4D">
                    <w:rPr>
                      <w:color w:val="000000"/>
                      <w:sz w:val="18"/>
                      <w:szCs w:val="18"/>
                      <w:lang w:eastAsia="en-AU"/>
                    </w:rPr>
                    <w:t>600</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0A0EE6" w14:textId="77777777" w:rsidR="00EE2C36" w:rsidRPr="00FF5E4D" w:rsidRDefault="00EE2C36" w:rsidP="00F61BDB">
                  <w:pPr>
                    <w:spacing w:after="0" w:line="252" w:lineRule="auto"/>
                    <w:jc w:val="center"/>
                    <w:rPr>
                      <w:sz w:val="18"/>
                      <w:szCs w:val="18"/>
                    </w:rPr>
                  </w:pPr>
                  <w:r w:rsidRPr="00FF5E4D">
                    <w:rPr>
                      <w:sz w:val="18"/>
                      <w:szCs w:val="18"/>
                      <w:lang w:eastAsia="en-AU"/>
                    </w:rPr>
                    <w:t>indefinitely</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A6F2E" w14:textId="77777777" w:rsidR="00EE2C36" w:rsidRPr="00FF5E4D" w:rsidRDefault="00EE2C36" w:rsidP="00F61BDB">
                  <w:pPr>
                    <w:spacing w:after="0" w:line="252" w:lineRule="auto"/>
                    <w:jc w:val="center"/>
                    <w:rPr>
                      <w:sz w:val="18"/>
                      <w:szCs w:val="18"/>
                    </w:rPr>
                  </w:pPr>
                  <w:r w:rsidRPr="00FF5E4D">
                    <w:rPr>
                      <w:sz w:val="18"/>
                      <w:szCs w:val="18"/>
                      <w:lang w:eastAsia="en-AU"/>
                    </w:rPr>
                    <w:t>indefinitely</w:t>
                  </w:r>
                </w:p>
              </w:tc>
            </w:tr>
            <w:tr w:rsidR="00E2770E" w:rsidRPr="00C716DD" w14:paraId="7DB68583" w14:textId="77777777" w:rsidTr="00E2770E">
              <w:trPr>
                <w:trHeight w:val="54"/>
                <w:jc w:val="center"/>
              </w:trPr>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42C2EAF" w14:textId="77777777" w:rsidR="00EE2C36" w:rsidRPr="00FF5E4D" w:rsidRDefault="00EE2C36" w:rsidP="00F61BDB">
                  <w:pPr>
                    <w:spacing w:after="0" w:line="252" w:lineRule="auto"/>
                    <w:rPr>
                      <w:b/>
                      <w:color w:val="000000"/>
                      <w:sz w:val="18"/>
                      <w:szCs w:val="18"/>
                      <w:lang w:eastAsia="en-AU"/>
                    </w:rPr>
                  </w:pPr>
                  <w:r w:rsidRPr="00FF5E4D">
                    <w:rPr>
                      <w:b/>
                      <w:color w:val="000000"/>
                      <w:sz w:val="18"/>
                      <w:szCs w:val="18"/>
                      <w:lang w:eastAsia="en-AU"/>
                    </w:rPr>
                    <w:t>Jet</w:t>
                  </w:r>
                </w:p>
                <w:p w14:paraId="1E07CD3D" w14:textId="77777777" w:rsidR="00EE2C36" w:rsidRPr="00FF5E4D" w:rsidRDefault="00EE2C36" w:rsidP="00F61BDB">
                  <w:pPr>
                    <w:spacing w:after="0" w:line="252" w:lineRule="auto"/>
                    <w:rPr>
                      <w:color w:val="000000"/>
                      <w:sz w:val="18"/>
                      <w:szCs w:val="18"/>
                      <w:lang w:eastAsia="en-AU"/>
                    </w:rPr>
                  </w:pPr>
                  <w:r w:rsidRPr="00FF5E4D">
                    <w:rPr>
                      <w:color w:val="000000"/>
                      <w:sz w:val="16"/>
                      <w:szCs w:val="16"/>
                      <w:lang w:eastAsia="en-AU"/>
                    </w:rPr>
                    <w:t>(2018-19 levels)</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595296" w14:textId="77777777" w:rsidR="00EE2C36" w:rsidRPr="00FF5E4D" w:rsidRDefault="00EE2C36" w:rsidP="00F61BDB">
                  <w:pPr>
                    <w:spacing w:after="0" w:line="252" w:lineRule="auto"/>
                    <w:jc w:val="center"/>
                    <w:rPr>
                      <w:color w:val="000000"/>
                      <w:sz w:val="18"/>
                      <w:szCs w:val="18"/>
                      <w:lang w:eastAsia="en-AU"/>
                    </w:rPr>
                  </w:pPr>
                  <w:r w:rsidRPr="00FF5E4D">
                    <w:rPr>
                      <w:color w:val="000000"/>
                      <w:sz w:val="18"/>
                      <w:szCs w:val="18"/>
                      <w:lang w:eastAsia="en-AU"/>
                    </w:rPr>
                    <w:t>24</w:t>
                  </w:r>
                </w:p>
              </w:tc>
              <w:tc>
                <w:tcPr>
                  <w:tcW w:w="1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C20B85" w14:textId="77777777" w:rsidR="00EE2C36" w:rsidRPr="00FF5E4D" w:rsidRDefault="00EE2C36" w:rsidP="00F61BDB">
                  <w:pPr>
                    <w:spacing w:after="0" w:line="252" w:lineRule="auto"/>
                    <w:jc w:val="center"/>
                    <w:rPr>
                      <w:color w:val="000000"/>
                      <w:sz w:val="18"/>
                      <w:szCs w:val="18"/>
                      <w:lang w:eastAsia="en-AU"/>
                    </w:rPr>
                  </w:pPr>
                  <w:r w:rsidRPr="00FF5E4D">
                    <w:rPr>
                      <w:color w:val="000000"/>
                      <w:sz w:val="18"/>
                      <w:szCs w:val="18"/>
                      <w:lang w:eastAsia="en-AU"/>
                    </w:rPr>
                    <w:t>400</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0F503" w14:textId="77777777" w:rsidR="00EE2C36" w:rsidRPr="00FF5E4D" w:rsidRDefault="00EE2C36" w:rsidP="00F61BDB">
                  <w:pPr>
                    <w:spacing w:after="0" w:line="252" w:lineRule="auto"/>
                    <w:jc w:val="center"/>
                    <w:rPr>
                      <w:sz w:val="18"/>
                      <w:szCs w:val="18"/>
                    </w:rPr>
                  </w:pPr>
                  <w:r w:rsidRPr="00FF5E4D">
                    <w:rPr>
                      <w:sz w:val="18"/>
                      <w:szCs w:val="18"/>
                      <w:lang w:eastAsia="en-AU"/>
                    </w:rPr>
                    <w:t>indefinitely</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44C21" w14:textId="77777777" w:rsidR="00EE2C36" w:rsidRPr="00FF5E4D" w:rsidRDefault="00EE2C36" w:rsidP="00F61BDB">
                  <w:pPr>
                    <w:spacing w:after="0" w:line="252" w:lineRule="auto"/>
                    <w:jc w:val="center"/>
                    <w:rPr>
                      <w:sz w:val="18"/>
                      <w:szCs w:val="18"/>
                    </w:rPr>
                  </w:pPr>
                  <w:r w:rsidRPr="00FF5E4D">
                    <w:rPr>
                      <w:sz w:val="18"/>
                      <w:szCs w:val="18"/>
                      <w:lang w:eastAsia="en-AU"/>
                    </w:rPr>
                    <w:t>indefinitely</w:t>
                  </w:r>
                </w:p>
              </w:tc>
            </w:tr>
          </w:tbl>
          <w:p w14:paraId="2A8B8F72" w14:textId="694B06BD" w:rsidR="002142A5" w:rsidRPr="00F50381" w:rsidRDefault="002142A5" w:rsidP="00F50381">
            <w:pPr>
              <w:rPr>
                <w:i/>
                <w:sz w:val="16"/>
                <w:szCs w:val="16"/>
              </w:rPr>
            </w:pPr>
            <w:r w:rsidRPr="00FF5E4D">
              <w:rPr>
                <w:i/>
                <w:sz w:val="16"/>
                <w:szCs w:val="16"/>
              </w:rPr>
              <w:t xml:space="preserve">The </w:t>
            </w:r>
            <w:r w:rsidRPr="00F50381">
              <w:rPr>
                <w:i/>
                <w:sz w:val="16"/>
                <w:szCs w:val="16"/>
              </w:rPr>
              <w:t>analysis</w:t>
            </w:r>
            <w:r w:rsidRPr="00FF5E4D">
              <w:rPr>
                <w:i/>
                <w:sz w:val="16"/>
                <w:szCs w:val="16"/>
              </w:rPr>
              <w:t xml:space="preserve"> contained in Table </w:t>
            </w:r>
            <w:r w:rsidR="00EE2C36" w:rsidRPr="00FF5E4D">
              <w:rPr>
                <w:i/>
                <w:sz w:val="16"/>
                <w:szCs w:val="16"/>
              </w:rPr>
              <w:t>1</w:t>
            </w:r>
            <w:r w:rsidRPr="00FF5E4D">
              <w:rPr>
                <w:i/>
                <w:sz w:val="16"/>
                <w:szCs w:val="16"/>
              </w:rPr>
              <w:t xml:space="preserve"> was conducted in </w:t>
            </w:r>
            <w:r w:rsidR="00945AC1" w:rsidRPr="00FF5E4D">
              <w:rPr>
                <w:i/>
                <w:sz w:val="16"/>
                <w:szCs w:val="16"/>
              </w:rPr>
              <w:t>mid-2020</w:t>
            </w:r>
            <w:r w:rsidRPr="00FF5E4D">
              <w:rPr>
                <w:i/>
                <w:sz w:val="16"/>
                <w:szCs w:val="16"/>
              </w:rPr>
              <w:t xml:space="preserve"> when four refineries remained in operation in Australia. There are many underlying assumptions and uncertainties underpinning the analysis, including: the </w:t>
            </w:r>
            <w:r w:rsidR="00CD7CB1" w:rsidRPr="00FF5E4D">
              <w:rPr>
                <w:i/>
                <w:sz w:val="16"/>
                <w:szCs w:val="16"/>
              </w:rPr>
              <w:t>mix of crude oil and condensate refined; the proportion of refined products produced; the amount of flexibility in production levels of refined products</w:t>
            </w:r>
            <w:r w:rsidR="00945AC1" w:rsidRPr="00FF5E4D">
              <w:rPr>
                <w:i/>
                <w:sz w:val="16"/>
                <w:szCs w:val="16"/>
              </w:rPr>
              <w:t>; and the order of closure of refineries</w:t>
            </w:r>
            <w:r w:rsidR="00CD7CB1" w:rsidRPr="00FF5E4D">
              <w:rPr>
                <w:i/>
                <w:sz w:val="16"/>
                <w:szCs w:val="16"/>
              </w:rPr>
              <w:t xml:space="preserve">. </w:t>
            </w:r>
          </w:p>
          <w:p w14:paraId="5E2CEC1F" w14:textId="77777777" w:rsidR="001C4407" w:rsidRPr="00FF5E4D" w:rsidRDefault="001C4407" w:rsidP="00F61BDB">
            <w:pPr>
              <w:spacing w:after="0"/>
              <w:rPr>
                <w:rFonts w:ascii="Times New Roman" w:hAnsi="Times New Roman" w:cs="Times New Roman"/>
                <w:sz w:val="20"/>
                <w:szCs w:val="20"/>
                <w:lang w:eastAsia="en-AU"/>
              </w:rPr>
            </w:pPr>
          </w:p>
        </w:tc>
      </w:tr>
    </w:tbl>
    <w:p w14:paraId="55FDEABE" w14:textId="7E4E729F" w:rsidR="007547F9" w:rsidRPr="004B25E6" w:rsidRDefault="007547F9" w:rsidP="007547F9">
      <w:pPr>
        <w:pStyle w:val="Caption"/>
        <w:jc w:val="center"/>
        <w:rPr>
          <w:color w:val="005677"/>
        </w:rPr>
      </w:pPr>
      <w:r>
        <w:br/>
      </w:r>
      <w:r w:rsidRPr="004B25E6">
        <w:rPr>
          <w:color w:val="005677"/>
        </w:rPr>
        <w:t xml:space="preserve">Table </w:t>
      </w:r>
      <w:r w:rsidR="002142A5">
        <w:rPr>
          <w:color w:val="005677"/>
        </w:rPr>
        <w:t>1</w:t>
      </w:r>
      <w:r w:rsidRPr="004B25E6">
        <w:rPr>
          <w:color w:val="005677"/>
        </w:rPr>
        <w:t>: Refineries’ contribution to support demand in a no-imports scenario</w:t>
      </w:r>
    </w:p>
    <w:p w14:paraId="3DDE10F9" w14:textId="77777777" w:rsidR="00A54552" w:rsidRPr="00186500" w:rsidRDefault="00A54552" w:rsidP="00EA3D68"/>
    <w:p w14:paraId="6E853359" w14:textId="3D826FBE" w:rsidR="00A54552" w:rsidRDefault="00A54552" w:rsidP="00824E7A">
      <w:pPr>
        <w:pStyle w:val="Heading2"/>
        <w:numPr>
          <w:ilvl w:val="1"/>
          <w:numId w:val="77"/>
        </w:numPr>
      </w:pPr>
      <w:bookmarkStart w:id="32" w:name="_Toc72394917"/>
      <w:bookmarkStart w:id="33" w:name="_Toc72395660"/>
      <w:bookmarkStart w:id="34" w:name="_Toc69941549"/>
      <w:bookmarkStart w:id="35" w:name="_Toc70419835"/>
      <w:bookmarkStart w:id="36" w:name="_Toc65247697"/>
      <w:bookmarkStart w:id="37" w:name="_Toc65228314"/>
      <w:bookmarkStart w:id="38" w:name="_Toc65250652"/>
      <w:bookmarkStart w:id="39" w:name="_Toc65253410"/>
      <w:bookmarkStart w:id="40" w:name="_Toc65329393"/>
      <w:bookmarkStart w:id="41" w:name="_Toc65332746"/>
      <w:bookmarkStart w:id="42" w:name="_Toc65339145"/>
      <w:bookmarkStart w:id="43" w:name="_Toc65341077"/>
      <w:bookmarkStart w:id="44" w:name="_Toc65402162"/>
      <w:bookmarkStart w:id="45" w:name="_Toc65405395"/>
      <w:bookmarkStart w:id="46" w:name="_Toc65499054"/>
      <w:bookmarkStart w:id="47" w:name="_Toc65499483"/>
      <w:bookmarkStart w:id="48" w:name="_Toc67923585"/>
      <w:bookmarkStart w:id="49" w:name="_Toc67926822"/>
      <w:bookmarkStart w:id="50" w:name="_Toc68614681"/>
      <w:bookmarkStart w:id="51" w:name="_Toc69201385"/>
      <w:r>
        <w:t>The continuing importance of liquid fuels</w:t>
      </w:r>
      <w:bookmarkEnd w:id="32"/>
      <w:bookmarkEnd w:id="33"/>
      <w:r>
        <w:t xml:space="preserve"> </w:t>
      </w:r>
      <w:bookmarkEnd w:id="34"/>
      <w:bookmarkEnd w:id="35"/>
    </w:p>
    <w:p w14:paraId="4BDF918A" w14:textId="4FEC8CE6" w:rsidR="00615B31" w:rsidRDefault="00615B31" w:rsidP="00AF6B41">
      <w:pPr>
        <w:spacing w:line="276" w:lineRule="auto"/>
      </w:pPr>
      <w:bookmarkStart w:id="52" w:name="_Toc7045009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t xml:space="preserve">Projections show that liquid fuels will continue to remain important beyond 2030. Even under </w:t>
      </w:r>
      <w:r w:rsidR="003E45F9">
        <w:t>modelling of highly unlikely events</w:t>
      </w:r>
      <w:r>
        <w:t xml:space="preserve">, diesel </w:t>
      </w:r>
      <w:r w:rsidR="00A4003D">
        <w:t xml:space="preserve">demand </w:t>
      </w:r>
      <w:r w:rsidR="00577F9A">
        <w:t xml:space="preserve">is expected to remain </w:t>
      </w:r>
      <w:r w:rsidR="005724CC">
        <w:t>critical for all sectors of the economy</w:t>
      </w:r>
      <w:r w:rsidR="003E45F9">
        <w:t xml:space="preserve"> over the next decade</w:t>
      </w:r>
      <w:r w:rsidR="005724CC">
        <w:t>.</w:t>
      </w:r>
      <w:r w:rsidR="005724CC" w:rsidDel="005724CC">
        <w:t xml:space="preserve"> </w:t>
      </w:r>
    </w:p>
    <w:p w14:paraId="29ED87B7" w14:textId="3E197600" w:rsidR="006B45C9" w:rsidRDefault="009F69D6" w:rsidP="00EA3D68">
      <w:pPr>
        <w:spacing w:line="276" w:lineRule="auto"/>
      </w:pPr>
      <w:r w:rsidRPr="00FF5E4D">
        <w:t xml:space="preserve">By 2030, the Department of Industry, Science, Energy and Resources’ </w:t>
      </w:r>
      <w:r w:rsidR="0038335B" w:rsidRPr="00FF5E4D">
        <w:t>(the Department’s)</w:t>
      </w:r>
      <w:r w:rsidRPr="00FF5E4D">
        <w:t xml:space="preserve"> Emissions Projections 2020 report forecasts battery electric vehicle sales to reach 26 per cent of annual new vehicle sales</w:t>
      </w:r>
      <w:r w:rsidR="00D6212F">
        <w:t xml:space="preserve"> (DISER 2020b)</w:t>
      </w:r>
      <w:r w:rsidR="006B45C9" w:rsidRPr="00061D9B">
        <w:t xml:space="preserve">. </w:t>
      </w:r>
    </w:p>
    <w:p w14:paraId="4611089D" w14:textId="505A3309" w:rsidR="00A50D41" w:rsidRDefault="005724CC" w:rsidP="00EA3D68">
      <w:pPr>
        <w:spacing w:line="276" w:lineRule="auto"/>
      </w:pPr>
      <w:r>
        <w:t xml:space="preserve">While increased use of electric vehicles can reduce the demand for petrol, it does not yet pose a viable alternative to </w:t>
      </w:r>
      <w:r w:rsidR="009978D0">
        <w:t xml:space="preserve">substantially reduce </w:t>
      </w:r>
      <w:r>
        <w:t xml:space="preserve">diesel </w:t>
      </w:r>
      <w:r w:rsidR="009978D0">
        <w:t xml:space="preserve">demand </w:t>
      </w:r>
      <w:r>
        <w:t>over the medium term.</w:t>
      </w:r>
      <w:r w:rsidR="00A50D41">
        <w:t xml:space="preserve"> </w:t>
      </w:r>
      <w:r w:rsidR="00577F9A">
        <w:t xml:space="preserve">Analysis </w:t>
      </w:r>
      <w:r w:rsidR="00F018A6">
        <w:t>to date show</w:t>
      </w:r>
      <w:r w:rsidR="009978D0">
        <w:t>s</w:t>
      </w:r>
      <w:r w:rsidR="00F018A6">
        <w:t xml:space="preserve"> that even in </w:t>
      </w:r>
      <w:r w:rsidR="00577F9A">
        <w:t>countries with high electric vehicle adoption</w:t>
      </w:r>
      <w:r w:rsidR="00F018A6">
        <w:t>,</w:t>
      </w:r>
      <w:r w:rsidR="00577F9A">
        <w:t xml:space="preserve"> </w:t>
      </w:r>
      <w:r w:rsidR="00F018A6">
        <w:t>such as Norway, the correlation with a decrease in diesel demand is not established.</w:t>
      </w:r>
    </w:p>
    <w:p w14:paraId="153F4B5C" w14:textId="0122A557" w:rsidR="00A54552" w:rsidRPr="00475952" w:rsidRDefault="00615B31" w:rsidP="00A54552">
      <w:pPr>
        <w:pStyle w:val="BodyText"/>
        <w:spacing w:line="276" w:lineRule="auto"/>
        <w:rPr>
          <w:rFonts w:ascii="Arial" w:hAnsi="Arial" w:cs="Arial"/>
        </w:rPr>
      </w:pPr>
      <w:r>
        <w:rPr>
          <w:rFonts w:ascii="Arial" w:hAnsi="Arial" w:cs="Arial"/>
        </w:rPr>
        <w:t>Of all the</w:t>
      </w:r>
      <w:r w:rsidR="008A6DA4">
        <w:rPr>
          <w:rFonts w:ascii="Arial" w:hAnsi="Arial" w:cs="Arial"/>
        </w:rPr>
        <w:t xml:space="preserve"> major</w:t>
      </w:r>
      <w:r>
        <w:rPr>
          <w:rFonts w:ascii="Arial" w:hAnsi="Arial" w:cs="Arial"/>
        </w:rPr>
        <w:t xml:space="preserve"> transport fuels - automotive petrol, automotive diesel and aviation turbine fuel (jet fuel) - diesel is the most important for all Australians, as it underpins the economy</w:t>
      </w:r>
      <w:r w:rsidR="00A54552">
        <w:rPr>
          <w:rFonts w:ascii="Arial" w:hAnsi="Arial" w:cs="Arial"/>
        </w:rPr>
        <w:t xml:space="preserve"> (including road and rail freight, mining and agriculture)</w:t>
      </w:r>
      <w:r>
        <w:rPr>
          <w:rFonts w:ascii="Arial" w:hAnsi="Arial" w:cs="Arial"/>
        </w:rPr>
        <w:t xml:space="preserve"> and critical services, and helps people get through emergencies.</w:t>
      </w:r>
      <w:r w:rsidR="00A54552">
        <w:rPr>
          <w:rFonts w:ascii="Arial" w:hAnsi="Arial" w:cs="Arial"/>
        </w:rPr>
        <w:t xml:space="preserve"> For example, d</w:t>
      </w:r>
      <w:r w:rsidR="00A54552" w:rsidRPr="00475952">
        <w:rPr>
          <w:rFonts w:ascii="Arial" w:hAnsi="Arial" w:cs="Arial"/>
        </w:rPr>
        <w:t>iesel is critical to:</w:t>
      </w:r>
    </w:p>
    <w:p w14:paraId="383AD6DF" w14:textId="77777777" w:rsidR="00A54552" w:rsidRPr="00475952" w:rsidRDefault="00A54552" w:rsidP="00EA3D68">
      <w:pPr>
        <w:pStyle w:val="BodyText"/>
        <w:numPr>
          <w:ilvl w:val="0"/>
          <w:numId w:val="66"/>
        </w:numPr>
        <w:spacing w:before="0" w:after="0" w:line="276" w:lineRule="auto"/>
        <w:rPr>
          <w:rFonts w:ascii="Arial" w:hAnsi="Arial" w:cs="Arial"/>
        </w:rPr>
      </w:pPr>
      <w:r w:rsidRPr="00475952">
        <w:rPr>
          <w:rFonts w:ascii="Arial" w:hAnsi="Arial" w:cs="Arial"/>
        </w:rPr>
        <w:t>Fire and ambulance services: vehicle fuel</w:t>
      </w:r>
    </w:p>
    <w:p w14:paraId="445209AB" w14:textId="77777777" w:rsidR="00A54552" w:rsidRPr="00475952" w:rsidRDefault="00A54552" w:rsidP="00EA3D68">
      <w:pPr>
        <w:pStyle w:val="BodyText"/>
        <w:numPr>
          <w:ilvl w:val="0"/>
          <w:numId w:val="66"/>
        </w:numPr>
        <w:spacing w:before="0" w:after="0" w:line="276" w:lineRule="auto"/>
        <w:rPr>
          <w:rFonts w:ascii="Arial" w:hAnsi="Arial" w:cs="Arial"/>
        </w:rPr>
      </w:pPr>
      <w:r w:rsidRPr="00475952">
        <w:rPr>
          <w:rFonts w:ascii="Arial" w:hAnsi="Arial" w:cs="Arial"/>
        </w:rPr>
        <w:t>Elements of the defence forces: vehicle fuel and some naval capabilities</w:t>
      </w:r>
    </w:p>
    <w:p w14:paraId="1A49CB1A" w14:textId="77777777" w:rsidR="00A54552" w:rsidRPr="00475952" w:rsidRDefault="00A54552" w:rsidP="00EA3D68">
      <w:pPr>
        <w:pStyle w:val="BodyText"/>
        <w:numPr>
          <w:ilvl w:val="0"/>
          <w:numId w:val="66"/>
        </w:numPr>
        <w:spacing w:before="0" w:after="0" w:line="276" w:lineRule="auto"/>
        <w:rPr>
          <w:rFonts w:ascii="Arial" w:hAnsi="Arial" w:cs="Arial"/>
        </w:rPr>
      </w:pPr>
      <w:r w:rsidRPr="00475952">
        <w:rPr>
          <w:rFonts w:ascii="Arial" w:hAnsi="Arial" w:cs="Arial"/>
        </w:rPr>
        <w:t xml:space="preserve">Distribution of food and medicines </w:t>
      </w:r>
      <w:r w:rsidRPr="00475952">
        <w:rPr>
          <w:rFonts w:ascii="Arial" w:hAnsi="Arial" w:cs="Arial"/>
        </w:rPr>
        <w:softHyphen/>
        <w:t>– heavy transport fuel</w:t>
      </w:r>
      <w:r>
        <w:rPr>
          <w:rFonts w:ascii="Arial" w:hAnsi="Arial" w:cs="Arial"/>
        </w:rPr>
        <w:t>,</w:t>
      </w:r>
      <w:r w:rsidRPr="00475952">
        <w:rPr>
          <w:rFonts w:ascii="Arial" w:hAnsi="Arial" w:cs="Arial"/>
        </w:rPr>
        <w:t xml:space="preserve"> road and rail</w:t>
      </w:r>
    </w:p>
    <w:p w14:paraId="1C016017" w14:textId="77777777" w:rsidR="00A54552" w:rsidRPr="00475952" w:rsidRDefault="00A54552" w:rsidP="00EA3D68">
      <w:pPr>
        <w:pStyle w:val="BodyText"/>
        <w:numPr>
          <w:ilvl w:val="0"/>
          <w:numId w:val="66"/>
        </w:numPr>
        <w:spacing w:before="0" w:after="0" w:line="276" w:lineRule="auto"/>
        <w:rPr>
          <w:rFonts w:ascii="Arial" w:hAnsi="Arial" w:cs="Arial"/>
        </w:rPr>
      </w:pPr>
      <w:r w:rsidRPr="00475952">
        <w:rPr>
          <w:rFonts w:ascii="Arial" w:hAnsi="Arial" w:cs="Arial"/>
        </w:rPr>
        <w:t>Backup electricity generation: hospitals, water supply and sanitation</w:t>
      </w:r>
    </w:p>
    <w:p w14:paraId="7BD01C4E" w14:textId="77777777" w:rsidR="00A54552" w:rsidRDefault="00A54552" w:rsidP="00EA3D68">
      <w:pPr>
        <w:pStyle w:val="BodyText"/>
        <w:numPr>
          <w:ilvl w:val="0"/>
          <w:numId w:val="66"/>
        </w:numPr>
        <w:spacing w:before="0" w:after="0" w:line="276" w:lineRule="auto"/>
        <w:rPr>
          <w:rFonts w:ascii="Arial" w:hAnsi="Arial" w:cs="Arial"/>
        </w:rPr>
      </w:pPr>
      <w:r>
        <w:rPr>
          <w:rFonts w:ascii="Arial" w:hAnsi="Arial" w:cs="Arial"/>
        </w:rPr>
        <w:t xml:space="preserve">Large-scale liquid-fuel fired power system generators: ensuring sufficient generation capacity for peak demand, reserve generation for emergency use, and as the only source of electricity smaller remote off-grid communities. </w:t>
      </w:r>
    </w:p>
    <w:p w14:paraId="79DAE740" w14:textId="77777777" w:rsidR="00A54552" w:rsidRDefault="00A54552" w:rsidP="00EA3D68">
      <w:pPr>
        <w:pStyle w:val="BodyText"/>
        <w:numPr>
          <w:ilvl w:val="0"/>
          <w:numId w:val="66"/>
        </w:numPr>
        <w:spacing w:before="0" w:after="0" w:line="276" w:lineRule="auto"/>
        <w:rPr>
          <w:rFonts w:ascii="Arial" w:hAnsi="Arial" w:cs="Arial"/>
        </w:rPr>
      </w:pPr>
      <w:r>
        <w:rPr>
          <w:rFonts w:ascii="Arial" w:hAnsi="Arial" w:cs="Arial"/>
        </w:rPr>
        <w:t>Utilities: water and sewerage, telecommunications, waste, and electricity and gas transmission and distribution services</w:t>
      </w:r>
    </w:p>
    <w:p w14:paraId="58B7546A" w14:textId="2CD28BA0" w:rsidR="00A54552" w:rsidRPr="00186500" w:rsidRDefault="00A54552" w:rsidP="00EA3D68">
      <w:pPr>
        <w:pStyle w:val="BodyText"/>
        <w:numPr>
          <w:ilvl w:val="0"/>
          <w:numId w:val="66"/>
        </w:numPr>
        <w:spacing w:before="0" w:after="0" w:line="276" w:lineRule="auto"/>
        <w:rPr>
          <w:rFonts w:ascii="Arial" w:hAnsi="Arial" w:cs="Arial"/>
        </w:rPr>
      </w:pPr>
      <w:r w:rsidRPr="00475952">
        <w:rPr>
          <w:rFonts w:ascii="Arial" w:hAnsi="Arial" w:cs="Arial"/>
        </w:rPr>
        <w:t>Public transport: bus</w:t>
      </w:r>
      <w:r>
        <w:rPr>
          <w:rFonts w:ascii="Arial" w:hAnsi="Arial" w:cs="Arial"/>
        </w:rPr>
        <w:t>, rail, ferry and taxi services</w:t>
      </w:r>
      <w:r w:rsidRPr="00475952">
        <w:rPr>
          <w:rFonts w:ascii="Arial" w:hAnsi="Arial" w:cs="Arial"/>
        </w:rPr>
        <w:t xml:space="preserve"> fuel if private vehicle use needs to be restricted</w:t>
      </w:r>
    </w:p>
    <w:p w14:paraId="22431661" w14:textId="362D10F6" w:rsidR="00615B31" w:rsidRDefault="00615B31" w:rsidP="00615B31">
      <w:pPr>
        <w:pStyle w:val="BodyText"/>
        <w:spacing w:line="276" w:lineRule="auto"/>
        <w:rPr>
          <w:rFonts w:ascii="Arial" w:hAnsi="Arial"/>
        </w:rPr>
      </w:pPr>
      <w:r>
        <w:rPr>
          <w:rFonts w:ascii="Arial" w:hAnsi="Arial" w:cs="Arial"/>
        </w:rPr>
        <w:t>However, d</w:t>
      </w:r>
      <w:r w:rsidRPr="00823356">
        <w:rPr>
          <w:rFonts w:ascii="Arial" w:hAnsi="Arial" w:cs="Arial"/>
        </w:rPr>
        <w:t>iesel is also the fuel which has the lowest level of consumption cover (see Figure</w:t>
      </w:r>
      <w:r w:rsidR="003E45F9">
        <w:rPr>
          <w:rFonts w:ascii="Arial" w:hAnsi="Arial" w:cs="Arial"/>
        </w:rPr>
        <w:t> </w:t>
      </w:r>
      <w:r w:rsidR="005B2D65">
        <w:rPr>
          <w:rFonts w:ascii="Arial" w:hAnsi="Arial" w:cs="Arial"/>
        </w:rPr>
        <w:t>2</w:t>
      </w:r>
      <w:r w:rsidRPr="00020B3A">
        <w:rPr>
          <w:rFonts w:ascii="Arial" w:hAnsi="Arial" w:cs="Arial"/>
        </w:rPr>
        <w:t>).</w:t>
      </w:r>
      <w:r>
        <w:rPr>
          <w:rFonts w:ascii="Arial" w:hAnsi="Arial" w:cs="Arial"/>
        </w:rPr>
        <w:t xml:space="preserve"> </w:t>
      </w:r>
      <w:r>
        <w:rPr>
          <w:rFonts w:ascii="Arial" w:hAnsi="Arial"/>
        </w:rPr>
        <w:t>Consumption cover</w:t>
      </w:r>
      <w:r w:rsidR="007E0617">
        <w:rPr>
          <w:rStyle w:val="FootnoteReference"/>
          <w:rFonts w:ascii="Arial" w:hAnsi="Arial"/>
        </w:rPr>
        <w:footnoteReference w:id="2"/>
      </w:r>
      <w:r>
        <w:rPr>
          <w:rFonts w:ascii="Arial" w:hAnsi="Arial"/>
        </w:rPr>
        <w:t xml:space="preserve"> is a measure of how long refined products would last if all supply was cut off and demand continued at normal levels. </w:t>
      </w:r>
      <w:r w:rsidRPr="00823356">
        <w:rPr>
          <w:rFonts w:ascii="Arial" w:hAnsi="Arial" w:cs="Arial"/>
        </w:rPr>
        <w:t xml:space="preserve">Consumption cover is </w:t>
      </w:r>
      <w:r w:rsidR="007719C0">
        <w:rPr>
          <w:rFonts w:ascii="Arial" w:hAnsi="Arial" w:cs="Arial"/>
        </w:rPr>
        <w:t xml:space="preserve">an </w:t>
      </w:r>
      <w:r w:rsidRPr="00823356">
        <w:rPr>
          <w:rFonts w:ascii="Arial" w:hAnsi="Arial" w:cs="Arial"/>
        </w:rPr>
        <w:t>appropriate measure of Australia’s fuel stocks, as it counts stocks based on how many days they will last under normal demand. Consumption cover does not count fuel held at service stations or in people’s vehicles; therefore, actual days of cover may be higher.</w:t>
      </w:r>
      <w:r>
        <w:t xml:space="preserve"> </w:t>
      </w:r>
      <w:r>
        <w:rPr>
          <w:rFonts w:ascii="Arial" w:hAnsi="Arial"/>
        </w:rPr>
        <w:t>Over the last decade, the trends in c</w:t>
      </w:r>
      <w:r w:rsidRPr="00475952">
        <w:rPr>
          <w:rFonts w:ascii="Arial" w:hAnsi="Arial"/>
        </w:rPr>
        <w:t xml:space="preserve">onsumption cover </w:t>
      </w:r>
      <w:r>
        <w:rPr>
          <w:rFonts w:ascii="Arial" w:hAnsi="Arial"/>
        </w:rPr>
        <w:t>of petrol, jet fuel and diesel</w:t>
      </w:r>
      <w:r>
        <w:t xml:space="preserve"> </w:t>
      </w:r>
      <w:r>
        <w:rPr>
          <w:rFonts w:ascii="Arial" w:hAnsi="Arial"/>
        </w:rPr>
        <w:t>have been different</w:t>
      </w:r>
      <w:r w:rsidRPr="00475952">
        <w:rPr>
          <w:rFonts w:ascii="Arial" w:hAnsi="Arial"/>
        </w:rPr>
        <w:t xml:space="preserve"> (see Figure</w:t>
      </w:r>
      <w:r w:rsidR="005B2D65">
        <w:rPr>
          <w:rFonts w:ascii="Arial" w:hAnsi="Arial"/>
        </w:rPr>
        <w:t xml:space="preserve"> 2</w:t>
      </w:r>
      <w:r>
        <w:rPr>
          <w:rFonts w:ascii="Arial" w:hAnsi="Arial"/>
        </w:rPr>
        <w:t>)</w:t>
      </w:r>
      <w:r w:rsidRPr="00475952">
        <w:rPr>
          <w:rFonts w:ascii="Arial" w:hAnsi="Arial"/>
        </w:rPr>
        <w:t xml:space="preserve">. </w:t>
      </w:r>
      <w:r>
        <w:rPr>
          <w:rFonts w:ascii="Arial" w:hAnsi="Arial"/>
        </w:rPr>
        <w:t>Petrol consumption cover has steadily increased; jet fuel has remained relatively stable; and diesel has increased over the last five years after bottoming out mid-decade.</w:t>
      </w:r>
    </w:p>
    <w:p w14:paraId="02BE56AB" w14:textId="77777777" w:rsidR="00615B31" w:rsidRDefault="00615B31" w:rsidP="00615B31">
      <w:pPr>
        <w:pStyle w:val="BodyText"/>
        <w:spacing w:line="276" w:lineRule="auto"/>
        <w:rPr>
          <w:rFonts w:ascii="Arial" w:hAnsi="Arial"/>
        </w:rPr>
      </w:pPr>
      <w:r>
        <w:rPr>
          <w:noProof/>
          <w:lang w:eastAsia="en-AU"/>
        </w:rPr>
        <w:lastRenderedPageBreak/>
        <w:drawing>
          <wp:inline distT="0" distB="0" distL="0" distR="0" wp14:anchorId="42E871C2" wp14:editId="28550646">
            <wp:extent cx="5731510" cy="3556635"/>
            <wp:effectExtent l="0" t="0" r="2540" b="5715"/>
            <wp:docPr id="2" name="Chart 2" descr="This chart shows end of month consumption cover stocks for petrol, jet fuel and diesel, across the period July 2010 to November 2019.  "/>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0F7FEA" w14:textId="4FC084AF" w:rsidR="00615B31" w:rsidRPr="004B25E6" w:rsidRDefault="00615B31" w:rsidP="00615B31">
      <w:pPr>
        <w:pStyle w:val="Caption"/>
        <w:jc w:val="center"/>
        <w:rPr>
          <w:color w:val="005677"/>
        </w:rPr>
      </w:pPr>
      <w:r w:rsidRPr="004B25E6">
        <w:rPr>
          <w:color w:val="005677"/>
        </w:rPr>
        <w:t xml:space="preserve">Figure </w:t>
      </w:r>
      <w:r w:rsidR="005B2D65" w:rsidRPr="004B25E6">
        <w:rPr>
          <w:color w:val="005677"/>
        </w:rPr>
        <w:t>2</w:t>
      </w:r>
      <w:r w:rsidRPr="004B25E6">
        <w:rPr>
          <w:color w:val="005677"/>
        </w:rPr>
        <w:t xml:space="preserve"> Month end consumption cover stocks for petrol, jet fuel and diesel in Australia.</w:t>
      </w:r>
    </w:p>
    <w:p w14:paraId="6D6E2408" w14:textId="0B9D5A77" w:rsidR="00615B31" w:rsidRPr="004B25E6" w:rsidRDefault="00615B31" w:rsidP="00186500">
      <w:pPr>
        <w:pStyle w:val="BodyText"/>
        <w:jc w:val="center"/>
        <w:rPr>
          <w:color w:val="005677"/>
          <w:sz w:val="18"/>
        </w:rPr>
      </w:pPr>
      <w:r w:rsidRPr="004B25E6">
        <w:rPr>
          <w:color w:val="005677"/>
          <w:sz w:val="18"/>
        </w:rPr>
        <w:t>Source: Australian Petroleum Statistics December 2019</w:t>
      </w:r>
    </w:p>
    <w:p w14:paraId="2EA43982" w14:textId="77777777" w:rsidR="00A54552" w:rsidRDefault="00A54552">
      <w:pPr>
        <w:pStyle w:val="BodyText"/>
        <w:jc w:val="center"/>
        <w:rPr>
          <w:sz w:val="18"/>
        </w:rPr>
      </w:pPr>
    </w:p>
    <w:p w14:paraId="35692CF6" w14:textId="1A57AA12" w:rsidR="00615B31" w:rsidRDefault="00615B31" w:rsidP="00EA3D68">
      <w:pPr>
        <w:pStyle w:val="BodyText"/>
        <w:spacing w:line="276" w:lineRule="auto"/>
        <w:rPr>
          <w:rFonts w:ascii="Arial" w:hAnsi="Arial" w:cs="Arial"/>
        </w:rPr>
      </w:pPr>
      <w:r w:rsidRPr="00475952">
        <w:rPr>
          <w:rFonts w:ascii="Arial" w:hAnsi="Arial" w:cs="Arial"/>
        </w:rPr>
        <w:t>The decade low point of 10 consumption days for diesel stock (November 2012) coincides with the unscheduled outages at both Melbourne refineries which resulted</w:t>
      </w:r>
      <w:r>
        <w:rPr>
          <w:rFonts w:ascii="Arial" w:hAnsi="Arial" w:cs="Arial"/>
        </w:rPr>
        <w:t xml:space="preserve"> in</w:t>
      </w:r>
      <w:r w:rsidRPr="00475952">
        <w:rPr>
          <w:rFonts w:ascii="Arial" w:hAnsi="Arial" w:cs="Arial"/>
        </w:rPr>
        <w:t xml:space="preserve"> a significant drop in diesel production and led to some stock outs in Victoria. The low diesel stocks in November 2016 (12</w:t>
      </w:r>
      <w:r>
        <w:rPr>
          <w:rFonts w:ascii="Arial" w:hAnsi="Arial" w:cs="Arial"/>
        </w:rPr>
        <w:t> </w:t>
      </w:r>
      <w:r w:rsidRPr="00475952">
        <w:rPr>
          <w:rFonts w:ascii="Arial" w:hAnsi="Arial" w:cs="Arial"/>
        </w:rPr>
        <w:t>consumption days) coincides with unexpectedly high demand from the agricultural sector due to a bumper crop</w:t>
      </w:r>
      <w:r w:rsidR="008A6DA4">
        <w:rPr>
          <w:rFonts w:ascii="Arial" w:hAnsi="Arial" w:cs="Arial"/>
        </w:rPr>
        <w:t>.</w:t>
      </w:r>
      <w:r w:rsidRPr="00475952">
        <w:rPr>
          <w:rFonts w:ascii="Arial" w:hAnsi="Arial" w:cs="Arial"/>
        </w:rPr>
        <w:t xml:space="preserve"> </w:t>
      </w:r>
      <w:r w:rsidR="008A6DA4">
        <w:rPr>
          <w:rFonts w:ascii="Arial" w:hAnsi="Arial" w:cs="Arial"/>
        </w:rPr>
        <w:t>M</w:t>
      </w:r>
      <w:r w:rsidRPr="00475952">
        <w:rPr>
          <w:rFonts w:ascii="Arial" w:hAnsi="Arial" w:cs="Arial"/>
        </w:rPr>
        <w:t>ost agricultural fuel is purchased on the spot market.</w:t>
      </w:r>
      <w:r>
        <w:rPr>
          <w:rFonts w:ascii="Arial" w:hAnsi="Arial" w:cs="Arial"/>
        </w:rPr>
        <w:t xml:space="preserve"> </w:t>
      </w:r>
    </w:p>
    <w:p w14:paraId="70039299" w14:textId="527280F4" w:rsidR="00615B31" w:rsidRDefault="00615B31" w:rsidP="00EA3D68">
      <w:pPr>
        <w:spacing w:line="276" w:lineRule="auto"/>
      </w:pPr>
      <w:r>
        <w:rPr>
          <w:rFonts w:cs="Arial"/>
        </w:rPr>
        <w:t>Localised disruption events do not have a large impact on fuel prices, which are based on import parity pricing and are dominated by global oil prices.</w:t>
      </w:r>
      <w:r w:rsidRPr="005F238A">
        <w:t xml:space="preserve"> </w:t>
      </w:r>
      <w:r>
        <w:t xml:space="preserve">During the low diesel stock events in 2012 and 2016, there </w:t>
      </w:r>
      <w:r w:rsidRPr="008C5FC1">
        <w:t xml:space="preserve">were no reported impacts on the price of fuel. </w:t>
      </w:r>
    </w:p>
    <w:p w14:paraId="714928B6" w14:textId="77777777" w:rsidR="00D32315" w:rsidRDefault="00A54552" w:rsidP="00824E7A">
      <w:pPr>
        <w:pStyle w:val="Heading2"/>
        <w:numPr>
          <w:ilvl w:val="1"/>
          <w:numId w:val="77"/>
        </w:numPr>
      </w:pPr>
      <w:bookmarkStart w:id="53" w:name="_Toc69941550"/>
      <w:bookmarkStart w:id="54" w:name="_Toc70419836"/>
      <w:bookmarkStart w:id="55" w:name="_Toc72394918"/>
      <w:bookmarkStart w:id="56" w:name="_Toc72395661"/>
      <w:r>
        <w:t>Refinery capability</w:t>
      </w:r>
      <w:bookmarkEnd w:id="53"/>
      <w:bookmarkEnd w:id="54"/>
      <w:bookmarkEnd w:id="55"/>
      <w:bookmarkEnd w:id="56"/>
    </w:p>
    <w:p w14:paraId="142662EC" w14:textId="3383852A" w:rsidR="005C4581" w:rsidRDefault="00615B31" w:rsidP="00AF6B41">
      <w:pPr>
        <w:spacing w:line="276" w:lineRule="auto"/>
      </w:pPr>
      <w:r>
        <w:t>Maintaining a domestic refining capability remains strategically valuable for Australia, allowing it to increase its resilience to supply chain shocks. H</w:t>
      </w:r>
      <w:r w:rsidR="008D03A5">
        <w:t>owever, Australian refiner</w:t>
      </w:r>
      <w:r w:rsidR="0041605D">
        <w:t xml:space="preserve">s </w:t>
      </w:r>
      <w:r w:rsidR="00A9075E">
        <w:t>are facing increased competition from regional refineries with more modern technologies</w:t>
      </w:r>
      <w:r w:rsidR="0041605D">
        <w:t xml:space="preserve">. </w:t>
      </w:r>
      <w:r w:rsidR="004F0B91">
        <w:t>Since 30 October 2020, t</w:t>
      </w:r>
      <w:r w:rsidR="0041605D">
        <w:t>wo refiners have announced the closure</w:t>
      </w:r>
      <w:r w:rsidR="00A54552">
        <w:t xml:space="preserve"> of their Australian facilities</w:t>
      </w:r>
      <w:r w:rsidR="006F7A20">
        <w:t xml:space="preserve">. </w:t>
      </w:r>
      <w:r w:rsidR="0041605D">
        <w:t>Without Government intervention, more closures are likely</w:t>
      </w:r>
      <w:r w:rsidR="00A9075E">
        <w:t xml:space="preserve">, leaving </w:t>
      </w:r>
      <w:r w:rsidR="00C52A4E" w:rsidRPr="00C52A4E">
        <w:t>all</w:t>
      </w:r>
      <w:r w:rsidR="00C52A4E">
        <w:t xml:space="preserve"> </w:t>
      </w:r>
      <w:r w:rsidR="00A9075E">
        <w:t>Australia</w:t>
      </w:r>
      <w:r w:rsidR="003612E4">
        <w:t xml:space="preserve">ns </w:t>
      </w:r>
      <w:r w:rsidR="00C52A4E">
        <w:t xml:space="preserve">vulnerable when </w:t>
      </w:r>
      <w:r w:rsidR="003612E4">
        <w:t>our</w:t>
      </w:r>
      <w:r w:rsidR="00821579">
        <w:t xml:space="preserve"> critical services</w:t>
      </w:r>
      <w:r w:rsidR="003612E4">
        <w:t xml:space="preserve"> (which include</w:t>
      </w:r>
      <w:r w:rsidR="00E01FE0">
        <w:t xml:space="preserve"> emergency services, utilities, food production and distribution)</w:t>
      </w:r>
      <w:r w:rsidR="00A9075E">
        <w:t xml:space="preserve"> </w:t>
      </w:r>
      <w:r w:rsidR="00B21E4F">
        <w:t xml:space="preserve">could be </w:t>
      </w:r>
      <w:r w:rsidR="00C52A4E">
        <w:t xml:space="preserve">subject </w:t>
      </w:r>
      <w:r w:rsidR="006F7A20">
        <w:t xml:space="preserve">to shortages in the event of a severe supply disruption. </w:t>
      </w:r>
    </w:p>
    <w:p w14:paraId="619BBE0E" w14:textId="192FC164" w:rsidR="004D7175" w:rsidRDefault="004D7175" w:rsidP="004D7175">
      <w:pPr>
        <w:spacing w:line="276" w:lineRule="auto"/>
      </w:pPr>
      <w:r>
        <w:t>Global refining capacity has been increasing, with refining centres concentrated in the Middle East, China and India</w:t>
      </w:r>
      <w:r w:rsidR="009A6710">
        <w:t>.</w:t>
      </w:r>
      <w:r>
        <w:t xml:space="preserve"> </w:t>
      </w:r>
      <w:r w:rsidR="009A6710">
        <w:t>Forecasts suggest</w:t>
      </w:r>
      <w:r>
        <w:t xml:space="preserve"> that existing and planned refineries will meet and exceed the world’s demand for refined products into the 2030s. The reduction in domestic and international travel in response to the COVID-19 pandemic has exacerbated </w:t>
      </w:r>
      <w:r>
        <w:lastRenderedPageBreak/>
        <w:t>the global oversupply of refined product by causing a collapse in demand, which is likely to be prolonged</w:t>
      </w:r>
      <w:r w:rsidR="00D6212F">
        <w:t xml:space="preserve"> (McKinsey 2020)</w:t>
      </w:r>
      <w:r>
        <w:t>.</w:t>
      </w:r>
      <w:r w:rsidR="00CD6695">
        <w:t xml:space="preserve"> </w:t>
      </w:r>
    </w:p>
    <w:p w14:paraId="467A063E" w14:textId="17EC05DF" w:rsidR="004D7175" w:rsidRPr="00CD6695" w:rsidRDefault="004D7175" w:rsidP="004D7175">
      <w:pPr>
        <w:spacing w:line="276" w:lineRule="auto"/>
      </w:pPr>
      <w:r>
        <w:t xml:space="preserve">Comparatively, </w:t>
      </w:r>
      <w:r w:rsidRPr="00AF6B41">
        <w:rPr>
          <w:lang w:val="x-none"/>
        </w:rPr>
        <w:t>Australia</w:t>
      </w:r>
      <w:r>
        <w:t>n</w:t>
      </w:r>
      <w:r w:rsidRPr="00AF6B41">
        <w:rPr>
          <w:lang w:val="x-none"/>
        </w:rPr>
        <w:t xml:space="preserve"> refineries are relatively small, old and less complex than the export-oriented refineries </w:t>
      </w:r>
      <w:r>
        <w:t>internationally</w:t>
      </w:r>
      <w:r w:rsidRPr="00AF6B41">
        <w:rPr>
          <w:lang w:val="x-none"/>
        </w:rPr>
        <w:t xml:space="preserve">. They also experience higher labour costs than their </w:t>
      </w:r>
      <w:r>
        <w:t>competitors</w:t>
      </w:r>
      <w:r w:rsidRPr="00AF6B41">
        <w:rPr>
          <w:lang w:val="x-none"/>
        </w:rPr>
        <w:t>. In cu</w:t>
      </w:r>
      <w:r w:rsidRPr="0041605D">
        <w:rPr>
          <w:lang w:val="x-none"/>
        </w:rPr>
        <w:t>rrent market conditions a</w:t>
      </w:r>
      <w:r>
        <w:t xml:space="preserve">nd in base case demand scenarios, </w:t>
      </w:r>
      <w:r w:rsidRPr="00AF6B41">
        <w:rPr>
          <w:lang w:val="x-none"/>
        </w:rPr>
        <w:t xml:space="preserve">they do not generate sufficient returns for the owners to invest additional capital in turnarounds and upgrades. </w:t>
      </w:r>
      <w:r>
        <w:t>Given this,</w:t>
      </w:r>
      <w:r w:rsidRPr="00AF6B41">
        <w:rPr>
          <w:lang w:val="x-none"/>
        </w:rPr>
        <w:t xml:space="preserve"> there is a </w:t>
      </w:r>
      <w:r w:rsidR="001853DA">
        <w:t>need to</w:t>
      </w:r>
      <w:r w:rsidR="004E4D6D">
        <w:t xml:space="preserve"> reduce our vulnerability to supply disruptions and</w:t>
      </w:r>
      <w:r w:rsidR="001853DA">
        <w:t xml:space="preserve"> insure against forecasts </w:t>
      </w:r>
      <w:r w:rsidR="004E4D6D">
        <w:t xml:space="preserve">suggesting a medium to high probability </w:t>
      </w:r>
      <w:r w:rsidR="001853DA">
        <w:t xml:space="preserve">that </w:t>
      </w:r>
      <w:r w:rsidRPr="00AF6B41">
        <w:rPr>
          <w:lang w:val="x-none"/>
        </w:rPr>
        <w:t xml:space="preserve">all </w:t>
      </w:r>
      <w:r>
        <w:t xml:space="preserve">Australian </w:t>
      </w:r>
      <w:r w:rsidRPr="00AF6B41">
        <w:rPr>
          <w:lang w:val="x-none"/>
        </w:rPr>
        <w:t xml:space="preserve">refineries </w:t>
      </w:r>
      <w:r w:rsidR="004E4D6D">
        <w:t xml:space="preserve">will </w:t>
      </w:r>
      <w:r w:rsidRPr="00AF6B41">
        <w:rPr>
          <w:lang w:val="x-none"/>
        </w:rPr>
        <w:t xml:space="preserve">close within the </w:t>
      </w:r>
      <w:r w:rsidRPr="00917970">
        <w:rPr>
          <w:lang w:val="x-none"/>
        </w:rPr>
        <w:t>next 10 years</w:t>
      </w:r>
      <w:r w:rsidR="00D6212F">
        <w:t xml:space="preserve"> (McKinsey 2020)</w:t>
      </w:r>
      <w:r w:rsidRPr="00917970">
        <w:rPr>
          <w:lang w:val="x-none"/>
        </w:rPr>
        <w:t>.</w:t>
      </w:r>
      <w:r w:rsidR="00CD6695">
        <w:t xml:space="preserve"> The prolonged collapse in global demand is holding </w:t>
      </w:r>
      <w:r w:rsidR="00627246">
        <w:t xml:space="preserve">refining </w:t>
      </w:r>
      <w:r w:rsidR="00CD6695">
        <w:t xml:space="preserve">prices down and putting additional pressure on Australia’s already </w:t>
      </w:r>
      <w:r w:rsidR="003E704B">
        <w:t xml:space="preserve">struggling </w:t>
      </w:r>
      <w:r w:rsidR="00CD6695">
        <w:t xml:space="preserve">refining sector. </w:t>
      </w:r>
    </w:p>
    <w:p w14:paraId="28435324" w14:textId="2DD35C19" w:rsidR="00A54552" w:rsidRPr="00CD6695" w:rsidRDefault="00FF598F" w:rsidP="004D7175">
      <w:pPr>
        <w:spacing w:line="276" w:lineRule="auto"/>
      </w:pPr>
      <w:r>
        <w:t xml:space="preserve">Australian refiners are also facing expensive infrastructure upgrades in the next decade. </w:t>
      </w:r>
      <w:r w:rsidR="00585712">
        <w:t xml:space="preserve">In 2018 the </w:t>
      </w:r>
      <w:r>
        <w:t xml:space="preserve">former Minister for the Environment regulated </w:t>
      </w:r>
      <w:r w:rsidR="00585712">
        <w:t xml:space="preserve">improvements to fuel quality standards, </w:t>
      </w:r>
      <w:r w:rsidR="00B57857">
        <w:t xml:space="preserve">to progressively come into effect between 2019 and </w:t>
      </w:r>
      <w:r w:rsidR="00585712">
        <w:t xml:space="preserve">2027. </w:t>
      </w:r>
      <w:r w:rsidR="00B57857">
        <w:t>The 2027 change to the petrol standard will require refiners to conduct major infrastructure upgrades to del</w:t>
      </w:r>
      <w:r w:rsidR="004F574F">
        <w:t>i</w:t>
      </w:r>
      <w:r w:rsidR="00B57857">
        <w:t>ver ultra-low-sulfur petrol (</w:t>
      </w:r>
      <w:r w:rsidR="00B57857">
        <w:rPr>
          <w:rFonts w:cs="Arial"/>
        </w:rPr>
        <w:t>≤</w:t>
      </w:r>
      <w:r w:rsidR="00B57857">
        <w:t xml:space="preserve"> 10 ppm sulfur). </w:t>
      </w:r>
      <w:r>
        <w:t xml:space="preserve">Given the financial hardships </w:t>
      </w:r>
      <w:r w:rsidR="00B57857">
        <w:t xml:space="preserve">refiners </w:t>
      </w:r>
      <w:r>
        <w:t xml:space="preserve">are currently faced with, it is unlikely that </w:t>
      </w:r>
      <w:r w:rsidR="00585712" w:rsidRPr="00FA71D0">
        <w:t xml:space="preserve">refiners will be able to justify the cost of the major infrastructure upgrades </w:t>
      </w:r>
      <w:r>
        <w:t xml:space="preserve">necessary </w:t>
      </w:r>
      <w:r w:rsidR="00585712" w:rsidRPr="00FA71D0">
        <w:t xml:space="preserve">to </w:t>
      </w:r>
      <w:r w:rsidR="00B57857">
        <w:t>supply ultra-low-sulfur petrol</w:t>
      </w:r>
      <w:r>
        <w:t>.</w:t>
      </w:r>
      <w:r w:rsidR="00585712" w:rsidRPr="00FA71D0">
        <w:t xml:space="preserve"> </w:t>
      </w:r>
      <w:r>
        <w:t xml:space="preserve">These impending upgrades are placing further pressure on refiners’ commercial viability. </w:t>
      </w:r>
    </w:p>
    <w:p w14:paraId="2C04769A" w14:textId="2B51794B" w:rsidR="00652260" w:rsidRDefault="007537C7" w:rsidP="00AF6B41">
      <w:pPr>
        <w:spacing w:line="276" w:lineRule="auto"/>
      </w:pPr>
      <w:r w:rsidRPr="00FF5E4D">
        <w:t>In 2019</w:t>
      </w:r>
      <w:r w:rsidR="00652260" w:rsidRPr="00FF5E4D">
        <w:t>, our refineries process</w:t>
      </w:r>
      <w:r w:rsidR="009A6710" w:rsidRPr="00FF5E4D">
        <w:t>ed</w:t>
      </w:r>
      <w:r w:rsidR="00652260" w:rsidRPr="00FF5E4D">
        <w:t xml:space="preserve"> imported and domestic crude oil and provide</w:t>
      </w:r>
      <w:r w:rsidR="009A6710" w:rsidRPr="00FF5E4D">
        <w:t>d</w:t>
      </w:r>
      <w:r w:rsidR="00652260" w:rsidRPr="00FF5E4D">
        <w:t xml:space="preserve"> </w:t>
      </w:r>
      <w:r w:rsidRPr="00FF5E4D">
        <w:t xml:space="preserve">47 </w:t>
      </w:r>
      <w:r w:rsidR="00652260" w:rsidRPr="00FF5E4D">
        <w:t>per cent of refined products in Australia. This domestic refinery production comprise</w:t>
      </w:r>
      <w:r w:rsidR="00B21E4F" w:rsidRPr="00FF5E4D">
        <w:t>d</w:t>
      </w:r>
      <w:r w:rsidR="00652260" w:rsidRPr="00FF5E4D">
        <w:t xml:space="preserve"> </w:t>
      </w:r>
      <w:r w:rsidRPr="00FF5E4D">
        <w:t xml:space="preserve">61 </w:t>
      </w:r>
      <w:r w:rsidR="00652260" w:rsidRPr="00FF5E4D">
        <w:t xml:space="preserve">per cent of our petrol, </w:t>
      </w:r>
      <w:r w:rsidRPr="00FF5E4D">
        <w:t xml:space="preserve">30 </w:t>
      </w:r>
      <w:r w:rsidR="00652260" w:rsidRPr="00FF5E4D">
        <w:t xml:space="preserve">per cent of our diesel and </w:t>
      </w:r>
      <w:r w:rsidRPr="00FF5E4D">
        <w:t xml:space="preserve">41 </w:t>
      </w:r>
      <w:r w:rsidR="00652260" w:rsidRPr="00FF5E4D">
        <w:t>per cent of jet fuels</w:t>
      </w:r>
      <w:r w:rsidR="00D6212F" w:rsidRPr="00FF5E4D">
        <w:t xml:space="preserve"> (DISER 2021)</w:t>
      </w:r>
      <w:r w:rsidR="00652260" w:rsidRPr="00FF5E4D">
        <w:t>.</w:t>
      </w:r>
      <w:r w:rsidR="00652260">
        <w:t xml:space="preserve"> As BP and Exxon</w:t>
      </w:r>
      <w:r w:rsidR="001D1B34">
        <w:t>Mobil</w:t>
      </w:r>
      <w:r w:rsidR="00652260">
        <w:t xml:space="preserve"> close their refineries</w:t>
      </w:r>
      <w:r w:rsidR="009A6710">
        <w:t xml:space="preserve"> </w:t>
      </w:r>
      <w:r w:rsidR="00652260">
        <w:t xml:space="preserve">this domestic production will reduce. </w:t>
      </w:r>
      <w:r w:rsidR="00652260" w:rsidRPr="005C4581">
        <w:t xml:space="preserve">The </w:t>
      </w:r>
      <w:r w:rsidR="009A6710">
        <w:t xml:space="preserve">remaining </w:t>
      </w:r>
      <w:r w:rsidR="00652260" w:rsidRPr="005C4581">
        <w:t xml:space="preserve">refineries are </w:t>
      </w:r>
      <w:r w:rsidR="009A6710">
        <w:t xml:space="preserve">currently </w:t>
      </w:r>
      <w:r w:rsidR="00652260" w:rsidRPr="005C4581">
        <w:t xml:space="preserve">running at about 90 per cent </w:t>
      </w:r>
      <w:r w:rsidR="00652260" w:rsidRPr="00E31C24">
        <w:t>capacity</w:t>
      </w:r>
      <w:r w:rsidR="00652260" w:rsidRPr="006E4044">
        <w:t>.</w:t>
      </w:r>
      <w:r w:rsidR="00652260" w:rsidRPr="005C4581">
        <w:t xml:space="preserve"> This means there is very little capacity to increase production in response to a surge in demand.</w:t>
      </w:r>
    </w:p>
    <w:p w14:paraId="620AD4E5" w14:textId="5D78EBD5" w:rsidR="00AA080B" w:rsidRDefault="00410CB9" w:rsidP="00AF6B41">
      <w:pPr>
        <w:spacing w:line="276" w:lineRule="auto"/>
      </w:pPr>
      <w:r>
        <w:t>While refiners were already under financial pressure, the COVID-</w:t>
      </w:r>
      <w:r w:rsidR="00F65C84">
        <w:t xml:space="preserve">19 crisis was the final trigger for </w:t>
      </w:r>
      <w:r w:rsidR="00B21E4F">
        <w:t xml:space="preserve">the </w:t>
      </w:r>
      <w:r w:rsidR="00F65C84">
        <w:t xml:space="preserve">closure </w:t>
      </w:r>
      <w:r w:rsidR="00B21E4F">
        <w:t xml:space="preserve">of </w:t>
      </w:r>
      <w:r w:rsidR="00682B2D">
        <w:t xml:space="preserve">the </w:t>
      </w:r>
      <w:r>
        <w:t>B</w:t>
      </w:r>
      <w:r w:rsidR="002B34B3">
        <w:t>P</w:t>
      </w:r>
      <w:r>
        <w:t xml:space="preserve"> and ExxonMobil</w:t>
      </w:r>
      <w:r w:rsidR="00B21E4F">
        <w:t xml:space="preserve"> refineries</w:t>
      </w:r>
      <w:r>
        <w:t xml:space="preserve">. </w:t>
      </w:r>
      <w:r w:rsidR="00F65C84" w:rsidRPr="00FF5E4D">
        <w:t>In the current low demand, low margin conditions, both companies assessed that their Australian refineries were not currently financially viable</w:t>
      </w:r>
      <w:r w:rsidR="004F77D9" w:rsidRPr="00FF5E4D">
        <w:t xml:space="preserve"> and that no level of Government support would alter these closure decisions</w:t>
      </w:r>
      <w:r w:rsidR="00F65C84" w:rsidRPr="00FF5E4D">
        <w:t>.</w:t>
      </w:r>
      <w:r w:rsidR="00F65C84" w:rsidRPr="00F65C84">
        <w:t xml:space="preserve"> </w:t>
      </w:r>
      <w:r w:rsidR="00AA080B" w:rsidRPr="007738BB">
        <w:t xml:space="preserve">Recent announcements from </w:t>
      </w:r>
      <w:r w:rsidR="00C77CBE">
        <w:t>the remaining refiners</w:t>
      </w:r>
      <w:r w:rsidR="00C110C9">
        <w:t xml:space="preserve">, which are both ASX listed, </w:t>
      </w:r>
      <w:r w:rsidR="00AA080B" w:rsidRPr="007738BB">
        <w:t xml:space="preserve">have </w:t>
      </w:r>
      <w:r w:rsidR="00C77CBE">
        <w:t>highlighted</w:t>
      </w:r>
      <w:r w:rsidR="009706C4">
        <w:t xml:space="preserve"> </w:t>
      </w:r>
      <w:r w:rsidR="00C77CBE">
        <w:t>significant</w:t>
      </w:r>
      <w:r w:rsidR="009706C4">
        <w:t xml:space="preserve"> financial losses</w:t>
      </w:r>
      <w:r w:rsidR="00C22294">
        <w:t>.</w:t>
      </w:r>
      <w:r w:rsidR="00C77CBE">
        <w:t xml:space="preserve"> </w:t>
      </w:r>
      <w:r w:rsidR="009A6710">
        <w:t>In 20</w:t>
      </w:r>
      <w:r w:rsidR="00A85D85">
        <w:t>20</w:t>
      </w:r>
      <w:r w:rsidR="00816715">
        <w:t>,</w:t>
      </w:r>
      <w:r w:rsidR="009A6710">
        <w:t xml:space="preserve"> </w:t>
      </w:r>
      <w:r w:rsidR="00E728A1">
        <w:t>Viva Energy</w:t>
      </w:r>
      <w:r w:rsidR="009A6710">
        <w:t xml:space="preserve"> reported financial losses </w:t>
      </w:r>
      <w:r w:rsidR="00816715">
        <w:t xml:space="preserve">from refining </w:t>
      </w:r>
      <w:r w:rsidR="009A6710">
        <w:t>of $</w:t>
      </w:r>
      <w:r w:rsidR="00A85D85">
        <w:t>95.1</w:t>
      </w:r>
      <w:r w:rsidR="00C110C9">
        <w:t> </w:t>
      </w:r>
      <w:r w:rsidR="00E728A1">
        <w:t>million.</w:t>
      </w:r>
      <w:r w:rsidR="00A85D85">
        <w:t xml:space="preserve"> </w:t>
      </w:r>
      <w:r w:rsidR="007A413A">
        <w:t>Given</w:t>
      </w:r>
      <w:r w:rsidR="00A85D85">
        <w:t xml:space="preserve"> </w:t>
      </w:r>
      <w:r w:rsidR="000A1301">
        <w:t>refining</w:t>
      </w:r>
      <w:r w:rsidR="00A85D85">
        <w:t xml:space="preserve"> profits </w:t>
      </w:r>
      <w:r w:rsidR="000A1301">
        <w:t xml:space="preserve">totalled </w:t>
      </w:r>
      <w:r w:rsidR="00A85D85">
        <w:t>$117 million</w:t>
      </w:r>
      <w:r w:rsidR="007A413A">
        <w:t xml:space="preserve"> in 2019</w:t>
      </w:r>
      <w:r w:rsidR="00A85D85">
        <w:t>, this was a</w:t>
      </w:r>
      <w:r w:rsidR="007A413A">
        <w:t>n overall</w:t>
      </w:r>
      <w:r w:rsidR="00A85D85">
        <w:t xml:space="preserve"> loss of $212 million </w:t>
      </w:r>
      <w:r w:rsidR="007A413A">
        <w:t xml:space="preserve">compared with </w:t>
      </w:r>
      <w:r w:rsidR="00A85D85">
        <w:t>the previous year.</w:t>
      </w:r>
      <w:r w:rsidR="00E728A1">
        <w:t xml:space="preserve"> </w:t>
      </w:r>
      <w:r w:rsidR="00AA080B" w:rsidRPr="007738BB">
        <w:t>Ampol</w:t>
      </w:r>
      <w:r w:rsidR="00AA080B" w:rsidRPr="007738BB" w:rsidDel="00C110C9">
        <w:t xml:space="preserve"> </w:t>
      </w:r>
      <w:r w:rsidR="00AA080B" w:rsidRPr="007738BB">
        <w:t xml:space="preserve">incurred a </w:t>
      </w:r>
      <w:r w:rsidR="00816715">
        <w:t xml:space="preserve">refining </w:t>
      </w:r>
      <w:r w:rsidR="00AA080B" w:rsidRPr="007738BB">
        <w:t>loss of $</w:t>
      </w:r>
      <w:r w:rsidR="007A413A">
        <w:t>76</w:t>
      </w:r>
      <w:r w:rsidR="00AA080B" w:rsidRPr="007738BB">
        <w:t xml:space="preserve"> million </w:t>
      </w:r>
      <w:r w:rsidR="00334EAF">
        <w:t>in</w:t>
      </w:r>
      <w:r w:rsidR="00AA080B" w:rsidRPr="007738BB">
        <w:t xml:space="preserve"> </w:t>
      </w:r>
      <w:r w:rsidR="006426C3">
        <w:t>2020</w:t>
      </w:r>
      <w:r w:rsidR="007A413A">
        <w:t xml:space="preserve"> at their Lytton refinery</w:t>
      </w:r>
      <w:r w:rsidR="00AA080B" w:rsidRPr="007738BB">
        <w:t xml:space="preserve">, which included the cost of bringing forward planned maintenance. </w:t>
      </w:r>
      <w:r w:rsidR="00F37D80">
        <w:t xml:space="preserve">As at </w:t>
      </w:r>
      <w:r w:rsidR="00C510CE">
        <w:t xml:space="preserve">May </w:t>
      </w:r>
      <w:r w:rsidR="00F37D80">
        <w:t xml:space="preserve">2021, </w:t>
      </w:r>
      <w:r w:rsidR="00AA080B" w:rsidRPr="007738BB">
        <w:t xml:space="preserve">Ampol is conducting a comprehensive review of </w:t>
      </w:r>
      <w:r w:rsidR="000535FE">
        <w:t>its</w:t>
      </w:r>
      <w:r w:rsidR="00AA080B" w:rsidRPr="007738BB">
        <w:t xml:space="preserve"> Lytton refinery and related supply chains to determine the best operating model over the medium term. The review is expected to be concluded </w:t>
      </w:r>
      <w:r w:rsidR="00334EAF">
        <w:t>by the</w:t>
      </w:r>
      <w:r w:rsidR="00AA080B" w:rsidRPr="007738BB">
        <w:t xml:space="preserve"> second quarter of 2021.</w:t>
      </w:r>
    </w:p>
    <w:p w14:paraId="2B788217" w14:textId="145D0E04" w:rsidR="005473F2" w:rsidRPr="004D7175" w:rsidRDefault="005473F2" w:rsidP="005473F2">
      <w:pPr>
        <w:spacing w:before="0" w:after="0"/>
      </w:pPr>
      <w:r w:rsidRPr="004D7175">
        <w:t>The loss of domestic refineries would have further adverse consequence</w:t>
      </w:r>
      <w:r w:rsidR="003E704B">
        <w:t>s for Australia</w:t>
      </w:r>
      <w:r w:rsidRPr="004D7175">
        <w:t>, including:</w:t>
      </w:r>
    </w:p>
    <w:p w14:paraId="492366E0" w14:textId="07F87700" w:rsidR="005473F2" w:rsidRPr="004D7175" w:rsidRDefault="005473F2" w:rsidP="00B86109">
      <w:pPr>
        <w:pStyle w:val="ListParagraph"/>
        <w:numPr>
          <w:ilvl w:val="0"/>
          <w:numId w:val="13"/>
        </w:numPr>
        <w:suppressAutoHyphens/>
        <w:autoSpaceDE w:val="0"/>
        <w:autoSpaceDN w:val="0"/>
        <w:adjustRightInd w:val="0"/>
        <w:spacing w:line="280" w:lineRule="atLeast"/>
        <w:ind w:left="567" w:hanging="284"/>
        <w:contextualSpacing w:val="0"/>
        <w:textAlignment w:val="center"/>
        <w:rPr>
          <w:rFonts w:ascii="Arial" w:hAnsi="Arial" w:cs="Arial"/>
        </w:rPr>
      </w:pPr>
      <w:r w:rsidRPr="004D7175">
        <w:rPr>
          <w:rFonts w:ascii="Arial" w:hAnsi="Arial" w:cs="Arial"/>
        </w:rPr>
        <w:t>the loss of our ability to refine domestic</w:t>
      </w:r>
      <w:r w:rsidR="003E704B">
        <w:rPr>
          <w:rFonts w:ascii="Arial" w:hAnsi="Arial" w:cs="Arial"/>
        </w:rPr>
        <w:t xml:space="preserve"> crude </w:t>
      </w:r>
      <w:r w:rsidRPr="004D7175">
        <w:rPr>
          <w:rFonts w:ascii="Arial" w:hAnsi="Arial" w:cs="Arial"/>
        </w:rPr>
        <w:t>oil</w:t>
      </w:r>
      <w:r w:rsidR="00C110C9">
        <w:rPr>
          <w:rFonts w:ascii="Arial" w:hAnsi="Arial" w:cs="Arial"/>
        </w:rPr>
        <w:t>, if required</w:t>
      </w:r>
    </w:p>
    <w:p w14:paraId="6E2E73E4" w14:textId="61F9F12C" w:rsidR="005473F2" w:rsidRPr="004D7175" w:rsidRDefault="005473F2" w:rsidP="00B86109">
      <w:pPr>
        <w:pStyle w:val="ListParagraph"/>
        <w:numPr>
          <w:ilvl w:val="0"/>
          <w:numId w:val="13"/>
        </w:numPr>
        <w:suppressAutoHyphens/>
        <w:autoSpaceDE w:val="0"/>
        <w:autoSpaceDN w:val="0"/>
        <w:adjustRightInd w:val="0"/>
        <w:spacing w:line="280" w:lineRule="atLeast"/>
        <w:ind w:left="567" w:hanging="284"/>
        <w:contextualSpacing w:val="0"/>
        <w:textAlignment w:val="center"/>
        <w:rPr>
          <w:rFonts w:ascii="Arial" w:hAnsi="Arial" w:cs="Arial"/>
        </w:rPr>
      </w:pPr>
      <w:r w:rsidRPr="004D7175">
        <w:rPr>
          <w:rFonts w:ascii="Arial" w:hAnsi="Arial" w:cs="Arial"/>
        </w:rPr>
        <w:t>put</w:t>
      </w:r>
      <w:r w:rsidR="00A03BFB">
        <w:rPr>
          <w:rFonts w:ascii="Arial" w:hAnsi="Arial" w:cs="Arial"/>
        </w:rPr>
        <w:t>ting</w:t>
      </w:r>
      <w:r w:rsidRPr="004D7175">
        <w:rPr>
          <w:rFonts w:ascii="Arial" w:hAnsi="Arial" w:cs="Arial"/>
        </w:rPr>
        <w:t xml:space="preserve"> </w:t>
      </w:r>
      <w:r w:rsidR="00EA4DAE">
        <w:rPr>
          <w:rFonts w:ascii="Arial" w:hAnsi="Arial" w:cs="Arial"/>
        </w:rPr>
        <w:t>the</w:t>
      </w:r>
      <w:r w:rsidRPr="004D7175">
        <w:rPr>
          <w:rFonts w:ascii="Arial" w:hAnsi="Arial" w:cs="Arial"/>
        </w:rPr>
        <w:t xml:space="preserve"> petrochemical industry, particularly in Victoria, at risk</w:t>
      </w:r>
      <w:r w:rsidR="00A03BFB">
        <w:rPr>
          <w:rFonts w:ascii="Arial" w:hAnsi="Arial" w:cs="Arial"/>
        </w:rPr>
        <w:t>.</w:t>
      </w:r>
    </w:p>
    <w:p w14:paraId="0720EDD7" w14:textId="7DA29CF1" w:rsidR="005473F2" w:rsidRPr="004D7175" w:rsidRDefault="005473F2" w:rsidP="004D7175">
      <w:pPr>
        <w:spacing w:line="276" w:lineRule="auto"/>
      </w:pPr>
      <w:r w:rsidRPr="004D7175">
        <w:t xml:space="preserve">Modelling of the supply chain and testing of disruption scenarios showed that refineries have an important strategic role to play in our fuel security. In a country that relies on imports and that has long supply lines, refineries can assist in managing contaminated fuel loads, particularly for jet fuel. Some terminals are able to filter contaminated fuels </w:t>
      </w:r>
      <w:r w:rsidR="00C110C9">
        <w:t>and</w:t>
      </w:r>
      <w:r w:rsidRPr="004D7175">
        <w:t xml:space="preserve">, if further </w:t>
      </w:r>
      <w:r w:rsidRPr="004D7175">
        <w:lastRenderedPageBreak/>
        <w:t xml:space="preserve">refinement is required, Australian refineries can return product to the market </w:t>
      </w:r>
      <w:r w:rsidR="00C110C9">
        <w:t>quickly</w:t>
      </w:r>
      <w:r w:rsidRPr="004D7175">
        <w:t>. Without domestic refineries</w:t>
      </w:r>
      <w:r w:rsidR="00471DDD">
        <w:t>,</w:t>
      </w:r>
      <w:r w:rsidRPr="004D7175">
        <w:t xml:space="preserve"> this product would need to be returned to regional refineries in Asia. </w:t>
      </w:r>
      <w:r w:rsidR="002260F4" w:rsidRPr="00FF5E4D">
        <w:t>As noted earlier, domestic refineries can also help in emergencies by ensuring Australia is able to refine the crude oil that is produced in the country</w:t>
      </w:r>
      <w:r w:rsidR="00DE2B97" w:rsidRPr="00FF5E4D">
        <w:t>,</w:t>
      </w:r>
      <w:r w:rsidR="002260F4" w:rsidRPr="00FF5E4D">
        <w:t xml:space="preserve"> to maintain liquid fuel supply for critical services.</w:t>
      </w:r>
    </w:p>
    <w:p w14:paraId="51F34E51" w14:textId="5B806470" w:rsidR="00D32315" w:rsidRPr="006C7F6B" w:rsidRDefault="00D32315" w:rsidP="00824E7A">
      <w:pPr>
        <w:pStyle w:val="Heading2"/>
        <w:numPr>
          <w:ilvl w:val="1"/>
          <w:numId w:val="77"/>
        </w:numPr>
      </w:pPr>
      <w:bookmarkStart w:id="57" w:name="_Toc70419837"/>
      <w:bookmarkStart w:id="58" w:name="_Toc70607233"/>
      <w:bookmarkStart w:id="59" w:name="_Toc70607291"/>
      <w:bookmarkStart w:id="60" w:name="_Toc70607805"/>
      <w:bookmarkStart w:id="61" w:name="_Toc70609243"/>
      <w:bookmarkStart w:id="62" w:name="_Toc71107362"/>
      <w:bookmarkStart w:id="63" w:name="_Toc70419838"/>
      <w:bookmarkStart w:id="64" w:name="_Toc72394919"/>
      <w:bookmarkStart w:id="65" w:name="_Toc72395662"/>
      <w:bookmarkEnd w:id="57"/>
      <w:bookmarkEnd w:id="58"/>
      <w:bookmarkEnd w:id="59"/>
      <w:bookmarkEnd w:id="60"/>
      <w:bookmarkEnd w:id="61"/>
      <w:bookmarkEnd w:id="62"/>
      <w:r>
        <w:t>Domestic stockholdings</w:t>
      </w:r>
      <w:bookmarkEnd w:id="63"/>
      <w:bookmarkEnd w:id="64"/>
      <w:bookmarkEnd w:id="65"/>
    </w:p>
    <w:p w14:paraId="2CE4FC2A" w14:textId="125992EF" w:rsidR="005A72DA" w:rsidRPr="00B11C3D" w:rsidRDefault="009763C6" w:rsidP="004D7175">
      <w:pPr>
        <w:spacing w:line="276" w:lineRule="auto"/>
      </w:pPr>
      <w:r w:rsidRPr="00B11C3D">
        <w:t xml:space="preserve">Australia is heavily reliant on commercial stocks of crude oil and refined products to maintain fuel supplies. </w:t>
      </w:r>
      <w:r w:rsidR="00C110C9">
        <w:t xml:space="preserve">The use of commercial stocks provides an effective buffer in the case of </w:t>
      </w:r>
      <w:r w:rsidR="00FB626D" w:rsidRPr="00B11C3D">
        <w:t>minor disruptions, h</w:t>
      </w:r>
      <w:r w:rsidR="00DB0075" w:rsidRPr="00B11C3D">
        <w:t xml:space="preserve">owever fuel companies do not hold </w:t>
      </w:r>
      <w:r w:rsidR="00C110C9">
        <w:t>sufficient</w:t>
      </w:r>
      <w:r w:rsidR="00C110C9" w:rsidRPr="00B11C3D">
        <w:t xml:space="preserve"> </w:t>
      </w:r>
      <w:r w:rsidR="00DB0075" w:rsidRPr="00B11C3D">
        <w:t xml:space="preserve">stocks to cover moderate to severe disruption events. This means that during a national </w:t>
      </w:r>
      <w:r w:rsidR="00C110C9">
        <w:t xml:space="preserve">liquid </w:t>
      </w:r>
      <w:r w:rsidR="00AF6B41" w:rsidRPr="00B11C3D">
        <w:t xml:space="preserve">fuel </w:t>
      </w:r>
      <w:r w:rsidR="00DB0075" w:rsidRPr="00B11C3D">
        <w:t xml:space="preserve">emergency, </w:t>
      </w:r>
      <w:r w:rsidR="00F4401A" w:rsidRPr="00B11C3D">
        <w:t>resilience</w:t>
      </w:r>
      <w:r w:rsidR="00DB0075" w:rsidRPr="00B11C3D">
        <w:t xml:space="preserve"> depends </w:t>
      </w:r>
      <w:r w:rsidR="00EA4DAE">
        <w:t xml:space="preserve">on </w:t>
      </w:r>
      <w:r w:rsidR="00F4401A" w:rsidRPr="00B11C3D">
        <w:t>sufficient supplies being held by industry</w:t>
      </w:r>
      <w:r w:rsidR="00DB0075" w:rsidRPr="00B11C3D">
        <w:t xml:space="preserve">, </w:t>
      </w:r>
      <w:r w:rsidR="00FB626D" w:rsidRPr="00B11C3D">
        <w:t xml:space="preserve">placing </w:t>
      </w:r>
      <w:r w:rsidR="00471DDD">
        <w:t>G</w:t>
      </w:r>
      <w:r w:rsidR="00FB626D" w:rsidRPr="00B11C3D">
        <w:t>overnment and consumers at risk.</w:t>
      </w:r>
    </w:p>
    <w:p w14:paraId="4A34ABF8" w14:textId="79F41A77" w:rsidR="00AC050D" w:rsidRDefault="00AC050D" w:rsidP="004D7175">
      <w:pPr>
        <w:spacing w:line="276" w:lineRule="auto"/>
      </w:pPr>
      <w:r>
        <w:t>W</w:t>
      </w:r>
      <w:r w:rsidRPr="008C5FC1">
        <w:t xml:space="preserve">hile some major users (such as mining companies and the agricultural sector) hold their own stocks, many users hold limited stocks, expecting that either fuel suppliers will deliver what they need—even in disruptions—or that the Government will step in. </w:t>
      </w:r>
      <w:r w:rsidR="003C7DA0" w:rsidRPr="00FF5E4D">
        <w:t>Setting a minimum stockholding obligation</w:t>
      </w:r>
      <w:r w:rsidRPr="00FF5E4D" w:rsidDel="003C7DA0">
        <w:t xml:space="preserve"> </w:t>
      </w:r>
      <w:r w:rsidR="00FD6151" w:rsidRPr="00FF5E4D">
        <w:t xml:space="preserve">(MSO) </w:t>
      </w:r>
      <w:r w:rsidR="00DE2B97" w:rsidRPr="00FF5E4D">
        <w:t>is a common international practice,</w:t>
      </w:r>
      <w:r w:rsidR="00DE2B97">
        <w:t xml:space="preserve"> and </w:t>
      </w:r>
      <w:r w:rsidR="003C7DA0">
        <w:t>will</w:t>
      </w:r>
      <w:r w:rsidR="003C7DA0" w:rsidRPr="008C5FC1">
        <w:t xml:space="preserve"> </w:t>
      </w:r>
      <w:r w:rsidRPr="008C5FC1">
        <w:t xml:space="preserve">provide industry, users and governments with confidence about the level of risk and redundancy in fuel supply. </w:t>
      </w:r>
      <w:r w:rsidR="003C7DA0">
        <w:t xml:space="preserve">It will also provide the </w:t>
      </w:r>
      <w:r w:rsidRPr="008C5FC1">
        <w:t xml:space="preserve">Government </w:t>
      </w:r>
      <w:r w:rsidR="003C7DA0">
        <w:t xml:space="preserve">with the ability </w:t>
      </w:r>
      <w:r w:rsidRPr="008C5FC1">
        <w:t xml:space="preserve">to make </w:t>
      </w:r>
      <w:r w:rsidR="003C7DA0">
        <w:t xml:space="preserve">effective </w:t>
      </w:r>
      <w:r w:rsidRPr="008C5FC1">
        <w:t>decision</w:t>
      </w:r>
      <w:r w:rsidR="003C7DA0">
        <w:t>s in the case of severe shortages</w:t>
      </w:r>
      <w:r w:rsidRPr="008C5FC1">
        <w:t xml:space="preserve">. </w:t>
      </w:r>
      <w:r w:rsidR="00C52A4E">
        <w:t xml:space="preserve">During an emergency, </w:t>
      </w:r>
      <w:r w:rsidR="00C52A4E" w:rsidRPr="00C52A4E">
        <w:t>Government relies on the commercial assessments of companies as part of their decision-making process. The MSO adds a</w:t>
      </w:r>
      <w:r w:rsidR="00C52A4E">
        <w:t>n extra</w:t>
      </w:r>
      <w:r w:rsidR="00C52A4E" w:rsidRPr="00C52A4E">
        <w:t xml:space="preserve"> ‘tool’ to the Government’s response options and gives us greater oversight of actual stock levels.</w:t>
      </w:r>
    </w:p>
    <w:p w14:paraId="00A1AE24" w14:textId="0FFB6D55" w:rsidR="005B2D65" w:rsidRPr="008C5FC1" w:rsidRDefault="005B2D65" w:rsidP="004D7175">
      <w:pPr>
        <w:spacing w:line="276" w:lineRule="auto"/>
      </w:pPr>
      <w:r>
        <w:t xml:space="preserve">The MSO </w:t>
      </w:r>
      <w:r w:rsidR="00B50F54">
        <w:t>is becoming more important as the number of domestic refineries reduces</w:t>
      </w:r>
      <w:r>
        <w:t xml:space="preserve">. As the country transitions to a market with two domestic refineries, Australia no longer has indefinite protection against supply shortages. As outlined in Table 1, </w:t>
      </w:r>
      <w:r w:rsidR="002B34B3">
        <w:t xml:space="preserve">in a situation with no imports, </w:t>
      </w:r>
      <w:r>
        <w:t>critical diesel demand using domestic crude</w:t>
      </w:r>
      <w:r w:rsidR="002B34B3">
        <w:t xml:space="preserve"> </w:t>
      </w:r>
      <w:r w:rsidR="00895D27">
        <w:t xml:space="preserve">is supported </w:t>
      </w:r>
      <w:r w:rsidR="002B34B3">
        <w:t>for a finite time</w:t>
      </w:r>
      <w:r>
        <w:t xml:space="preserve">. </w:t>
      </w:r>
      <w:r w:rsidR="002B34B3">
        <w:t xml:space="preserve">This table demonstrates how the MSO increases the time Australia can keep the country going in an emergency. If another refinery were to close, the MSO </w:t>
      </w:r>
      <w:r w:rsidR="00895D27">
        <w:t xml:space="preserve">would </w:t>
      </w:r>
      <w:r w:rsidR="002B34B3">
        <w:t>become even more critical to sustaining Australia’s fuel supply</w:t>
      </w:r>
      <w:r w:rsidR="00895D27">
        <w:t>, and the Government could consider increasing the MSO to take this into account</w:t>
      </w:r>
      <w:r w:rsidR="002B34B3">
        <w:t xml:space="preserve">. </w:t>
      </w:r>
    </w:p>
    <w:p w14:paraId="08467CDC" w14:textId="7A1BE714" w:rsidR="00177C26" w:rsidRDefault="00177C26" w:rsidP="004D7175">
      <w:pPr>
        <w:spacing w:line="276" w:lineRule="auto"/>
      </w:pPr>
      <w:r w:rsidRPr="008C5FC1">
        <w:t xml:space="preserve">In 2018–19 </w:t>
      </w:r>
      <w:r w:rsidRPr="00005F2D">
        <w:t xml:space="preserve">Australia sourced crude oil from 40 countries, with 90 per cent sourced from 10 countries. </w:t>
      </w:r>
      <w:r w:rsidR="00005F2D" w:rsidRPr="00005F2D">
        <w:t xml:space="preserve">Australia has about 0.3 per cent of the world’s oil production but only 0.2 per cent of proven global reserves with reserves depleting faster than they are being replenished by new discoveries. In 2017-18, oil exports brought in $5.2 billion to the Australian economy. </w:t>
      </w:r>
      <w:r w:rsidRPr="00005F2D">
        <w:t>Our largest crude oil supplier was Malaysia, followed by the United</w:t>
      </w:r>
      <w:r w:rsidRPr="008C5FC1">
        <w:t xml:space="preserve"> Arab Emirates, Brunei Darussalam, Algeria and </w:t>
      </w:r>
      <w:r>
        <w:t>Indonesia</w:t>
      </w:r>
      <w:r w:rsidR="00D6212F">
        <w:t xml:space="preserve"> (DISER 2020c)</w:t>
      </w:r>
      <w:r w:rsidRPr="008C5FC1">
        <w:t xml:space="preserve">. Australia sourced refined product from 66 countries, with Singapore providing the largest amount, followed by the Republic of Korea and Japan. </w:t>
      </w:r>
      <w:r w:rsidR="003C7DA0" w:rsidRPr="00FF5E4D">
        <w:t>A</w:t>
      </w:r>
      <w:r w:rsidRPr="00FF5E4D">
        <w:t xml:space="preserve">s with crude, </w:t>
      </w:r>
      <w:r w:rsidR="002260F4" w:rsidRPr="00FF5E4D">
        <w:t xml:space="preserve">we have a diversity of supply, although </w:t>
      </w:r>
      <w:r w:rsidR="003C7DA0" w:rsidRPr="00FF5E4D">
        <w:t xml:space="preserve">the majority </w:t>
      </w:r>
      <w:r w:rsidR="00DE2B97" w:rsidRPr="00FF5E4D">
        <w:t xml:space="preserve">of refined product </w:t>
      </w:r>
      <w:r w:rsidR="003C7DA0" w:rsidRPr="00FF5E4D">
        <w:t xml:space="preserve">was </w:t>
      </w:r>
      <w:r w:rsidRPr="00FF5E4D">
        <w:t xml:space="preserve">sourced from </w:t>
      </w:r>
      <w:r w:rsidR="003C7DA0" w:rsidRPr="00FF5E4D">
        <w:t xml:space="preserve">a small number of countries (80 per cent of refined product from </w:t>
      </w:r>
      <w:r w:rsidRPr="00FF5E4D">
        <w:t>five countries</w:t>
      </w:r>
      <w:r w:rsidR="00D6212F">
        <w:t xml:space="preserve"> (DISER 2020c)</w:t>
      </w:r>
      <w:r w:rsidR="003C7DA0">
        <w:t xml:space="preserve">; </w:t>
      </w:r>
      <w:r w:rsidR="007E74C8">
        <w:t>see F</w:t>
      </w:r>
      <w:r w:rsidR="005B2D65">
        <w:t>igure 3</w:t>
      </w:r>
      <w:r w:rsidR="00EB04F6">
        <w:t>)</w:t>
      </w:r>
      <w:r w:rsidRPr="008C5FC1">
        <w:t>.</w:t>
      </w:r>
    </w:p>
    <w:p w14:paraId="1C5A72DF" w14:textId="77777777" w:rsidR="00EB04F6" w:rsidRDefault="00E27EA7" w:rsidP="00EB04F6">
      <w:pPr>
        <w:keepNext/>
        <w:jc w:val="center"/>
      </w:pPr>
      <w:r w:rsidRPr="008C5FC1">
        <w:rPr>
          <w:noProof/>
          <w:lang w:eastAsia="en-AU"/>
        </w:rPr>
        <w:lastRenderedPageBreak/>
        <w:drawing>
          <wp:inline distT="0" distB="0" distL="0" distR="0" wp14:anchorId="0742592E" wp14:editId="4F5B016D">
            <wp:extent cx="4429392" cy="5921114"/>
            <wp:effectExtent l="0" t="0" r="0" b="3810"/>
            <wp:docPr id="30" name="Picture 30" descr="Map showing routes of major oil imports to Australia, with table of shipping times included in image. Long description in Appendix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2400_ENR104-0919_Major oil imports_ALT GW.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63127" cy="5966210"/>
                    </a:xfrm>
                    <a:prstGeom prst="rect">
                      <a:avLst/>
                    </a:prstGeom>
                  </pic:spPr>
                </pic:pic>
              </a:graphicData>
            </a:graphic>
          </wp:inline>
        </w:drawing>
      </w:r>
    </w:p>
    <w:p w14:paraId="15D42955" w14:textId="3D712B4D" w:rsidR="00E27EA7" w:rsidRPr="004B25E6" w:rsidRDefault="00EB04F6" w:rsidP="00EB04F6">
      <w:pPr>
        <w:pStyle w:val="Caption"/>
        <w:jc w:val="center"/>
        <w:rPr>
          <w:color w:val="005677"/>
        </w:rPr>
      </w:pPr>
      <w:r w:rsidRPr="004B25E6">
        <w:rPr>
          <w:color w:val="005677"/>
        </w:rPr>
        <w:t xml:space="preserve">Figure </w:t>
      </w:r>
      <w:r w:rsidR="005B2D65" w:rsidRPr="004B25E6">
        <w:rPr>
          <w:color w:val="005677"/>
        </w:rPr>
        <w:t>3</w:t>
      </w:r>
      <w:r w:rsidRPr="004B25E6">
        <w:rPr>
          <w:color w:val="005677"/>
        </w:rPr>
        <w:t xml:space="preserve"> </w:t>
      </w:r>
      <w:r w:rsidRPr="004B25E6">
        <w:rPr>
          <w:color w:val="005677"/>
        </w:rPr>
        <w:tab/>
        <w:t>Major oil import routes to Australia</w:t>
      </w:r>
    </w:p>
    <w:p w14:paraId="799520AF" w14:textId="77777777" w:rsidR="00E27EA7" w:rsidRPr="008C5FC1" w:rsidRDefault="00E27EA7" w:rsidP="00177C26"/>
    <w:p w14:paraId="2E1A2D36" w14:textId="3EAE8A91" w:rsidR="00A15D98" w:rsidRPr="00220305" w:rsidRDefault="00A15D98" w:rsidP="00EA3D68">
      <w:pPr>
        <w:pStyle w:val="Heading2"/>
        <w:numPr>
          <w:ilvl w:val="1"/>
          <w:numId w:val="77"/>
        </w:numPr>
      </w:pPr>
      <w:bookmarkStart w:id="66" w:name="_Toc65228318"/>
      <w:bookmarkStart w:id="67" w:name="_Toc65250654"/>
      <w:bookmarkStart w:id="68" w:name="_Toc65253412"/>
      <w:bookmarkStart w:id="69" w:name="_Toc65329395"/>
      <w:bookmarkStart w:id="70" w:name="_Toc65332748"/>
      <w:bookmarkStart w:id="71" w:name="_Toc65339147"/>
      <w:bookmarkStart w:id="72" w:name="_Toc65341079"/>
      <w:bookmarkStart w:id="73" w:name="_Toc65402164"/>
      <w:bookmarkStart w:id="74" w:name="_Toc65405397"/>
      <w:bookmarkStart w:id="75" w:name="_Toc65499056"/>
      <w:bookmarkStart w:id="76" w:name="_Toc65499485"/>
      <w:bookmarkStart w:id="77" w:name="_Toc67923587"/>
      <w:bookmarkStart w:id="78" w:name="_Toc67926824"/>
      <w:bookmarkStart w:id="79" w:name="_Toc68614683"/>
      <w:bookmarkStart w:id="80" w:name="_Toc69201387"/>
      <w:bookmarkStart w:id="81" w:name="_Toc69941552"/>
      <w:bookmarkStart w:id="82" w:name="_Toc70419839"/>
      <w:bookmarkStart w:id="83" w:name="_Toc72394920"/>
      <w:bookmarkStart w:id="84" w:name="_Toc72395663"/>
      <w:r w:rsidRPr="00220305">
        <w:t>Historical disruption events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D452F7C" w14:textId="2C9E8186" w:rsidR="00A15D98" w:rsidRPr="00A03BFB" w:rsidRDefault="00A15D98" w:rsidP="00A03BFB">
      <w:pPr>
        <w:pStyle w:val="BodyText"/>
        <w:spacing w:line="276" w:lineRule="auto"/>
        <w:rPr>
          <w:rFonts w:ascii="Arial" w:hAnsi="Arial" w:cs="Arial"/>
        </w:rPr>
      </w:pPr>
      <w:r w:rsidRPr="00A03BFB">
        <w:rPr>
          <w:rFonts w:ascii="Arial" w:hAnsi="Arial" w:cs="Arial"/>
        </w:rPr>
        <w:t xml:space="preserve">From 1990 to 2019 there were no major supply disruptions that impacted Australia. However, there were three international events during this period that precipitated the </w:t>
      </w:r>
      <w:r w:rsidR="00137DB5">
        <w:rPr>
          <w:rFonts w:ascii="Arial" w:hAnsi="Arial" w:cs="Arial"/>
        </w:rPr>
        <w:t>IEA’s</w:t>
      </w:r>
      <w:r w:rsidRPr="00A03BFB">
        <w:rPr>
          <w:rFonts w:ascii="Arial" w:hAnsi="Arial" w:cs="Arial"/>
        </w:rPr>
        <w:t xml:space="preserve"> to call for collective action releases of oil/fuel stocks</w:t>
      </w:r>
      <w:r w:rsidRPr="00A03BFB">
        <w:rPr>
          <w:rStyle w:val="FootnoteReference"/>
          <w:rFonts w:ascii="Arial" w:hAnsi="Arial" w:cs="Arial"/>
        </w:rPr>
        <w:footnoteReference w:id="3"/>
      </w:r>
      <w:r w:rsidRPr="00A03BFB">
        <w:rPr>
          <w:rFonts w:ascii="Arial" w:hAnsi="Arial" w:cs="Arial"/>
        </w:rPr>
        <w:t xml:space="preserve">.  </w:t>
      </w:r>
    </w:p>
    <w:p w14:paraId="223B6ABC" w14:textId="2EAF0549" w:rsidR="00A15D98" w:rsidRDefault="00A15D98" w:rsidP="00663C7B">
      <w:pPr>
        <w:pStyle w:val="BodyText"/>
        <w:spacing w:line="276" w:lineRule="auto"/>
      </w:pPr>
      <w:r w:rsidRPr="003C7DA0">
        <w:rPr>
          <w:rFonts w:ascii="Arial" w:hAnsi="Arial"/>
        </w:rPr>
        <w:t xml:space="preserve">None of these </w:t>
      </w:r>
      <w:r w:rsidR="005F238A">
        <w:rPr>
          <w:rFonts w:ascii="Arial" w:hAnsi="Arial"/>
        </w:rPr>
        <w:t xml:space="preserve">global </w:t>
      </w:r>
      <w:r w:rsidRPr="003C7DA0">
        <w:rPr>
          <w:rFonts w:ascii="Arial" w:hAnsi="Arial"/>
        </w:rPr>
        <w:t>events directly impacted Australia’s fuel supply chains, but they did lead to varying short</w:t>
      </w:r>
      <w:r w:rsidR="003C7DA0">
        <w:rPr>
          <w:rFonts w:ascii="Arial" w:hAnsi="Arial"/>
        </w:rPr>
        <w:t>-</w:t>
      </w:r>
      <w:r w:rsidRPr="003C7DA0">
        <w:rPr>
          <w:rFonts w:ascii="Arial" w:hAnsi="Arial"/>
        </w:rPr>
        <w:t>lived price impacts</w:t>
      </w:r>
      <w:r w:rsidRPr="00475952">
        <w:t xml:space="preserve"> </w:t>
      </w:r>
      <w:r w:rsidRPr="003C7DA0">
        <w:rPr>
          <w:rFonts w:ascii="Arial" w:hAnsi="Arial"/>
        </w:rPr>
        <w:t>in benchmark oil markets</w:t>
      </w:r>
      <w:r w:rsidR="00517F5F">
        <w:rPr>
          <w:rFonts w:ascii="Arial" w:hAnsi="Arial"/>
        </w:rPr>
        <w:t>.</w:t>
      </w:r>
      <w:r w:rsidR="00517F5F" w:rsidRPr="00517F5F">
        <w:rPr>
          <w:rFonts w:ascii="Arial" w:hAnsi="Arial"/>
          <w:vertAlign w:val="superscript"/>
        </w:rPr>
        <w:footnoteReference w:id="4"/>
      </w:r>
      <w:r w:rsidR="00517F5F">
        <w:rPr>
          <w:rFonts w:ascii="Arial" w:hAnsi="Arial"/>
        </w:rPr>
        <w:t xml:space="preserve"> A</w:t>
      </w:r>
      <w:r w:rsidRPr="003C7DA0">
        <w:rPr>
          <w:rFonts w:ascii="Arial" w:hAnsi="Arial"/>
        </w:rPr>
        <w:t>s these type</w:t>
      </w:r>
      <w:r w:rsidR="003C7DA0">
        <w:rPr>
          <w:rFonts w:ascii="Arial" w:hAnsi="Arial"/>
        </w:rPr>
        <w:t>s</w:t>
      </w:r>
      <w:r w:rsidRPr="003C7DA0">
        <w:rPr>
          <w:rFonts w:ascii="Arial" w:hAnsi="Arial"/>
        </w:rPr>
        <w:t xml:space="preserve"> of events are relatively localised</w:t>
      </w:r>
      <w:r w:rsidR="00EA4DAE" w:rsidRPr="003C7DA0">
        <w:rPr>
          <w:rFonts w:ascii="Arial" w:hAnsi="Arial"/>
        </w:rPr>
        <w:t>,</w:t>
      </w:r>
      <w:r w:rsidRPr="003C7DA0">
        <w:rPr>
          <w:rFonts w:ascii="Arial" w:hAnsi="Arial"/>
        </w:rPr>
        <w:t xml:space="preserve"> their impacts on global oil and petroleum markets are moderated by the sheer size, diversity and flexibility of the global markets and supply chains. </w:t>
      </w:r>
    </w:p>
    <w:p w14:paraId="3F501215" w14:textId="71A6C2E6" w:rsidR="006110F3" w:rsidRDefault="006110F3" w:rsidP="00A52B9B">
      <w:pPr>
        <w:pStyle w:val="BodyText"/>
        <w:spacing w:line="276" w:lineRule="auto"/>
        <w:rPr>
          <w:rFonts w:ascii="Arial" w:hAnsi="Arial" w:cs="Arial"/>
        </w:rPr>
      </w:pPr>
      <w:r w:rsidRPr="00B23B94">
        <w:rPr>
          <w:rFonts w:ascii="Arial" w:hAnsi="Arial" w:cs="Arial"/>
        </w:rPr>
        <w:lastRenderedPageBreak/>
        <w:t>Disruption</w:t>
      </w:r>
      <w:r w:rsidRPr="00475952">
        <w:rPr>
          <w:rFonts w:ascii="Arial" w:hAnsi="Arial" w:cs="Arial"/>
        </w:rPr>
        <w:t xml:space="preserve"> scenario modelling suggested that an unprecedented event would need to occur to significantly impact on fuel supply in Australia at the national level. </w:t>
      </w:r>
      <w:r w:rsidR="0090147E">
        <w:rPr>
          <w:rFonts w:ascii="Arial" w:hAnsi="Arial" w:cs="Arial"/>
        </w:rPr>
        <w:t>W</w:t>
      </w:r>
      <w:r w:rsidR="0090147E" w:rsidRPr="0090147E">
        <w:rPr>
          <w:rFonts w:ascii="Arial" w:hAnsi="Arial" w:cs="Arial"/>
        </w:rPr>
        <w:t xml:space="preserve">e cannot predict what </w:t>
      </w:r>
      <w:r w:rsidR="0090147E">
        <w:rPr>
          <w:rFonts w:ascii="Arial" w:hAnsi="Arial" w:cs="Arial"/>
        </w:rPr>
        <w:t xml:space="preserve">might </w:t>
      </w:r>
      <w:r w:rsidR="0090147E" w:rsidRPr="0090147E">
        <w:rPr>
          <w:rFonts w:ascii="Arial" w:hAnsi="Arial" w:cs="Arial"/>
        </w:rPr>
        <w:t xml:space="preserve">happen in the future, hence the need for </w:t>
      </w:r>
      <w:r w:rsidR="0090147E">
        <w:rPr>
          <w:rFonts w:ascii="Arial" w:hAnsi="Arial" w:cs="Arial"/>
        </w:rPr>
        <w:t xml:space="preserve">mechanisms, such as the MSO, that effectively provide insurance against possible future disruptions. </w:t>
      </w:r>
    </w:p>
    <w:p w14:paraId="26E2E123" w14:textId="58F83C3E" w:rsidR="00D32315" w:rsidRPr="006C7F6B" w:rsidRDefault="00D32315" w:rsidP="00824E7A">
      <w:pPr>
        <w:pStyle w:val="Heading2"/>
        <w:numPr>
          <w:ilvl w:val="1"/>
          <w:numId w:val="77"/>
        </w:numPr>
      </w:pPr>
      <w:bookmarkStart w:id="85" w:name="_Toc70419840"/>
      <w:bookmarkStart w:id="86" w:name="_Toc72394921"/>
      <w:bookmarkStart w:id="87" w:name="_Toc72395664"/>
      <w:r>
        <w:t>Expanding stockholdings</w:t>
      </w:r>
      <w:bookmarkEnd w:id="85"/>
      <w:bookmarkEnd w:id="86"/>
      <w:bookmarkEnd w:id="87"/>
    </w:p>
    <w:p w14:paraId="455D7253" w14:textId="56E30D71" w:rsidR="00072DC9" w:rsidRPr="00475952" w:rsidRDefault="00072DC9" w:rsidP="00072DC9">
      <w:pPr>
        <w:pStyle w:val="BodyText"/>
        <w:spacing w:line="276" w:lineRule="auto"/>
        <w:rPr>
          <w:rFonts w:ascii="Arial" w:hAnsi="Arial"/>
        </w:rPr>
      </w:pPr>
      <w:bookmarkStart w:id="88" w:name="_Toc69939564"/>
      <w:bookmarkStart w:id="89" w:name="_Toc69941553"/>
      <w:bookmarkStart w:id="90" w:name="_Toc69939565"/>
      <w:bookmarkStart w:id="91" w:name="_Toc69941554"/>
      <w:bookmarkStart w:id="92" w:name="_Toc69939566"/>
      <w:bookmarkStart w:id="93" w:name="_Toc69941555"/>
      <w:bookmarkStart w:id="94" w:name="_Toc69939567"/>
      <w:bookmarkStart w:id="95" w:name="_Toc69941556"/>
      <w:bookmarkStart w:id="96" w:name="_Toc69939568"/>
      <w:bookmarkStart w:id="97" w:name="_Toc69941557"/>
      <w:bookmarkStart w:id="98" w:name="_Toc69939569"/>
      <w:bookmarkStart w:id="99" w:name="_Toc69941558"/>
      <w:bookmarkStart w:id="100" w:name="_Toc69939570"/>
      <w:bookmarkStart w:id="101" w:name="_Toc69941559"/>
      <w:bookmarkStart w:id="102" w:name="_Toc69939571"/>
      <w:bookmarkStart w:id="103" w:name="_Toc69941560"/>
      <w:bookmarkStart w:id="104" w:name="_Toc69939572"/>
      <w:bookmarkStart w:id="105" w:name="_Toc69941561"/>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475952">
        <w:rPr>
          <w:rFonts w:ascii="Arial" w:hAnsi="Arial"/>
        </w:rPr>
        <w:t xml:space="preserve">Fuel stocks on land and </w:t>
      </w:r>
      <w:r w:rsidR="00A03BFB">
        <w:rPr>
          <w:rFonts w:ascii="Arial" w:hAnsi="Arial"/>
        </w:rPr>
        <w:t xml:space="preserve">en </w:t>
      </w:r>
      <w:r w:rsidRPr="00475952">
        <w:rPr>
          <w:rFonts w:ascii="Arial" w:hAnsi="Arial"/>
        </w:rPr>
        <w:t>route to Australia are fundamental to normal supply operations and for managing unexpected supply disruptions. Individual fuel supply companies balance supply and demand within their supply chains through a number of means.</w:t>
      </w:r>
    </w:p>
    <w:p w14:paraId="034B9BD5" w14:textId="77777777" w:rsidR="003C7DA0" w:rsidRDefault="00072DC9" w:rsidP="00072DC9">
      <w:pPr>
        <w:pStyle w:val="BodyText"/>
        <w:spacing w:line="276" w:lineRule="auto"/>
        <w:rPr>
          <w:rFonts w:ascii="Arial" w:hAnsi="Arial"/>
        </w:rPr>
      </w:pPr>
      <w:r w:rsidRPr="00475952">
        <w:rPr>
          <w:rFonts w:ascii="Arial" w:hAnsi="Arial"/>
        </w:rPr>
        <w:t xml:space="preserve">Petroleum businesses maintain a “pipeline” of supply to meet their contracted volumes and anticipated non-contract sales volumes. These volumes are managed by balancing capacity and throughput in storage facilities/terminals with the fuel coming from refineries and international shipments. </w:t>
      </w:r>
    </w:p>
    <w:p w14:paraId="2CF7BD36" w14:textId="06A5F726" w:rsidR="00072DC9" w:rsidRPr="00475952" w:rsidRDefault="00072DC9" w:rsidP="00072DC9">
      <w:pPr>
        <w:pStyle w:val="BodyText"/>
        <w:spacing w:line="276" w:lineRule="auto"/>
        <w:rPr>
          <w:rFonts w:ascii="Arial" w:hAnsi="Arial"/>
        </w:rPr>
      </w:pPr>
      <w:r w:rsidRPr="00475952">
        <w:rPr>
          <w:rFonts w:ascii="Arial" w:hAnsi="Arial"/>
        </w:rPr>
        <w:t>Storage capacities can be effectively operated within a range of utilisation rates before increased demand/throughput necessitates more storage capacity being built. For bulk fuel deliveries, more frequent cargoes can offset the need to invest in new storage capacity, delaying new capital and operational expenditures. It is prudent for commercial businesses to maximise the return derived from their assets and to avoid overcapitalising too early. In a competitive market</w:t>
      </w:r>
      <w:r w:rsidR="00EA4DAE">
        <w:rPr>
          <w:rFonts w:ascii="Arial" w:hAnsi="Arial"/>
        </w:rPr>
        <w:t>,</w:t>
      </w:r>
      <w:r w:rsidRPr="00475952">
        <w:rPr>
          <w:rFonts w:ascii="Arial" w:hAnsi="Arial"/>
        </w:rPr>
        <w:t xml:space="preserve"> businesses will naturally seek to minimise their costs to remain competitive</w:t>
      </w:r>
      <w:r>
        <w:rPr>
          <w:rFonts w:ascii="Arial" w:hAnsi="Arial"/>
        </w:rPr>
        <w:t xml:space="preserve"> and </w:t>
      </w:r>
      <w:r w:rsidRPr="00475952">
        <w:rPr>
          <w:rFonts w:ascii="Arial" w:hAnsi="Arial"/>
        </w:rPr>
        <w:t>strengthen profitability</w:t>
      </w:r>
      <w:r>
        <w:rPr>
          <w:rFonts w:ascii="Arial" w:hAnsi="Arial"/>
        </w:rPr>
        <w:t>.</w:t>
      </w:r>
    </w:p>
    <w:p w14:paraId="7A1D9C53" w14:textId="50D36493" w:rsidR="004D7175" w:rsidRPr="004B25E6" w:rsidRDefault="00072DC9" w:rsidP="004B25E6">
      <w:pPr>
        <w:pStyle w:val="BodyText"/>
        <w:spacing w:line="276" w:lineRule="auto"/>
        <w:rPr>
          <w:rFonts w:ascii="Arial" w:hAnsi="Arial"/>
        </w:rPr>
      </w:pPr>
      <w:r w:rsidRPr="00475952">
        <w:rPr>
          <w:rFonts w:ascii="Arial" w:hAnsi="Arial"/>
        </w:rPr>
        <w:t xml:space="preserve">There is evidence industry has changed the way it manages storage capacity in the past three decades with lower volumes of commercial refined product stocks relative to total consumption. Figure </w:t>
      </w:r>
      <w:r w:rsidR="005C3B12">
        <w:rPr>
          <w:rFonts w:ascii="Arial" w:hAnsi="Arial"/>
        </w:rPr>
        <w:t>4</w:t>
      </w:r>
      <w:r w:rsidRPr="00475952">
        <w:rPr>
          <w:rFonts w:ascii="Arial" w:hAnsi="Arial"/>
        </w:rPr>
        <w:t xml:space="preserve"> shows the average month end consumption cover of refined petroleum stocks since 1990. </w:t>
      </w:r>
      <w:r>
        <w:rPr>
          <w:rFonts w:ascii="Arial" w:hAnsi="Arial"/>
        </w:rPr>
        <w:t>T</w:t>
      </w:r>
      <w:r w:rsidRPr="00475952">
        <w:rPr>
          <w:rFonts w:ascii="Arial" w:hAnsi="Arial"/>
        </w:rPr>
        <w:t xml:space="preserve">his </w:t>
      </w:r>
      <w:r>
        <w:rPr>
          <w:rFonts w:ascii="Arial" w:hAnsi="Arial"/>
        </w:rPr>
        <w:t xml:space="preserve">figure shows </w:t>
      </w:r>
      <w:r w:rsidRPr="00475952">
        <w:rPr>
          <w:rFonts w:ascii="Arial" w:hAnsi="Arial"/>
        </w:rPr>
        <w:t>a weighted average of all refined fuels.</w:t>
      </w:r>
    </w:p>
    <w:p w14:paraId="5E73F160" w14:textId="31BD849A" w:rsidR="004B25E6" w:rsidRDefault="004B25E6" w:rsidP="004D7175">
      <w:pPr>
        <w:pStyle w:val="BodyText"/>
        <w:keepNext/>
        <w:jc w:val="center"/>
      </w:pPr>
      <w:r>
        <w:rPr>
          <w:noProof/>
          <w:lang w:eastAsia="en-AU"/>
        </w:rPr>
        <w:drawing>
          <wp:inline distT="0" distB="0" distL="0" distR="0" wp14:anchorId="4E94C2FD" wp14:editId="120F4E5F">
            <wp:extent cx="4923988" cy="2920242"/>
            <wp:effectExtent l="0" t="0" r="0" b="0"/>
            <wp:docPr id="3" name="Picture 3" descr="A graph presenting month end average consumption cover stocks of all refined petroleum products. The vertical axis is in days of consumption cover, and the hortizontal axis is in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t.png"/>
                    <pic:cNvPicPr/>
                  </pic:nvPicPr>
                  <pic:blipFill>
                    <a:blip r:embed="rId19">
                      <a:extLst>
                        <a:ext uri="{28A0092B-C50C-407E-A947-70E740481C1C}">
                          <a14:useLocalDpi xmlns:a14="http://schemas.microsoft.com/office/drawing/2010/main" val="0"/>
                        </a:ext>
                      </a:extLst>
                    </a:blip>
                    <a:stretch>
                      <a:fillRect/>
                    </a:stretch>
                  </pic:blipFill>
                  <pic:spPr>
                    <a:xfrm>
                      <a:off x="0" y="0"/>
                      <a:ext cx="4959599" cy="2941362"/>
                    </a:xfrm>
                    <a:prstGeom prst="rect">
                      <a:avLst/>
                    </a:prstGeom>
                  </pic:spPr>
                </pic:pic>
              </a:graphicData>
            </a:graphic>
          </wp:inline>
        </w:drawing>
      </w:r>
    </w:p>
    <w:p w14:paraId="13A6B881" w14:textId="411EE67A" w:rsidR="00072DC9" w:rsidRPr="004B25E6" w:rsidRDefault="004D7175" w:rsidP="004D7175">
      <w:pPr>
        <w:pStyle w:val="Caption"/>
        <w:jc w:val="center"/>
        <w:rPr>
          <w:color w:val="005677"/>
        </w:rPr>
      </w:pPr>
      <w:r w:rsidRPr="004B25E6">
        <w:rPr>
          <w:color w:val="005677"/>
        </w:rPr>
        <w:t xml:space="preserve">Figure </w:t>
      </w:r>
      <w:r w:rsidR="005C3B12" w:rsidRPr="004B25E6">
        <w:rPr>
          <w:color w:val="005677"/>
        </w:rPr>
        <w:t>4</w:t>
      </w:r>
      <w:r w:rsidRPr="004B25E6">
        <w:rPr>
          <w:color w:val="005677"/>
        </w:rPr>
        <w:t xml:space="preserve"> Month end average consumption cover stocks of all refined petroleum products.</w:t>
      </w:r>
    </w:p>
    <w:p w14:paraId="644F892D" w14:textId="77777777" w:rsidR="00AA0C07" w:rsidRDefault="00072DC9" w:rsidP="00072DC9">
      <w:pPr>
        <w:pStyle w:val="BodyText"/>
        <w:spacing w:line="276" w:lineRule="auto"/>
        <w:rPr>
          <w:rFonts w:ascii="Arial" w:hAnsi="Arial"/>
        </w:rPr>
      </w:pPr>
      <w:r w:rsidRPr="00475952">
        <w:rPr>
          <w:rFonts w:ascii="Arial" w:hAnsi="Arial"/>
        </w:rPr>
        <w:t>Between 1990 and 2003 a declining trend in consumption cover stocks is observed before a relatively consistent level of consumption stocks is maintained (albeit at a lower level) through to mid-2017. Since mid-2017 there has been an increase in average consumption cover stocks across the average of refined petroleum products.</w:t>
      </w:r>
      <w:r w:rsidR="00AA0C07">
        <w:rPr>
          <w:rFonts w:ascii="Arial" w:hAnsi="Arial"/>
        </w:rPr>
        <w:t xml:space="preserve"> </w:t>
      </w:r>
    </w:p>
    <w:p w14:paraId="60304F1F" w14:textId="0607780B" w:rsidR="00072DC9" w:rsidRDefault="004B5C53" w:rsidP="00072DC9">
      <w:pPr>
        <w:pStyle w:val="BodyText"/>
        <w:spacing w:line="276" w:lineRule="auto"/>
        <w:rPr>
          <w:rFonts w:ascii="Arial" w:hAnsi="Arial"/>
        </w:rPr>
      </w:pPr>
      <w:r>
        <w:rPr>
          <w:rFonts w:ascii="Arial" w:hAnsi="Arial"/>
        </w:rPr>
        <w:lastRenderedPageBreak/>
        <w:t xml:space="preserve">The recent increase in stocks does not necessarily reflect an improvement in fuel security, </w:t>
      </w:r>
      <w:r w:rsidR="00AA0C07" w:rsidRPr="00AA0C07">
        <w:rPr>
          <w:rFonts w:ascii="Arial" w:hAnsi="Arial"/>
        </w:rPr>
        <w:t xml:space="preserve">Two of the main factors behind the recent increase in consumption cover include mandatory </w:t>
      </w:r>
      <w:r>
        <w:rPr>
          <w:rFonts w:ascii="Arial" w:hAnsi="Arial"/>
        </w:rPr>
        <w:t xml:space="preserve">stock </w:t>
      </w:r>
      <w:r w:rsidR="00AA0C07" w:rsidRPr="00AA0C07">
        <w:rPr>
          <w:rFonts w:ascii="Arial" w:hAnsi="Arial"/>
        </w:rPr>
        <w:t>reporting (</w:t>
      </w:r>
      <w:r w:rsidR="00AA0C07">
        <w:rPr>
          <w:rFonts w:ascii="Arial" w:hAnsi="Arial"/>
        </w:rPr>
        <w:t>since 2018) and the closure of three domestic</w:t>
      </w:r>
      <w:r w:rsidR="00AA0C07" w:rsidRPr="00AA0C07">
        <w:rPr>
          <w:rFonts w:ascii="Arial" w:hAnsi="Arial"/>
        </w:rPr>
        <w:t xml:space="preserve"> refineries between 2012 and 2015. Refinery closures have been accompanied by conversion to import ter</w:t>
      </w:r>
      <w:r w:rsidR="00AA0C07">
        <w:rPr>
          <w:rFonts w:ascii="Arial" w:hAnsi="Arial"/>
        </w:rPr>
        <w:t xml:space="preserve">minals, which </w:t>
      </w:r>
      <w:r w:rsidR="00AA0C07" w:rsidRPr="00AA0C07">
        <w:rPr>
          <w:rFonts w:ascii="Arial" w:hAnsi="Arial"/>
        </w:rPr>
        <w:t>hold higher levels of refined product stock than terminals supplied by refineries. Unlike refinery terminals</w:t>
      </w:r>
      <w:r w:rsidR="00AA0C07">
        <w:rPr>
          <w:rFonts w:ascii="Arial" w:hAnsi="Arial"/>
        </w:rPr>
        <w:t>,</w:t>
      </w:r>
      <w:r w:rsidR="00AA0C07" w:rsidRPr="00AA0C07">
        <w:rPr>
          <w:rFonts w:ascii="Arial" w:hAnsi="Arial"/>
        </w:rPr>
        <w:t xml:space="preserve"> which receive a conti</w:t>
      </w:r>
      <w:r w:rsidR="00AA0C07">
        <w:rPr>
          <w:rFonts w:ascii="Arial" w:hAnsi="Arial"/>
        </w:rPr>
        <w:t>nuous supply of product, import terminals</w:t>
      </w:r>
      <w:r w:rsidR="00AA0C07" w:rsidRPr="00AA0C07">
        <w:rPr>
          <w:rFonts w:ascii="Arial" w:hAnsi="Arial"/>
        </w:rPr>
        <w:t xml:space="preserve"> need to </w:t>
      </w:r>
      <w:r w:rsidR="00AA0C07">
        <w:rPr>
          <w:rFonts w:ascii="Arial" w:hAnsi="Arial"/>
        </w:rPr>
        <w:t xml:space="preserve">hold sufficient stock to </w:t>
      </w:r>
      <w:r w:rsidR="00AA0C07" w:rsidRPr="00AA0C07">
        <w:rPr>
          <w:rFonts w:ascii="Arial" w:hAnsi="Arial"/>
        </w:rPr>
        <w:t>manage the arrival of shipments</w:t>
      </w:r>
      <w:r w:rsidR="00AA0C07">
        <w:rPr>
          <w:rFonts w:ascii="Arial" w:hAnsi="Arial"/>
        </w:rPr>
        <w:t xml:space="preserve">, typically every </w:t>
      </w:r>
      <w:r w:rsidR="00AA0C07" w:rsidRPr="00AA0C07">
        <w:rPr>
          <w:rFonts w:ascii="Arial" w:hAnsi="Arial"/>
        </w:rPr>
        <w:t>one to two weeks.</w:t>
      </w:r>
    </w:p>
    <w:p w14:paraId="03CEAC6E" w14:textId="1C995366" w:rsidR="00F02D53" w:rsidRDefault="003C7DA0" w:rsidP="00072DC9">
      <w:pPr>
        <w:pStyle w:val="BodyText"/>
        <w:spacing w:line="276" w:lineRule="auto"/>
        <w:rPr>
          <w:rFonts w:ascii="Arial" w:hAnsi="Arial"/>
        </w:rPr>
      </w:pPr>
      <w:r>
        <w:rPr>
          <w:rFonts w:ascii="Arial" w:hAnsi="Arial"/>
        </w:rPr>
        <w:t>In the 2020-21 Budget, the Government agreed to implement a</w:t>
      </w:r>
      <w:r w:rsidR="00E446B0">
        <w:rPr>
          <w:rFonts w:ascii="Arial" w:hAnsi="Arial"/>
        </w:rPr>
        <w:t xml:space="preserve"> regulated fuel security obligation </w:t>
      </w:r>
      <w:r w:rsidR="0039298B">
        <w:rPr>
          <w:rFonts w:ascii="Arial" w:hAnsi="Arial"/>
        </w:rPr>
        <w:t>to set a</w:t>
      </w:r>
      <w:r w:rsidDel="00E446B0">
        <w:rPr>
          <w:rFonts w:ascii="Arial" w:hAnsi="Arial"/>
        </w:rPr>
        <w:t xml:space="preserve"> minimum </w:t>
      </w:r>
      <w:r w:rsidR="00352914" w:rsidRPr="00F02D53">
        <w:rPr>
          <w:rFonts w:ascii="Arial" w:hAnsi="Arial"/>
        </w:rPr>
        <w:t>level o</w:t>
      </w:r>
      <w:r w:rsidR="0039298B">
        <w:rPr>
          <w:rFonts w:ascii="Arial" w:hAnsi="Arial"/>
        </w:rPr>
        <w:t>n</w:t>
      </w:r>
      <w:r w:rsidR="00352914" w:rsidRPr="00F02D53">
        <w:rPr>
          <w:rFonts w:ascii="Arial" w:hAnsi="Arial"/>
        </w:rPr>
        <w:t xml:space="preserve"> fuel stock</w:t>
      </w:r>
      <w:r w:rsidR="0039298B">
        <w:rPr>
          <w:rFonts w:ascii="Arial" w:hAnsi="Arial"/>
        </w:rPr>
        <w:t>holdings</w:t>
      </w:r>
      <w:r w:rsidR="00352914" w:rsidRPr="00F02D53">
        <w:rPr>
          <w:rFonts w:ascii="Arial" w:hAnsi="Arial"/>
        </w:rPr>
        <w:t xml:space="preserve">. </w:t>
      </w:r>
      <w:r w:rsidR="00F02D53">
        <w:rPr>
          <w:rFonts w:ascii="Arial" w:hAnsi="Arial"/>
        </w:rPr>
        <w:t xml:space="preserve">It was proposed that the minimum for </w:t>
      </w:r>
      <w:r w:rsidR="00352914" w:rsidRPr="00F02D53">
        <w:rPr>
          <w:rFonts w:ascii="Arial" w:hAnsi="Arial"/>
        </w:rPr>
        <w:t xml:space="preserve">Australia’s jet and </w:t>
      </w:r>
      <w:r w:rsidR="00CF06DF">
        <w:rPr>
          <w:rFonts w:ascii="Arial" w:hAnsi="Arial"/>
        </w:rPr>
        <w:t xml:space="preserve">petrol </w:t>
      </w:r>
      <w:r w:rsidR="00352914" w:rsidRPr="00F02D53">
        <w:rPr>
          <w:rFonts w:ascii="Arial" w:hAnsi="Arial"/>
        </w:rPr>
        <w:t xml:space="preserve">stocks </w:t>
      </w:r>
      <w:r w:rsidR="00F02D53">
        <w:rPr>
          <w:rFonts w:ascii="Arial" w:hAnsi="Arial"/>
        </w:rPr>
        <w:t xml:space="preserve">be held at a level </w:t>
      </w:r>
      <w:r w:rsidR="00F02D53" w:rsidRPr="00F02D53">
        <w:rPr>
          <w:rFonts w:ascii="Arial" w:hAnsi="Arial"/>
        </w:rPr>
        <w:t xml:space="preserve">equivalent to </w:t>
      </w:r>
      <w:r w:rsidR="00521C34" w:rsidRPr="00F02D53">
        <w:rPr>
          <w:rFonts w:ascii="Arial" w:hAnsi="Arial"/>
        </w:rPr>
        <w:t xml:space="preserve">pre-COVID-19 </w:t>
      </w:r>
      <w:r w:rsidR="00F02D53" w:rsidRPr="00F02D53">
        <w:rPr>
          <w:rFonts w:ascii="Arial" w:hAnsi="Arial"/>
        </w:rPr>
        <w:t xml:space="preserve">consumption </w:t>
      </w:r>
      <w:r w:rsidR="00352914" w:rsidRPr="00F02D53">
        <w:rPr>
          <w:rFonts w:ascii="Arial" w:hAnsi="Arial"/>
        </w:rPr>
        <w:t>levels</w:t>
      </w:r>
      <w:r w:rsidR="00521C34" w:rsidRPr="00F02D53">
        <w:rPr>
          <w:rFonts w:ascii="Arial" w:hAnsi="Arial"/>
        </w:rPr>
        <w:t>, with</w:t>
      </w:r>
      <w:r w:rsidR="00521C34">
        <w:rPr>
          <w:rFonts w:ascii="Arial" w:hAnsi="Arial"/>
        </w:rPr>
        <w:t xml:space="preserve"> </w:t>
      </w:r>
      <w:r w:rsidR="00352914" w:rsidRPr="00F02D53">
        <w:rPr>
          <w:rFonts w:ascii="Arial" w:hAnsi="Arial"/>
        </w:rPr>
        <w:t xml:space="preserve">diesel stocks </w:t>
      </w:r>
      <w:r w:rsidR="00521C34">
        <w:rPr>
          <w:rFonts w:ascii="Arial" w:hAnsi="Arial"/>
        </w:rPr>
        <w:t xml:space="preserve">to increase </w:t>
      </w:r>
      <w:r w:rsidR="00352914" w:rsidRPr="00F02D53">
        <w:rPr>
          <w:rFonts w:ascii="Arial" w:hAnsi="Arial"/>
        </w:rPr>
        <w:t>by 40</w:t>
      </w:r>
      <w:r w:rsidR="00C94D2A">
        <w:rPr>
          <w:rFonts w:ascii="Arial" w:hAnsi="Arial"/>
        </w:rPr>
        <w:t xml:space="preserve"> per cent</w:t>
      </w:r>
      <w:r w:rsidR="00352914" w:rsidRPr="00F02D53">
        <w:rPr>
          <w:rFonts w:ascii="Arial" w:hAnsi="Arial"/>
        </w:rPr>
        <w:t xml:space="preserve"> by 2024</w:t>
      </w:r>
      <w:r w:rsidR="00521C34">
        <w:rPr>
          <w:rFonts w:ascii="Arial" w:hAnsi="Arial"/>
        </w:rPr>
        <w:t xml:space="preserve">. This </w:t>
      </w:r>
      <w:r w:rsidR="00521C34" w:rsidRPr="00521C34">
        <w:rPr>
          <w:rFonts w:ascii="Arial" w:hAnsi="Arial"/>
        </w:rPr>
        <w:t>reflect</w:t>
      </w:r>
      <w:r w:rsidR="00521C34">
        <w:rPr>
          <w:rFonts w:ascii="Arial" w:hAnsi="Arial"/>
        </w:rPr>
        <w:t>s</w:t>
      </w:r>
      <w:r w:rsidR="00352914" w:rsidRPr="00F02D53">
        <w:rPr>
          <w:rFonts w:ascii="Arial" w:hAnsi="Arial"/>
        </w:rPr>
        <w:t xml:space="preserve"> the importance of diesel to the economy. It is also the fuel </w:t>
      </w:r>
      <w:r w:rsidR="0039298B">
        <w:rPr>
          <w:rFonts w:ascii="Arial" w:hAnsi="Arial"/>
        </w:rPr>
        <w:t>that</w:t>
      </w:r>
      <w:r w:rsidR="00352914" w:rsidRPr="00F02D53">
        <w:rPr>
          <w:rFonts w:ascii="Arial" w:hAnsi="Arial"/>
        </w:rPr>
        <w:t xml:space="preserve"> our refineries have the lowest capacity to </w:t>
      </w:r>
      <w:r w:rsidR="00F02D53" w:rsidRPr="00F02D53">
        <w:rPr>
          <w:rFonts w:ascii="Arial" w:hAnsi="Arial"/>
        </w:rPr>
        <w:t>produce.</w:t>
      </w:r>
      <w:r w:rsidR="00F02D53">
        <w:rPr>
          <w:rFonts w:ascii="Arial" w:hAnsi="Arial"/>
        </w:rPr>
        <w:t xml:space="preserve"> </w:t>
      </w:r>
    </w:p>
    <w:p w14:paraId="10817078" w14:textId="4F9302D0" w:rsidR="00072DC9" w:rsidRPr="00A4340F" w:rsidRDefault="00BB1969" w:rsidP="00A4340F">
      <w:pPr>
        <w:pStyle w:val="BodyText"/>
        <w:spacing w:line="276" w:lineRule="auto"/>
        <w:rPr>
          <w:rFonts w:ascii="Arial" w:hAnsi="Arial"/>
        </w:rPr>
      </w:pPr>
      <w:r>
        <w:rPr>
          <w:rFonts w:ascii="Arial" w:hAnsi="Arial"/>
        </w:rPr>
        <w:t xml:space="preserve">The </w:t>
      </w:r>
      <w:r w:rsidR="00FD6151">
        <w:rPr>
          <w:rFonts w:ascii="Arial" w:hAnsi="Arial"/>
        </w:rPr>
        <w:t>MSO</w:t>
      </w:r>
      <w:r>
        <w:rPr>
          <w:rFonts w:ascii="Arial" w:hAnsi="Arial"/>
        </w:rPr>
        <w:t xml:space="preserve"> </w:t>
      </w:r>
      <w:r w:rsidR="003C7DA0" w:rsidRPr="00352914">
        <w:rPr>
          <w:rFonts w:ascii="Arial" w:hAnsi="Arial"/>
        </w:rPr>
        <w:t xml:space="preserve">will alleviate the risks to fuel supply currently </w:t>
      </w:r>
      <w:r>
        <w:rPr>
          <w:rFonts w:ascii="Arial" w:hAnsi="Arial"/>
        </w:rPr>
        <w:t xml:space="preserve">borne by </w:t>
      </w:r>
      <w:r w:rsidR="003C7DA0" w:rsidRPr="00352914">
        <w:rPr>
          <w:rFonts w:ascii="Arial" w:hAnsi="Arial"/>
        </w:rPr>
        <w:t>consumers as the result of Australia’s sole reliance o</w:t>
      </w:r>
      <w:r w:rsidR="003C7DA0" w:rsidRPr="00521C34">
        <w:rPr>
          <w:rFonts w:ascii="Arial" w:hAnsi="Arial"/>
        </w:rPr>
        <w:t xml:space="preserve">n industry to manage disruptions. </w:t>
      </w:r>
    </w:p>
    <w:p w14:paraId="4D4374C8" w14:textId="764F2471" w:rsidR="005A72DA" w:rsidRPr="00072DC9" w:rsidRDefault="00072DC9" w:rsidP="00072DC9">
      <w:pPr>
        <w:tabs>
          <w:tab w:val="left" w:pos="1080"/>
        </w:tabs>
        <w:sectPr w:rsidR="005A72DA" w:rsidRPr="00072DC9" w:rsidSect="009A5729">
          <w:headerReference w:type="default" r:id="rId20"/>
          <w:footerReference w:type="default" r:id="rId21"/>
          <w:pgSz w:w="11906" w:h="16838"/>
          <w:pgMar w:top="1440" w:right="1440" w:bottom="1440" w:left="1440" w:header="708" w:footer="708" w:gutter="0"/>
          <w:cols w:space="708"/>
          <w:docGrid w:linePitch="360"/>
        </w:sectPr>
      </w:pPr>
      <w:r>
        <w:tab/>
      </w:r>
    </w:p>
    <w:p w14:paraId="1DC4BDE8" w14:textId="3DC9070D" w:rsidR="00FC517B" w:rsidRDefault="00FC517B" w:rsidP="00161240">
      <w:pPr>
        <w:pStyle w:val="Heading1"/>
        <w:numPr>
          <w:ilvl w:val="0"/>
          <w:numId w:val="77"/>
        </w:numPr>
      </w:pPr>
      <w:bookmarkStart w:id="106" w:name="_Toc72394922"/>
      <w:bookmarkStart w:id="107" w:name="_Toc72395665"/>
      <w:bookmarkStart w:id="108" w:name="_Toc65228316"/>
      <w:bookmarkStart w:id="109" w:name="_Toc65247699"/>
      <w:bookmarkStart w:id="110" w:name="_Toc65250657"/>
      <w:bookmarkStart w:id="111" w:name="_Toc65253416"/>
      <w:bookmarkStart w:id="112" w:name="_Toc65329399"/>
      <w:bookmarkStart w:id="113" w:name="_Toc65332752"/>
      <w:bookmarkStart w:id="114" w:name="_Toc65339151"/>
      <w:bookmarkStart w:id="115" w:name="_Toc65341083"/>
      <w:bookmarkStart w:id="116" w:name="_Toc65402168"/>
      <w:bookmarkStart w:id="117" w:name="_Toc65405401"/>
      <w:bookmarkStart w:id="118" w:name="_Toc65499060"/>
      <w:bookmarkStart w:id="119" w:name="_Toc65499489"/>
      <w:bookmarkStart w:id="120" w:name="_Toc67923591"/>
      <w:bookmarkStart w:id="121" w:name="_Toc67926828"/>
      <w:bookmarkStart w:id="122" w:name="_Toc68614687"/>
      <w:bookmarkStart w:id="123" w:name="_Toc69201391"/>
      <w:bookmarkStart w:id="124" w:name="_Toc69941563"/>
      <w:bookmarkStart w:id="125" w:name="_Toc70419841"/>
      <w:r>
        <w:lastRenderedPageBreak/>
        <w:t>Why is Government action needed?</w:t>
      </w:r>
      <w:bookmarkEnd w:id="106"/>
      <w:bookmarkEnd w:id="107"/>
      <w:r>
        <w:t xml:space="preserve"> </w:t>
      </w:r>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14:paraId="17302CE0" w14:textId="7A97DE88" w:rsidR="00137B87" w:rsidRDefault="00782FCF" w:rsidP="00137B87">
      <w:pPr>
        <w:pStyle w:val="BodyText"/>
        <w:spacing w:line="276" w:lineRule="auto"/>
        <w:rPr>
          <w:rFonts w:ascii="Arial" w:hAnsi="Arial" w:cs="Arial"/>
        </w:rPr>
      </w:pPr>
      <w:r w:rsidRPr="00782FCF">
        <w:rPr>
          <w:rFonts w:ascii="Arial" w:hAnsi="Arial" w:cs="Arial"/>
        </w:rPr>
        <w:t>Government action</w:t>
      </w:r>
      <w:r>
        <w:rPr>
          <w:rFonts w:ascii="Arial" w:hAnsi="Arial" w:cs="Arial"/>
        </w:rPr>
        <w:t xml:space="preserve"> is required to mitigate the risk of </w:t>
      </w:r>
      <w:r w:rsidRPr="004D7175">
        <w:rPr>
          <w:rFonts w:ascii="Arial" w:hAnsi="Arial" w:cs="Arial"/>
        </w:rPr>
        <w:t>a shortfall in liquid fuel supply in the event of a significant disruption event</w:t>
      </w:r>
      <w:r>
        <w:rPr>
          <w:rFonts w:ascii="Arial" w:hAnsi="Arial" w:cs="Arial"/>
        </w:rPr>
        <w:t xml:space="preserve">. It acts </w:t>
      </w:r>
      <w:r w:rsidRPr="00782FCF">
        <w:rPr>
          <w:rFonts w:ascii="Arial" w:hAnsi="Arial" w:cs="Arial"/>
        </w:rPr>
        <w:t xml:space="preserve">effectively </w:t>
      </w:r>
      <w:r>
        <w:rPr>
          <w:rFonts w:ascii="Arial" w:hAnsi="Arial" w:cs="Arial"/>
        </w:rPr>
        <w:t xml:space="preserve">as </w:t>
      </w:r>
      <w:r w:rsidRPr="00782FCF">
        <w:rPr>
          <w:rFonts w:ascii="Arial" w:hAnsi="Arial" w:cs="Arial"/>
        </w:rPr>
        <w:t>insurance against shocks that would otherwise cause significant economic damage. While businesses are well placed to manage direct risks to their operation</w:t>
      </w:r>
      <w:r w:rsidR="00B57857">
        <w:rPr>
          <w:rFonts w:ascii="Arial" w:hAnsi="Arial" w:cs="Arial"/>
        </w:rPr>
        <w:t>s</w:t>
      </w:r>
      <w:r w:rsidRPr="00782FCF">
        <w:rPr>
          <w:rFonts w:ascii="Arial" w:hAnsi="Arial" w:cs="Arial"/>
        </w:rPr>
        <w:t xml:space="preserve">, </w:t>
      </w:r>
      <w:r w:rsidR="00C94D2A">
        <w:rPr>
          <w:rFonts w:ascii="Arial" w:hAnsi="Arial" w:cs="Arial"/>
        </w:rPr>
        <w:t>G</w:t>
      </w:r>
      <w:r w:rsidRPr="00782FCF">
        <w:rPr>
          <w:rFonts w:ascii="Arial" w:hAnsi="Arial" w:cs="Arial"/>
        </w:rPr>
        <w:t>overnment is better placed to manage whole of economy risks.</w:t>
      </w:r>
      <w:r>
        <w:rPr>
          <w:rFonts w:ascii="Arial" w:hAnsi="Arial" w:cs="Arial"/>
        </w:rPr>
        <w:t xml:space="preserve"> </w:t>
      </w:r>
      <w:r w:rsidR="00C0240F" w:rsidRPr="004D7175">
        <w:rPr>
          <w:rFonts w:ascii="Arial" w:hAnsi="Arial" w:cs="Arial"/>
        </w:rPr>
        <w:t xml:space="preserve">Building resilience to such events requires the </w:t>
      </w:r>
      <w:r w:rsidR="004C2A82">
        <w:rPr>
          <w:rFonts w:ascii="Arial" w:hAnsi="Arial" w:cs="Arial"/>
        </w:rPr>
        <w:t>G</w:t>
      </w:r>
      <w:r w:rsidR="00C0240F" w:rsidRPr="004D7175">
        <w:rPr>
          <w:rFonts w:ascii="Arial" w:hAnsi="Arial" w:cs="Arial"/>
        </w:rPr>
        <w:t xml:space="preserve">overnment </w:t>
      </w:r>
      <w:r w:rsidR="00C0240F" w:rsidRPr="004D7175" w:rsidDel="00782FCF">
        <w:rPr>
          <w:rFonts w:ascii="Arial" w:hAnsi="Arial" w:cs="Arial"/>
        </w:rPr>
        <w:t xml:space="preserve">to </w:t>
      </w:r>
      <w:r w:rsidR="00C0240F" w:rsidRPr="004D7175">
        <w:rPr>
          <w:rFonts w:ascii="Arial" w:hAnsi="Arial" w:cs="Arial"/>
        </w:rPr>
        <w:t>maint</w:t>
      </w:r>
      <w:r w:rsidR="00651406">
        <w:rPr>
          <w:rFonts w:ascii="Arial" w:hAnsi="Arial" w:cs="Arial"/>
        </w:rPr>
        <w:t>ai</w:t>
      </w:r>
      <w:r>
        <w:rPr>
          <w:rFonts w:ascii="Arial" w:hAnsi="Arial" w:cs="Arial"/>
        </w:rPr>
        <w:t>n</w:t>
      </w:r>
      <w:r w:rsidR="00B372E7" w:rsidRPr="004D7175" w:rsidDel="00651406">
        <w:rPr>
          <w:rFonts w:ascii="Arial" w:hAnsi="Arial" w:cs="Arial"/>
        </w:rPr>
        <w:t xml:space="preserve"> </w:t>
      </w:r>
      <w:r w:rsidR="00B372E7" w:rsidRPr="004D7175">
        <w:rPr>
          <w:rFonts w:ascii="Arial" w:hAnsi="Arial" w:cs="Arial"/>
        </w:rPr>
        <w:t>domestic refining capacity</w:t>
      </w:r>
      <w:r>
        <w:rPr>
          <w:rFonts w:ascii="Arial" w:hAnsi="Arial" w:cs="Arial"/>
        </w:rPr>
        <w:t xml:space="preserve"> and increase fuel stocks. </w:t>
      </w:r>
    </w:p>
    <w:p w14:paraId="115788F4" w14:textId="2E363EFB" w:rsidR="00FC517B" w:rsidRPr="00137B87" w:rsidRDefault="00FC517B" w:rsidP="00161240">
      <w:pPr>
        <w:pStyle w:val="Heading2"/>
        <w:numPr>
          <w:ilvl w:val="1"/>
          <w:numId w:val="77"/>
        </w:numPr>
      </w:pPr>
      <w:bookmarkStart w:id="126" w:name="_Toc72394923"/>
      <w:bookmarkStart w:id="127" w:name="_Toc72395666"/>
      <w:r w:rsidRPr="00FC517B">
        <w:t>Securing domestic refining capacity</w:t>
      </w:r>
      <w:bookmarkEnd w:id="126"/>
      <w:bookmarkEnd w:id="127"/>
    </w:p>
    <w:p w14:paraId="1A117D73" w14:textId="3ED6D513" w:rsidR="00691059" w:rsidRDefault="00691059" w:rsidP="00691059">
      <w:pPr>
        <w:spacing w:line="276" w:lineRule="auto"/>
      </w:pPr>
      <w:bookmarkStart w:id="128" w:name="_Toc69939576"/>
      <w:bookmarkStart w:id="129" w:name="_Toc69941565"/>
      <w:bookmarkStart w:id="130" w:name="_Toc69939577"/>
      <w:bookmarkStart w:id="131" w:name="_Toc69941566"/>
      <w:bookmarkStart w:id="132" w:name="_Toc69939578"/>
      <w:bookmarkStart w:id="133" w:name="_Toc69941567"/>
      <w:bookmarkEnd w:id="128"/>
      <w:bookmarkEnd w:id="129"/>
      <w:bookmarkEnd w:id="130"/>
      <w:bookmarkEnd w:id="131"/>
      <w:bookmarkEnd w:id="132"/>
      <w:bookmarkEnd w:id="133"/>
      <w:r>
        <w:t>Government is well placed to provide the external intervention required to ensure domestic refineries remain viable while refinery market conditions remain poor (due to low refinery margins). This is consistent with the Government’s commitment to Australia’s liquid fuel security, safeguarding our economy, national security and job creation by supporting the ongoing operations of domestic refiners.</w:t>
      </w:r>
      <w:r w:rsidR="00C217FB">
        <w:t xml:space="preserve"> </w:t>
      </w:r>
      <w:r w:rsidR="00C217FB" w:rsidRPr="00FF5E4D">
        <w:t>Refiners play a unique role i</w:t>
      </w:r>
      <w:r w:rsidR="00E45DD2" w:rsidRPr="00FF5E4D">
        <w:t xml:space="preserve">n maintaining Australia’s fuel security, </w:t>
      </w:r>
      <w:r w:rsidR="00C217FB" w:rsidRPr="00FF5E4D">
        <w:t xml:space="preserve">which can never be delivered by </w:t>
      </w:r>
      <w:r w:rsidR="00DE2B97" w:rsidRPr="00FF5E4D">
        <w:t xml:space="preserve">fuel </w:t>
      </w:r>
      <w:r w:rsidR="00C217FB" w:rsidRPr="00FF5E4D">
        <w:t>stockhold</w:t>
      </w:r>
      <w:r w:rsidR="00DE2B97" w:rsidRPr="00FF5E4D">
        <w:t>ings</w:t>
      </w:r>
      <w:r w:rsidR="00C217FB" w:rsidRPr="00FF5E4D">
        <w:t xml:space="preserve"> alone.</w:t>
      </w:r>
      <w:r w:rsidR="00C217FB">
        <w:t xml:space="preserve"> </w:t>
      </w:r>
    </w:p>
    <w:p w14:paraId="5AABCFCD" w14:textId="101385CA" w:rsidR="00FF598F" w:rsidRDefault="00FF598F" w:rsidP="008714F1">
      <w:pPr>
        <w:spacing w:line="276" w:lineRule="auto"/>
      </w:pPr>
      <w:r w:rsidRPr="008714F1">
        <w:t xml:space="preserve">Since October 2020, two refiners have announced the closure of their Australian facilities, and the remaining two refiners </w:t>
      </w:r>
      <w:r w:rsidR="001E1EC9" w:rsidRPr="008714F1">
        <w:t xml:space="preserve">face </w:t>
      </w:r>
      <w:r w:rsidRPr="008714F1">
        <w:t>a medium to high risk of closure.</w:t>
      </w:r>
      <w:r w:rsidR="001E1EC9" w:rsidRPr="008714F1">
        <w:t xml:space="preserve"> Without Government intervention these closures become more likely. </w:t>
      </w:r>
    </w:p>
    <w:p w14:paraId="2D55ACA1" w14:textId="32C4E4C0" w:rsidR="00AF6B41" w:rsidRPr="00220305" w:rsidRDefault="00AF6B41" w:rsidP="00824E7A">
      <w:pPr>
        <w:pStyle w:val="Heading2"/>
        <w:numPr>
          <w:ilvl w:val="1"/>
          <w:numId w:val="77"/>
        </w:numPr>
      </w:pPr>
      <w:bookmarkStart w:id="134" w:name="_Toc65228320"/>
      <w:bookmarkStart w:id="135" w:name="_Toc65247703"/>
      <w:bookmarkStart w:id="136" w:name="_Toc65250660"/>
      <w:bookmarkStart w:id="137" w:name="_Toc65253418"/>
      <w:bookmarkStart w:id="138" w:name="_Toc65329401"/>
      <w:bookmarkStart w:id="139" w:name="_Toc65332754"/>
      <w:bookmarkStart w:id="140" w:name="_Toc65339153"/>
      <w:bookmarkStart w:id="141" w:name="_Toc65341085"/>
      <w:bookmarkStart w:id="142" w:name="_Toc65402170"/>
      <w:bookmarkStart w:id="143" w:name="_Toc65405403"/>
      <w:bookmarkStart w:id="144" w:name="_Toc65499062"/>
      <w:bookmarkStart w:id="145" w:name="_Toc65499491"/>
      <w:bookmarkStart w:id="146" w:name="_Toc67923593"/>
      <w:bookmarkStart w:id="147" w:name="_Toc67926830"/>
      <w:bookmarkStart w:id="148" w:name="_Toc68614690"/>
      <w:bookmarkStart w:id="149" w:name="_Toc69201394"/>
      <w:bookmarkStart w:id="150" w:name="_Toc69941569"/>
      <w:bookmarkStart w:id="151" w:name="_Toc70419843"/>
      <w:bookmarkStart w:id="152" w:name="_Toc72394924"/>
      <w:bookmarkStart w:id="153" w:name="_Toc72395667"/>
      <w:r w:rsidRPr="00220305">
        <w:t xml:space="preserve">The need to increase fuel </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001B1293">
        <w:t>stocks</w:t>
      </w:r>
      <w:bookmarkEnd w:id="149"/>
      <w:bookmarkEnd w:id="150"/>
      <w:bookmarkEnd w:id="151"/>
      <w:bookmarkEnd w:id="152"/>
      <w:bookmarkEnd w:id="153"/>
    </w:p>
    <w:p w14:paraId="13A3E40D" w14:textId="53E33FC8" w:rsidR="000203E8" w:rsidRDefault="001E1EC9" w:rsidP="00DB7A95">
      <w:pPr>
        <w:spacing w:line="276" w:lineRule="auto"/>
        <w:rPr>
          <w:rFonts w:cs="Arial"/>
        </w:rPr>
      </w:pPr>
      <w:r>
        <w:rPr>
          <w:rFonts w:cs="Arial"/>
        </w:rPr>
        <w:t xml:space="preserve">There is currently no commercial incentive for entities to hold fuel stocks to cover for low likelihood, high impact events. </w:t>
      </w:r>
      <w:r w:rsidR="002C788F" w:rsidRPr="00475952">
        <w:rPr>
          <w:rFonts w:cs="Arial"/>
        </w:rPr>
        <w:t xml:space="preserve">Individual businesses do not generally mitigate against whole of market risks or take steps to hold stocks that would offer contingency against a significant disruption to a competitor’s supply position. </w:t>
      </w:r>
      <w:r w:rsidR="002C788F">
        <w:rPr>
          <w:rFonts w:cs="Arial"/>
        </w:rPr>
        <w:t>While</w:t>
      </w:r>
      <w:r w:rsidR="002C788F" w:rsidRPr="00475952">
        <w:rPr>
          <w:rFonts w:cs="Arial"/>
        </w:rPr>
        <w:t xml:space="preserve"> market participants do occasionally trade</w:t>
      </w:r>
      <w:r w:rsidR="002C788F">
        <w:rPr>
          <w:rFonts w:cs="Arial"/>
        </w:rPr>
        <w:t xml:space="preserve"> </w:t>
      </w:r>
      <w:r w:rsidR="002C788F" w:rsidRPr="00475952">
        <w:rPr>
          <w:rFonts w:cs="Arial"/>
        </w:rPr>
        <w:t>with each other to alleviate small supply pressures, this is not a viable mechanism to protect consumers in the event of a large scale disruption</w:t>
      </w:r>
      <w:r w:rsidR="002C788F">
        <w:rPr>
          <w:rFonts w:cs="Arial"/>
        </w:rPr>
        <w:t xml:space="preserve">. </w:t>
      </w:r>
      <w:r w:rsidR="001853DA">
        <w:rPr>
          <w:rFonts w:cs="Arial"/>
        </w:rPr>
        <w:t>One existing lever is t</w:t>
      </w:r>
      <w:r w:rsidR="00782FCF" w:rsidRPr="00475952">
        <w:rPr>
          <w:rFonts w:cs="Arial"/>
        </w:rPr>
        <w:t xml:space="preserve">he </w:t>
      </w:r>
      <w:r w:rsidR="00782FCF" w:rsidRPr="00475952">
        <w:rPr>
          <w:rFonts w:cs="Arial"/>
          <w:i/>
          <w:iCs/>
        </w:rPr>
        <w:t xml:space="preserve">Liquid Fuel Emergency Act 1984 </w:t>
      </w:r>
      <w:r w:rsidR="00782FCF" w:rsidRPr="00475952">
        <w:rPr>
          <w:rFonts w:cs="Arial"/>
        </w:rPr>
        <w:t>(LFE Act)</w:t>
      </w:r>
      <w:r w:rsidR="00782FCF" w:rsidRPr="00475952">
        <w:rPr>
          <w:rFonts w:cs="Arial"/>
          <w:i/>
          <w:iCs/>
        </w:rPr>
        <w:t xml:space="preserve"> </w:t>
      </w:r>
      <w:r w:rsidR="001853DA" w:rsidRPr="00823356">
        <w:rPr>
          <w:rFonts w:cs="Arial"/>
        </w:rPr>
        <w:t>which</w:t>
      </w:r>
      <w:r w:rsidR="001853DA">
        <w:rPr>
          <w:rFonts w:cs="Arial"/>
          <w:i/>
          <w:iCs/>
        </w:rPr>
        <w:t xml:space="preserve"> </w:t>
      </w:r>
      <w:r w:rsidR="00782FCF" w:rsidRPr="00475952">
        <w:rPr>
          <w:rFonts w:cs="Arial"/>
        </w:rPr>
        <w:t xml:space="preserve">empowers the Minister responsible for Energy to issue directions to </w:t>
      </w:r>
      <w:r w:rsidR="00EA1466">
        <w:rPr>
          <w:rFonts w:cs="Arial"/>
        </w:rPr>
        <w:t>fuel industry corporations</w:t>
      </w:r>
      <w:r w:rsidR="00782FCF" w:rsidRPr="00475952">
        <w:rPr>
          <w:rFonts w:cs="Arial"/>
        </w:rPr>
        <w:t xml:space="preserve"> </w:t>
      </w:r>
      <w:r w:rsidR="00EA1466">
        <w:rPr>
          <w:rFonts w:cs="Arial"/>
        </w:rPr>
        <w:t xml:space="preserve">in the lead-up to, and </w:t>
      </w:r>
      <w:r w:rsidR="00782FCF" w:rsidRPr="00475952">
        <w:rPr>
          <w:rFonts w:cs="Arial"/>
        </w:rPr>
        <w:t>during</w:t>
      </w:r>
      <w:r w:rsidR="00EA1466">
        <w:rPr>
          <w:rFonts w:cs="Arial"/>
        </w:rPr>
        <w:t>,</w:t>
      </w:r>
      <w:r w:rsidR="00782FCF" w:rsidRPr="00475952">
        <w:rPr>
          <w:rFonts w:cs="Arial"/>
        </w:rPr>
        <w:t xml:space="preserve"> a declared national liquid fuel emergency. </w:t>
      </w:r>
    </w:p>
    <w:p w14:paraId="687F9B38" w14:textId="538E8319" w:rsidR="00DE2B97" w:rsidRPr="002624E8" w:rsidRDefault="004F5D65" w:rsidP="00F50381">
      <w:pPr>
        <w:spacing w:line="276" w:lineRule="auto"/>
        <w:rPr>
          <w:rFonts w:cs="Arial"/>
        </w:rPr>
      </w:pPr>
      <w:r>
        <w:rPr>
          <w:rFonts w:cs="Arial"/>
        </w:rPr>
        <w:t>However, t</w:t>
      </w:r>
      <w:r w:rsidRPr="004F5D65">
        <w:rPr>
          <w:rFonts w:cs="Arial"/>
        </w:rPr>
        <w:t>he LFE Act is not intended to be used to manage minor or intermittent supply shortages</w:t>
      </w:r>
      <w:r w:rsidR="000203E8">
        <w:rPr>
          <w:rFonts w:cs="Arial"/>
        </w:rPr>
        <w:t>.</w:t>
      </w:r>
      <w:r w:rsidRPr="004F5D65">
        <w:rPr>
          <w:rFonts w:cs="Arial"/>
        </w:rPr>
        <w:t xml:space="preserve"> </w:t>
      </w:r>
      <w:r w:rsidR="00DE2B97" w:rsidRPr="00FF5E4D">
        <w:rPr>
          <w:rFonts w:cs="Arial"/>
        </w:rPr>
        <w:t>Most of the disruptions and resulting shortages that Australia has experienced have been localised at state or territory level. If the market or industry do not resolve the disruption, state and territory governments may become involved. In the event that industry and states or territories are unable to resolve the fuel shortage, the Government can intervene as a last resort to manage the disruption using special emergency powers under the LFE Act.</w:t>
      </w:r>
      <w:r w:rsidR="00DE2B97" w:rsidRPr="002624E8">
        <w:rPr>
          <w:rFonts w:cs="Arial"/>
        </w:rPr>
        <w:t xml:space="preserve"> </w:t>
      </w:r>
    </w:p>
    <w:p w14:paraId="2F262A78" w14:textId="775DFBD4" w:rsidR="004F5D65" w:rsidRDefault="000203E8" w:rsidP="00DB7A95">
      <w:pPr>
        <w:spacing w:line="276" w:lineRule="auto"/>
        <w:rPr>
          <w:rFonts w:cs="Arial"/>
        </w:rPr>
      </w:pPr>
      <w:r>
        <w:rPr>
          <w:rFonts w:cs="Arial"/>
        </w:rPr>
        <w:t>The powers under the LFE Act are</w:t>
      </w:r>
      <w:r w:rsidR="004F5D65" w:rsidRPr="004F5D65">
        <w:rPr>
          <w:rFonts w:cs="Arial"/>
        </w:rPr>
        <w:t xml:space="preserve"> intended to be used where the consequences of a disruption are of a national scale or the disruption is beyond the capacity of the </w:t>
      </w:r>
      <w:r>
        <w:rPr>
          <w:rFonts w:cs="Arial"/>
        </w:rPr>
        <w:t xml:space="preserve">fuel supply </w:t>
      </w:r>
      <w:r w:rsidR="004F5D65" w:rsidRPr="004F5D65">
        <w:rPr>
          <w:rFonts w:cs="Arial"/>
        </w:rPr>
        <w:t xml:space="preserve">industry and relevant State and Territory </w:t>
      </w:r>
      <w:r w:rsidR="00CD6505">
        <w:rPr>
          <w:rFonts w:cs="Arial"/>
        </w:rPr>
        <w:t>g</w:t>
      </w:r>
      <w:r w:rsidR="004F5D65" w:rsidRPr="004F5D65">
        <w:rPr>
          <w:rFonts w:cs="Arial"/>
        </w:rPr>
        <w:t>overnments to manage without support.</w:t>
      </w:r>
      <w:r>
        <w:rPr>
          <w:rFonts w:cs="Arial"/>
        </w:rPr>
        <w:t xml:space="preserve"> </w:t>
      </w:r>
    </w:p>
    <w:p w14:paraId="3ECE7D5C" w14:textId="263E813E" w:rsidR="006D1DC1" w:rsidRDefault="001853DA" w:rsidP="00DB7A95">
      <w:pPr>
        <w:spacing w:line="276" w:lineRule="auto"/>
        <w:rPr>
          <w:rFonts w:cs="Arial"/>
        </w:rPr>
      </w:pPr>
      <w:r>
        <w:rPr>
          <w:rFonts w:cs="Arial"/>
        </w:rPr>
        <w:t>Around the world, m</w:t>
      </w:r>
      <w:r w:rsidR="00782FCF" w:rsidRPr="00782FCF">
        <w:rPr>
          <w:rFonts w:cs="Arial"/>
        </w:rPr>
        <w:t>any other developed nations, including IEA members, China, and non</w:t>
      </w:r>
      <w:r w:rsidR="009204A1">
        <w:rPr>
          <w:rFonts w:cs="Arial"/>
        </w:rPr>
        <w:t> </w:t>
      </w:r>
      <w:r w:rsidR="00782FCF" w:rsidRPr="00782FCF">
        <w:rPr>
          <w:rFonts w:cs="Arial"/>
        </w:rPr>
        <w:t>IEA member European Union members have built and maintained fuel stockpiles over a number of years to protect against fuel market disruptions. Appendix A outlines the emergency stockholding approaches in IEA member nations.</w:t>
      </w:r>
    </w:p>
    <w:p w14:paraId="4ACC74FA" w14:textId="4B9D7640" w:rsidR="00AF6B41" w:rsidRDefault="00AF6B41" w:rsidP="00DB7A95">
      <w:pPr>
        <w:spacing w:line="276" w:lineRule="auto"/>
        <w:rPr>
          <w:rFonts w:cs="Arial"/>
        </w:rPr>
      </w:pPr>
      <w:r w:rsidRPr="00475952">
        <w:rPr>
          <w:rFonts w:cs="Arial"/>
        </w:rPr>
        <w:t xml:space="preserve">The Government </w:t>
      </w:r>
      <w:r w:rsidR="004D7175">
        <w:rPr>
          <w:rFonts w:cs="Arial"/>
        </w:rPr>
        <w:t>can</w:t>
      </w:r>
      <w:r w:rsidRPr="00475952">
        <w:rPr>
          <w:rFonts w:cs="Arial"/>
        </w:rPr>
        <w:t xml:space="preserve"> improve Australia’s fuel security by improving resilience to shocks, reinforcing supply chains and </w:t>
      </w:r>
      <w:r w:rsidR="00096EB1">
        <w:rPr>
          <w:rFonts w:cs="Arial"/>
        </w:rPr>
        <w:t>taking</w:t>
      </w:r>
      <w:r w:rsidRPr="00475952">
        <w:rPr>
          <w:rFonts w:cs="Arial"/>
        </w:rPr>
        <w:t xml:space="preserve"> steps to minimise supply impacts in emergencies. </w:t>
      </w:r>
      <w:r w:rsidR="004D7175">
        <w:rPr>
          <w:rFonts w:cs="Arial"/>
        </w:rPr>
        <w:lastRenderedPageBreak/>
        <w:t>Based purely on</w:t>
      </w:r>
      <w:r w:rsidRPr="00475952">
        <w:rPr>
          <w:rFonts w:cs="Arial"/>
        </w:rPr>
        <w:t xml:space="preserve"> growth in demand</w:t>
      </w:r>
      <w:r w:rsidR="00802AED">
        <w:rPr>
          <w:rFonts w:cs="Arial"/>
        </w:rPr>
        <w:t xml:space="preserve"> prior to 2020</w:t>
      </w:r>
      <w:r w:rsidRPr="00475952">
        <w:rPr>
          <w:rFonts w:cs="Arial"/>
        </w:rPr>
        <w:t>, diesel and jet fuel are the key fuels where the market will need to be proactive in managing stock levels, storage capacity and throughput to continue to reliably meet demand growth into the future.</w:t>
      </w:r>
      <w:r w:rsidR="00E45DD2">
        <w:rPr>
          <w:rFonts w:cs="Arial"/>
        </w:rPr>
        <w:t xml:space="preserve"> </w:t>
      </w:r>
      <w:r w:rsidR="00E45DD2" w:rsidRPr="00FF5E4D">
        <w:rPr>
          <w:rFonts w:cs="Arial"/>
        </w:rPr>
        <w:t xml:space="preserve">While petrol demand is slowly declining, it remains a key transport fuel and careful management of petrol stock levels will </w:t>
      </w:r>
      <w:r w:rsidR="003B5AAF" w:rsidRPr="00FF5E4D">
        <w:rPr>
          <w:rFonts w:cs="Arial"/>
        </w:rPr>
        <w:t>remain of ongoing importance</w:t>
      </w:r>
      <w:r w:rsidR="00E45DD2" w:rsidRPr="00FF5E4D">
        <w:rPr>
          <w:rFonts w:cs="Arial"/>
        </w:rPr>
        <w:t>.</w:t>
      </w:r>
      <w:r>
        <w:rPr>
          <w:rFonts w:cs="Arial"/>
        </w:rPr>
        <w:t xml:space="preserve"> </w:t>
      </w:r>
    </w:p>
    <w:p w14:paraId="5EE76308" w14:textId="378FE816" w:rsidR="00DD2E5B" w:rsidRDefault="001B1293" w:rsidP="0061480B">
      <w:pPr>
        <w:spacing w:line="276" w:lineRule="auto"/>
        <w:rPr>
          <w:rFonts w:cs="Arial"/>
        </w:rPr>
      </w:pPr>
      <w:r w:rsidRPr="00475952">
        <w:rPr>
          <w:rFonts w:cs="Arial"/>
        </w:rPr>
        <w:t>The COVID-19 pandemic has highlighted the limited flexibility in the fue</w:t>
      </w:r>
      <w:r>
        <w:rPr>
          <w:rFonts w:cs="Arial"/>
        </w:rPr>
        <w:t xml:space="preserve">l storage market in Australia. </w:t>
      </w:r>
      <w:r w:rsidR="0094221F">
        <w:rPr>
          <w:rFonts w:cs="Arial"/>
        </w:rPr>
        <w:t xml:space="preserve">The demand destruction in jet fuel caused by </w:t>
      </w:r>
      <w:r w:rsidR="00DD2E5B">
        <w:rPr>
          <w:rFonts w:cs="Arial"/>
        </w:rPr>
        <w:t xml:space="preserve">COVID-19-related </w:t>
      </w:r>
      <w:r w:rsidR="0094221F">
        <w:rPr>
          <w:rFonts w:cs="Arial"/>
        </w:rPr>
        <w:t xml:space="preserve">travel restrictions created a significant oversupply of jet fuel, with inadequate storage available. This resulted in refiners taking measures such as </w:t>
      </w:r>
      <w:r w:rsidR="00DD2E5B">
        <w:rPr>
          <w:rFonts w:cs="Arial"/>
        </w:rPr>
        <w:t xml:space="preserve">adjusting production to reduce jet fuel supply, </w:t>
      </w:r>
      <w:r w:rsidR="0094221F">
        <w:rPr>
          <w:rFonts w:cs="Arial"/>
        </w:rPr>
        <w:t>reducing refinery operations</w:t>
      </w:r>
      <w:r w:rsidR="00DD2E5B">
        <w:rPr>
          <w:rFonts w:cs="Arial"/>
        </w:rPr>
        <w:t xml:space="preserve"> </w:t>
      </w:r>
      <w:r w:rsidR="0094221F">
        <w:rPr>
          <w:rFonts w:cs="Arial"/>
        </w:rPr>
        <w:t xml:space="preserve">and bringing forward maintenance schedules. </w:t>
      </w:r>
      <w:r w:rsidR="00641BC6" w:rsidRPr="00FF5E4D">
        <w:rPr>
          <w:rFonts w:cs="Arial"/>
        </w:rPr>
        <w:t>The Government also allowed t</w:t>
      </w:r>
      <w:r w:rsidR="00641BC6" w:rsidRPr="00FF5E4D">
        <w:rPr>
          <w:rFonts w:cs="Arial"/>
          <w:color w:val="333333"/>
        </w:rPr>
        <w:t xml:space="preserve">emporary changes to the diesel standard to enable the refineries to </w:t>
      </w:r>
      <w:r w:rsidR="004D0E96" w:rsidRPr="00FF5E4D">
        <w:rPr>
          <w:rFonts w:cs="Arial"/>
          <w:color w:val="333333"/>
        </w:rPr>
        <w:t>reduce jet fuel production</w:t>
      </w:r>
      <w:r w:rsidR="00641BC6" w:rsidRPr="00FF5E4D">
        <w:rPr>
          <w:rFonts w:cs="Arial"/>
          <w:color w:val="333333"/>
        </w:rPr>
        <w:t>.</w:t>
      </w:r>
    </w:p>
    <w:p w14:paraId="71745888" w14:textId="66DF2A5A" w:rsidR="001B1293" w:rsidRPr="00475952" w:rsidRDefault="001B1293" w:rsidP="00EA3D68">
      <w:pPr>
        <w:pStyle w:val="BodyText"/>
        <w:spacing w:line="276" w:lineRule="auto"/>
        <w:rPr>
          <w:rFonts w:ascii="Arial" w:hAnsi="Arial" w:cs="Arial"/>
        </w:rPr>
      </w:pPr>
      <w:r w:rsidRPr="00475952">
        <w:rPr>
          <w:rFonts w:ascii="Arial" w:hAnsi="Arial" w:cs="Arial"/>
        </w:rPr>
        <w:t>The size and portfolio of fuel types for potential domestic emergency fuel stockpiles would need to be carefully considered on a cost benefit basis, and be calibrated to the</w:t>
      </w:r>
      <w:r w:rsidR="00CD6505">
        <w:rPr>
          <w:rFonts w:ascii="Arial" w:hAnsi="Arial" w:cs="Arial"/>
        </w:rPr>
        <w:t xml:space="preserve"> </w:t>
      </w:r>
      <w:r w:rsidRPr="00475952">
        <w:rPr>
          <w:rFonts w:ascii="Arial" w:hAnsi="Arial" w:cs="Arial"/>
        </w:rPr>
        <w:t>Government’s evolving risk assessment processes and risk appetite.</w:t>
      </w:r>
      <w:r w:rsidRPr="00475952" w:rsidDel="00445C1C">
        <w:rPr>
          <w:rFonts w:ascii="Arial" w:hAnsi="Arial" w:cs="Arial"/>
        </w:rPr>
        <w:t xml:space="preserve"> </w:t>
      </w:r>
      <w:r w:rsidR="008A3E05">
        <w:rPr>
          <w:rFonts w:ascii="Arial" w:hAnsi="Arial" w:cs="Arial"/>
        </w:rPr>
        <w:t>Increasing diesel stocks is a priority as i</w:t>
      </w:r>
      <w:r w:rsidR="00394CF0">
        <w:rPr>
          <w:rFonts w:ascii="Arial" w:hAnsi="Arial" w:cs="Arial"/>
        </w:rPr>
        <w:t>t underpins a wide range of economic activity including road and rail freight, mining and agriculture</w:t>
      </w:r>
      <w:r w:rsidR="00A54552">
        <w:rPr>
          <w:rFonts w:ascii="Arial" w:hAnsi="Arial" w:cs="Arial"/>
        </w:rPr>
        <w:t xml:space="preserve">, and is a vital in supporting a number of critical services as outlined </w:t>
      </w:r>
      <w:r w:rsidR="008714F1">
        <w:rPr>
          <w:rFonts w:ascii="Arial" w:hAnsi="Arial" w:cs="Arial"/>
        </w:rPr>
        <w:t>earlier.</w:t>
      </w:r>
    </w:p>
    <w:p w14:paraId="266437AD" w14:textId="77777777" w:rsidR="001B1293" w:rsidRPr="00475952" w:rsidRDefault="001B1293" w:rsidP="001B1293">
      <w:pPr>
        <w:pStyle w:val="BodyText"/>
        <w:spacing w:line="276" w:lineRule="auto"/>
        <w:rPr>
          <w:rFonts w:ascii="Arial" w:hAnsi="Arial" w:cs="Arial"/>
        </w:rPr>
      </w:pPr>
      <w:r w:rsidRPr="00475952">
        <w:rPr>
          <w:rFonts w:ascii="Arial" w:hAnsi="Arial" w:cs="Arial"/>
        </w:rPr>
        <w:t>Consumption cover stocks of key fuels in Australia vary by fuel type over time in response to delivery/production schedules and demand trends. Market participants make commercial decisions on what level of contingency they maintain in their supply chains. Fuel consumers do not have visibility of their exposure to short</w:t>
      </w:r>
      <w:r>
        <w:rPr>
          <w:rFonts w:ascii="Arial" w:hAnsi="Arial" w:cs="Arial"/>
        </w:rPr>
        <w:t>ages of</w:t>
      </w:r>
      <w:r w:rsidRPr="00475952">
        <w:rPr>
          <w:rFonts w:ascii="Arial" w:hAnsi="Arial" w:cs="Arial"/>
        </w:rPr>
        <w:t xml:space="preserve"> supply or </w:t>
      </w:r>
      <w:r>
        <w:rPr>
          <w:rFonts w:ascii="Arial" w:hAnsi="Arial" w:cs="Arial"/>
        </w:rPr>
        <w:t xml:space="preserve">of </w:t>
      </w:r>
      <w:r w:rsidRPr="00475952">
        <w:rPr>
          <w:rFonts w:ascii="Arial" w:hAnsi="Arial" w:cs="Arial"/>
        </w:rPr>
        <w:t>supplier’s actions to ensure secure supplies. Aggregated consumption cover statistics published in the APS Report six weeks in arrears does not assist with understanding business to business risk transfer. Lean commercial operations can be a source of competitive advantage, however there may be increased risks to reliable supply from taking this approach.</w:t>
      </w:r>
    </w:p>
    <w:p w14:paraId="794312B8" w14:textId="517D6FE5" w:rsidR="008C6BD8" w:rsidRDefault="001B1293" w:rsidP="00823356">
      <w:pPr>
        <w:pStyle w:val="BodyText"/>
        <w:spacing w:line="276" w:lineRule="auto"/>
      </w:pPr>
      <w:r w:rsidRPr="00475952">
        <w:rPr>
          <w:rFonts w:ascii="Arial" w:hAnsi="Arial" w:cs="Arial"/>
        </w:rPr>
        <w:t xml:space="preserve">There is a role for the Government to regulate the minimum level of specific fuel stocks that must be maintained at all times by certain segments of the fuel market. This would provide certainty to fuel consumers and governments that </w:t>
      </w:r>
      <w:r>
        <w:rPr>
          <w:rFonts w:ascii="Arial" w:hAnsi="Arial" w:cs="Arial"/>
        </w:rPr>
        <w:t>a</w:t>
      </w:r>
      <w:r w:rsidRPr="00475952">
        <w:rPr>
          <w:rFonts w:ascii="Arial" w:hAnsi="Arial" w:cs="Arial"/>
        </w:rPr>
        <w:t xml:space="preserve"> minimum quantity of fuel is always maintained, in proportion to demand. This could </w:t>
      </w:r>
      <w:r w:rsidR="00E45DD2">
        <w:rPr>
          <w:rFonts w:ascii="Arial" w:hAnsi="Arial" w:cs="Arial"/>
        </w:rPr>
        <w:t xml:space="preserve">be applied </w:t>
      </w:r>
      <w:r w:rsidRPr="00475952">
        <w:rPr>
          <w:rFonts w:ascii="Arial" w:hAnsi="Arial" w:cs="Arial"/>
        </w:rPr>
        <w:t xml:space="preserve">to </w:t>
      </w:r>
      <w:r w:rsidR="00E45DD2">
        <w:rPr>
          <w:rFonts w:ascii="Arial" w:hAnsi="Arial" w:cs="Arial"/>
        </w:rPr>
        <w:t xml:space="preserve">certain </w:t>
      </w:r>
      <w:r w:rsidRPr="00475952">
        <w:rPr>
          <w:rFonts w:ascii="Arial" w:hAnsi="Arial" w:cs="Arial"/>
        </w:rPr>
        <w:t xml:space="preserve">businesses based on their </w:t>
      </w:r>
      <w:r w:rsidR="00E45DD2">
        <w:rPr>
          <w:rFonts w:ascii="Arial" w:hAnsi="Arial" w:cs="Arial"/>
        </w:rPr>
        <w:t xml:space="preserve">volume of </w:t>
      </w:r>
      <w:r w:rsidRPr="00475952">
        <w:rPr>
          <w:rFonts w:ascii="Arial" w:hAnsi="Arial" w:cs="Arial"/>
        </w:rPr>
        <w:t xml:space="preserve">sales, </w:t>
      </w:r>
      <w:r w:rsidR="00E45DD2">
        <w:rPr>
          <w:rFonts w:ascii="Arial" w:hAnsi="Arial" w:cs="Arial"/>
        </w:rPr>
        <w:t xml:space="preserve">which would be </w:t>
      </w:r>
      <w:r w:rsidRPr="00475952">
        <w:rPr>
          <w:rFonts w:ascii="Arial" w:hAnsi="Arial" w:cs="Arial"/>
        </w:rPr>
        <w:t xml:space="preserve">similar to approaches in other counties </w:t>
      </w:r>
      <w:r w:rsidR="00E45DD2">
        <w:rPr>
          <w:rFonts w:ascii="Arial" w:hAnsi="Arial" w:cs="Arial"/>
        </w:rPr>
        <w:t xml:space="preserve">that have adopted </w:t>
      </w:r>
      <w:r w:rsidRPr="00475952">
        <w:rPr>
          <w:rFonts w:ascii="Arial" w:hAnsi="Arial" w:cs="Arial"/>
        </w:rPr>
        <w:t>industry stockholding obligations.</w:t>
      </w:r>
    </w:p>
    <w:p w14:paraId="15E7F424" w14:textId="330D3771" w:rsidR="00CE2DF9" w:rsidRDefault="005E33F7" w:rsidP="00161240">
      <w:pPr>
        <w:pStyle w:val="Heading1"/>
        <w:numPr>
          <w:ilvl w:val="0"/>
          <w:numId w:val="77"/>
        </w:numPr>
      </w:pPr>
      <w:bookmarkStart w:id="154" w:name="_Toc65253419"/>
      <w:bookmarkStart w:id="155" w:name="_Toc65329402"/>
      <w:bookmarkStart w:id="156" w:name="_Toc65332755"/>
      <w:bookmarkStart w:id="157" w:name="_Toc65339154"/>
      <w:bookmarkStart w:id="158" w:name="_Toc65341086"/>
      <w:bookmarkStart w:id="159" w:name="_Toc65402171"/>
      <w:bookmarkStart w:id="160" w:name="_Toc65405404"/>
      <w:bookmarkStart w:id="161" w:name="_Toc65499063"/>
      <w:bookmarkStart w:id="162" w:name="_Toc65499492"/>
      <w:bookmarkStart w:id="163" w:name="_Toc67923594"/>
      <w:bookmarkStart w:id="164" w:name="_Toc67926831"/>
      <w:r>
        <w:br w:type="page"/>
      </w:r>
      <w:bookmarkStart w:id="165" w:name="_Toc65228322"/>
      <w:bookmarkStart w:id="166" w:name="_Toc65247705"/>
      <w:bookmarkStart w:id="167" w:name="_Toc65250661"/>
      <w:bookmarkStart w:id="168" w:name="_Toc65253420"/>
      <w:bookmarkStart w:id="169" w:name="_Toc65329403"/>
      <w:bookmarkStart w:id="170" w:name="_Toc65332756"/>
      <w:bookmarkStart w:id="171" w:name="_Toc65339155"/>
      <w:bookmarkStart w:id="172" w:name="_Toc65341087"/>
      <w:bookmarkStart w:id="173" w:name="_Toc65402172"/>
      <w:bookmarkStart w:id="174" w:name="_Toc65405405"/>
      <w:bookmarkStart w:id="175" w:name="_Toc65499064"/>
      <w:bookmarkStart w:id="176" w:name="_Toc65499493"/>
      <w:bookmarkStart w:id="177" w:name="_Toc67923595"/>
      <w:bookmarkStart w:id="178" w:name="_Toc67926832"/>
      <w:bookmarkStart w:id="179" w:name="_Toc68614691"/>
      <w:bookmarkStart w:id="180" w:name="_Toc69201395"/>
      <w:bookmarkStart w:id="181" w:name="_Toc69941570"/>
      <w:bookmarkStart w:id="182" w:name="_Toc70419844"/>
      <w:bookmarkStart w:id="183" w:name="_Toc72394925"/>
      <w:bookmarkStart w:id="184" w:name="_Toc72395668"/>
      <w:bookmarkEnd w:id="154"/>
      <w:bookmarkEnd w:id="155"/>
      <w:bookmarkEnd w:id="156"/>
      <w:bookmarkEnd w:id="157"/>
      <w:bookmarkEnd w:id="158"/>
      <w:bookmarkEnd w:id="159"/>
      <w:bookmarkEnd w:id="160"/>
      <w:bookmarkEnd w:id="161"/>
      <w:bookmarkEnd w:id="162"/>
      <w:bookmarkEnd w:id="163"/>
      <w:bookmarkEnd w:id="164"/>
      <w:r w:rsidR="00CE2DF9" w:rsidRPr="00CE2DF9">
        <w:lastRenderedPageBreak/>
        <w:t xml:space="preserve">What </w:t>
      </w:r>
      <w:r w:rsidR="00CE2DF9" w:rsidRPr="00713238">
        <w:t>policy</w:t>
      </w:r>
      <w:r w:rsidR="00CE2DF9" w:rsidRPr="00CE2DF9">
        <w:t xml:space="preserve"> options are </w:t>
      </w:r>
      <w:r w:rsidR="0026134B">
        <w:t>under</w:t>
      </w:r>
      <w:r w:rsidR="00CE2DF9" w:rsidRPr="00CE2DF9">
        <w:t xml:space="preserve"> </w:t>
      </w:r>
      <w:r w:rsidR="00CE2DF9" w:rsidRPr="00713238">
        <w:t>consider</w:t>
      </w:r>
      <w:r w:rsidR="0026134B">
        <w:t>ation</w:t>
      </w:r>
      <w:r w:rsidR="00CE2DF9" w:rsidRPr="00CE2DF9">
        <w:t>?</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570F661" w14:textId="234ABDE3" w:rsidR="00186500" w:rsidRDefault="009A4DF7" w:rsidP="00823356">
      <w:pPr>
        <w:suppressAutoHyphens/>
        <w:autoSpaceDE w:val="0"/>
        <w:autoSpaceDN w:val="0"/>
        <w:adjustRightInd w:val="0"/>
        <w:spacing w:before="283" w:after="170" w:line="280" w:lineRule="atLeast"/>
        <w:textAlignment w:val="center"/>
        <w:rPr>
          <w:rFonts w:cs="Arial"/>
          <w:color w:val="000000"/>
          <w:lang w:val="en-US"/>
        </w:rPr>
      </w:pPr>
      <w:r w:rsidRPr="00642126">
        <w:rPr>
          <w:rFonts w:cs="Arial"/>
        </w:rPr>
        <w:t xml:space="preserve">The reforms being considered in this RIS seek to improve Australia’s fuel security for the </w:t>
      </w:r>
      <w:r w:rsidRPr="00EA3D68">
        <w:rPr>
          <w:rFonts w:cs="Arial"/>
          <w:color w:val="000000"/>
          <w:lang w:val="en-US"/>
        </w:rPr>
        <w:t>medium-term through carefully balancing the risks with the cost of implementation.</w:t>
      </w:r>
      <w:r w:rsidR="00186500">
        <w:rPr>
          <w:rFonts w:cs="Arial"/>
          <w:color w:val="000000"/>
          <w:lang w:val="en-US"/>
        </w:rPr>
        <w:t xml:space="preserve"> </w:t>
      </w:r>
    </w:p>
    <w:p w14:paraId="7115DB44" w14:textId="77F7C403" w:rsidR="00F92A52" w:rsidRDefault="00F92A52" w:rsidP="00F92A52">
      <w:pPr>
        <w:pStyle w:val="BodyText"/>
        <w:spacing w:line="276" w:lineRule="auto"/>
        <w:rPr>
          <w:rFonts w:cs="Arial"/>
        </w:rPr>
      </w:pPr>
      <w:r>
        <w:rPr>
          <w:rFonts w:ascii="Arial" w:hAnsi="Arial" w:cs="Arial"/>
        </w:rPr>
        <w:t>In light of this mounting pressure on our refin</w:t>
      </w:r>
      <w:r w:rsidR="00651406">
        <w:rPr>
          <w:rFonts w:ascii="Arial" w:hAnsi="Arial" w:cs="Arial"/>
        </w:rPr>
        <w:t>ing</w:t>
      </w:r>
      <w:r>
        <w:rPr>
          <w:rFonts w:ascii="Arial" w:hAnsi="Arial" w:cs="Arial"/>
        </w:rPr>
        <w:t xml:space="preserve"> sector, a </w:t>
      </w:r>
      <w:r w:rsidR="00651406">
        <w:rPr>
          <w:rFonts w:ascii="Arial" w:hAnsi="Arial" w:cs="Arial"/>
        </w:rPr>
        <w:t xml:space="preserve">new market and </w:t>
      </w:r>
      <w:r>
        <w:rPr>
          <w:rFonts w:ascii="Arial" w:hAnsi="Arial" w:cs="Arial"/>
        </w:rPr>
        <w:t xml:space="preserve">regulatory framework was developed, </w:t>
      </w:r>
      <w:r w:rsidR="00F22451">
        <w:rPr>
          <w:rFonts w:ascii="Arial" w:hAnsi="Arial" w:cs="Arial"/>
        </w:rPr>
        <w:t xml:space="preserve">and put forward </w:t>
      </w:r>
      <w:r w:rsidR="00A55964">
        <w:rPr>
          <w:rFonts w:ascii="Arial" w:hAnsi="Arial" w:cs="Arial"/>
        </w:rPr>
        <w:t>for Government consideration</w:t>
      </w:r>
      <w:r w:rsidR="00F22451">
        <w:rPr>
          <w:rFonts w:ascii="Arial" w:hAnsi="Arial" w:cs="Arial"/>
        </w:rPr>
        <w:t xml:space="preserve">, </w:t>
      </w:r>
      <w:r>
        <w:rPr>
          <w:rFonts w:ascii="Arial" w:hAnsi="Arial" w:cs="Arial"/>
        </w:rPr>
        <w:t>containing two key elements:</w:t>
      </w:r>
    </w:p>
    <w:p w14:paraId="6E89B33D" w14:textId="3C7EDDAE" w:rsidR="00F92A52" w:rsidRPr="00651406" w:rsidRDefault="00F92A52" w:rsidP="00884248">
      <w:pPr>
        <w:pStyle w:val="BodyText"/>
        <w:numPr>
          <w:ilvl w:val="0"/>
          <w:numId w:val="5"/>
        </w:numPr>
        <w:spacing w:line="276" w:lineRule="auto"/>
        <w:rPr>
          <w:rFonts w:ascii="Arial" w:hAnsi="Arial" w:cs="Arial"/>
        </w:rPr>
      </w:pPr>
      <w:r w:rsidRPr="00651406">
        <w:rPr>
          <w:rFonts w:ascii="Arial" w:hAnsi="Arial" w:cs="Arial"/>
        </w:rPr>
        <w:t xml:space="preserve">The setting of a </w:t>
      </w:r>
      <w:r w:rsidR="00FD6151">
        <w:rPr>
          <w:rFonts w:ascii="Arial" w:hAnsi="Arial" w:cs="Arial"/>
        </w:rPr>
        <w:t xml:space="preserve">MSO </w:t>
      </w:r>
      <w:r w:rsidRPr="00651406">
        <w:rPr>
          <w:rFonts w:ascii="Arial" w:hAnsi="Arial" w:cs="Arial"/>
        </w:rPr>
        <w:t xml:space="preserve">to </w:t>
      </w:r>
      <w:r w:rsidR="000D4596" w:rsidRPr="00651406">
        <w:rPr>
          <w:rFonts w:ascii="Arial" w:hAnsi="Arial" w:cs="Arial"/>
        </w:rPr>
        <w:t xml:space="preserve">establish </w:t>
      </w:r>
      <w:r w:rsidRPr="00651406">
        <w:rPr>
          <w:rFonts w:ascii="Arial" w:hAnsi="Arial" w:cs="Arial"/>
        </w:rPr>
        <w:t xml:space="preserve">a floor </w:t>
      </w:r>
      <w:r w:rsidR="000D4596" w:rsidRPr="00651406">
        <w:rPr>
          <w:rFonts w:ascii="Arial" w:hAnsi="Arial" w:cs="Arial"/>
        </w:rPr>
        <w:t xml:space="preserve">– a minimum </w:t>
      </w:r>
      <w:r w:rsidR="001B2823">
        <w:rPr>
          <w:rFonts w:ascii="Arial" w:hAnsi="Arial" w:cs="Arial"/>
        </w:rPr>
        <w:t xml:space="preserve">level </w:t>
      </w:r>
      <w:r w:rsidR="00373572" w:rsidRPr="00651406">
        <w:rPr>
          <w:rFonts w:ascii="Arial" w:hAnsi="Arial" w:cs="Arial"/>
        </w:rPr>
        <w:t>of</w:t>
      </w:r>
      <w:r w:rsidR="000D4596" w:rsidRPr="00651406">
        <w:rPr>
          <w:rFonts w:ascii="Arial" w:hAnsi="Arial" w:cs="Arial"/>
        </w:rPr>
        <w:t xml:space="preserve"> held stocks – for </w:t>
      </w:r>
      <w:r w:rsidRPr="00651406">
        <w:rPr>
          <w:rFonts w:ascii="Arial" w:hAnsi="Arial" w:cs="Arial"/>
        </w:rPr>
        <w:t xml:space="preserve">different fuel types </w:t>
      </w:r>
      <w:r w:rsidR="00651406">
        <w:rPr>
          <w:rFonts w:ascii="Arial" w:hAnsi="Arial" w:cs="Arial"/>
        </w:rPr>
        <w:t>to</w:t>
      </w:r>
      <w:r w:rsidR="00651406" w:rsidRPr="00651406">
        <w:rPr>
          <w:rFonts w:ascii="Arial" w:hAnsi="Arial" w:cs="Arial"/>
        </w:rPr>
        <w:t xml:space="preserve"> </w:t>
      </w:r>
      <w:r w:rsidRPr="00651406">
        <w:rPr>
          <w:rFonts w:ascii="Arial" w:hAnsi="Arial" w:cs="Arial"/>
        </w:rPr>
        <w:t>provide certainty of oil stocks in Australia</w:t>
      </w:r>
      <w:r w:rsidR="00902B99">
        <w:rPr>
          <w:rFonts w:ascii="Arial" w:hAnsi="Arial" w:cs="Arial"/>
        </w:rPr>
        <w:t>.</w:t>
      </w:r>
    </w:p>
    <w:p w14:paraId="33AE2EF6" w14:textId="7A4990BE" w:rsidR="00F92A52" w:rsidRDefault="00F92A52" w:rsidP="00884248">
      <w:pPr>
        <w:pStyle w:val="BodyText"/>
        <w:numPr>
          <w:ilvl w:val="0"/>
          <w:numId w:val="5"/>
        </w:numPr>
        <w:spacing w:line="276" w:lineRule="auto"/>
        <w:rPr>
          <w:rFonts w:ascii="Arial" w:hAnsi="Arial" w:cs="Arial"/>
        </w:rPr>
      </w:pPr>
      <w:r w:rsidRPr="00651406">
        <w:rPr>
          <w:rFonts w:ascii="Arial" w:hAnsi="Arial" w:cs="Arial"/>
        </w:rPr>
        <w:t>Measures to provide support</w:t>
      </w:r>
      <w:r w:rsidR="00BE62D4">
        <w:rPr>
          <w:rFonts w:ascii="Arial" w:hAnsi="Arial" w:cs="Arial"/>
        </w:rPr>
        <w:t xml:space="preserve"> </w:t>
      </w:r>
      <w:r w:rsidRPr="00651406">
        <w:rPr>
          <w:rFonts w:ascii="Arial" w:hAnsi="Arial" w:cs="Arial"/>
        </w:rPr>
        <w:t>to refiners</w:t>
      </w:r>
      <w:r w:rsidR="00902B99" w:rsidRPr="00651406">
        <w:rPr>
          <w:rFonts w:ascii="Arial" w:hAnsi="Arial" w:cs="Arial"/>
        </w:rPr>
        <w:t>, financial or non-financial,</w:t>
      </w:r>
      <w:r w:rsidRPr="00651406">
        <w:rPr>
          <w:rFonts w:ascii="Arial" w:hAnsi="Arial" w:cs="Arial"/>
        </w:rPr>
        <w:t xml:space="preserve"> to lock in their continued operation until at least 2027. </w:t>
      </w:r>
    </w:p>
    <w:p w14:paraId="7E8DCD56" w14:textId="77777777" w:rsidR="006C22BA" w:rsidRPr="00220305" w:rsidRDefault="00AC21D2" w:rsidP="00161240">
      <w:pPr>
        <w:pStyle w:val="Heading2"/>
        <w:numPr>
          <w:ilvl w:val="1"/>
          <w:numId w:val="77"/>
        </w:numPr>
      </w:pPr>
      <w:bookmarkStart w:id="185" w:name="_Toc69939582"/>
      <w:bookmarkStart w:id="186" w:name="_Toc69941571"/>
      <w:bookmarkStart w:id="187" w:name="_Toc70609251"/>
      <w:bookmarkStart w:id="188" w:name="_Toc71107370"/>
      <w:bookmarkStart w:id="189" w:name="_Toc65228323"/>
      <w:bookmarkStart w:id="190" w:name="_Toc65247706"/>
      <w:bookmarkStart w:id="191" w:name="_Toc65250662"/>
      <w:bookmarkStart w:id="192" w:name="_Toc65253421"/>
      <w:bookmarkStart w:id="193" w:name="_Toc65329404"/>
      <w:bookmarkStart w:id="194" w:name="_Toc65332757"/>
      <w:bookmarkStart w:id="195" w:name="_Toc65339156"/>
      <w:bookmarkStart w:id="196" w:name="_Toc65341088"/>
      <w:bookmarkStart w:id="197" w:name="_Toc65402173"/>
      <w:bookmarkStart w:id="198" w:name="_Toc65405406"/>
      <w:bookmarkStart w:id="199" w:name="_Toc65499065"/>
      <w:bookmarkStart w:id="200" w:name="_Toc65499494"/>
      <w:bookmarkStart w:id="201" w:name="_Toc67923596"/>
      <w:bookmarkStart w:id="202" w:name="_Toc67926833"/>
      <w:bookmarkStart w:id="203" w:name="_Toc68614692"/>
      <w:bookmarkStart w:id="204" w:name="_Toc69201396"/>
      <w:bookmarkStart w:id="205" w:name="_Toc69941572"/>
      <w:bookmarkStart w:id="206" w:name="_Toc70419845"/>
      <w:bookmarkStart w:id="207" w:name="_Toc72394926"/>
      <w:bookmarkStart w:id="208" w:name="_Toc72395669"/>
      <w:bookmarkEnd w:id="185"/>
      <w:bookmarkEnd w:id="186"/>
      <w:bookmarkEnd w:id="187"/>
      <w:bookmarkEnd w:id="188"/>
      <w:r>
        <w:t>Ma</w:t>
      </w:r>
      <w:r w:rsidR="006C22BA" w:rsidRPr="00220305">
        <w:t>intain the status quo</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031C6EF7" w14:textId="328FA347" w:rsidR="000E190B" w:rsidRDefault="000E190B" w:rsidP="00EA3D68">
      <w:pPr>
        <w:pStyle w:val="BodyText"/>
        <w:spacing w:line="276" w:lineRule="auto"/>
        <w:rPr>
          <w:rFonts w:cs="Arial"/>
        </w:rPr>
      </w:pPr>
      <w:r>
        <w:rPr>
          <w:rFonts w:ascii="Arial" w:hAnsi="Arial" w:cs="Arial"/>
        </w:rPr>
        <w:t>The Department considered a scenario where there is no Government intervention. Under this scenario there is no MSO establish</w:t>
      </w:r>
      <w:r w:rsidR="00B57857">
        <w:rPr>
          <w:rFonts w:ascii="Arial" w:hAnsi="Arial" w:cs="Arial"/>
        </w:rPr>
        <w:t>ed</w:t>
      </w:r>
      <w:r>
        <w:rPr>
          <w:rFonts w:ascii="Arial" w:hAnsi="Arial" w:cs="Arial"/>
        </w:rPr>
        <w:t xml:space="preserve"> to provide certainty of fuel stocks, and no Government support is provided to refiners. Refiners are left to face the impacts of the COVID-19 crisis on their own, and must assess the commercial viability of undertaking the necessary and significant infrastructure upgrades to meet the improvements to fuel quality standards.  </w:t>
      </w:r>
    </w:p>
    <w:p w14:paraId="05B9F356" w14:textId="54713DBF" w:rsidR="000E190B" w:rsidRDefault="000E190B" w:rsidP="00EA3D68">
      <w:pPr>
        <w:pStyle w:val="BodyText"/>
        <w:spacing w:line="276" w:lineRule="auto"/>
        <w:rPr>
          <w:rFonts w:cs="Arial"/>
        </w:rPr>
      </w:pPr>
      <w:r>
        <w:rPr>
          <w:rFonts w:ascii="Arial" w:hAnsi="Arial" w:cs="Arial"/>
        </w:rPr>
        <w:t xml:space="preserve">The likely benefits of this option are outlined in Section 4. </w:t>
      </w:r>
    </w:p>
    <w:p w14:paraId="53A67749" w14:textId="614A1CCB" w:rsidR="00097173" w:rsidRPr="00474928" w:rsidRDefault="006A3E5F" w:rsidP="00161240">
      <w:pPr>
        <w:pStyle w:val="Heading2"/>
        <w:numPr>
          <w:ilvl w:val="1"/>
          <w:numId w:val="77"/>
        </w:numPr>
      </w:pPr>
      <w:bookmarkStart w:id="209" w:name="_Toc70609255"/>
      <w:bookmarkStart w:id="210" w:name="_Toc71107374"/>
      <w:bookmarkStart w:id="211" w:name="_Toc69939584"/>
      <w:bookmarkStart w:id="212" w:name="_Toc69941573"/>
      <w:bookmarkStart w:id="213" w:name="_Toc70609256"/>
      <w:bookmarkStart w:id="214" w:name="_Toc71107375"/>
      <w:bookmarkStart w:id="215" w:name="_Toc69939585"/>
      <w:bookmarkStart w:id="216" w:name="_Toc69941574"/>
      <w:bookmarkStart w:id="217" w:name="_Toc70609257"/>
      <w:bookmarkStart w:id="218" w:name="_Toc71107376"/>
      <w:bookmarkStart w:id="219" w:name="_Toc69939586"/>
      <w:bookmarkStart w:id="220" w:name="_Toc69941575"/>
      <w:bookmarkStart w:id="221" w:name="_Toc70609258"/>
      <w:bookmarkStart w:id="222" w:name="_Toc71107377"/>
      <w:bookmarkStart w:id="223" w:name="_Toc69939587"/>
      <w:bookmarkStart w:id="224" w:name="_Toc69941576"/>
      <w:bookmarkStart w:id="225" w:name="_Toc70609259"/>
      <w:bookmarkStart w:id="226" w:name="_Toc71107378"/>
      <w:bookmarkStart w:id="227" w:name="_Toc69939588"/>
      <w:bookmarkStart w:id="228" w:name="_Toc69941577"/>
      <w:bookmarkStart w:id="229" w:name="_Toc70609260"/>
      <w:bookmarkStart w:id="230" w:name="_Toc71107379"/>
      <w:bookmarkStart w:id="231" w:name="_Toc69939589"/>
      <w:bookmarkStart w:id="232" w:name="_Toc69941578"/>
      <w:bookmarkStart w:id="233" w:name="_Toc70609261"/>
      <w:bookmarkStart w:id="234" w:name="_Toc71107380"/>
      <w:bookmarkStart w:id="235" w:name="_Toc69939590"/>
      <w:bookmarkStart w:id="236" w:name="_Toc69941579"/>
      <w:bookmarkStart w:id="237" w:name="_Toc70609262"/>
      <w:bookmarkStart w:id="238" w:name="_Toc71107381"/>
      <w:bookmarkStart w:id="239" w:name="_Toc69939591"/>
      <w:bookmarkStart w:id="240" w:name="_Toc69941580"/>
      <w:bookmarkStart w:id="241" w:name="_Toc70609263"/>
      <w:bookmarkStart w:id="242" w:name="_Toc71107382"/>
      <w:bookmarkStart w:id="243" w:name="_Toc69939592"/>
      <w:bookmarkStart w:id="244" w:name="_Toc69941581"/>
      <w:bookmarkStart w:id="245" w:name="_Toc70609264"/>
      <w:bookmarkStart w:id="246" w:name="_Toc71107383"/>
      <w:bookmarkStart w:id="247" w:name="_Toc69939593"/>
      <w:bookmarkStart w:id="248" w:name="_Toc69941582"/>
      <w:bookmarkStart w:id="249" w:name="_Toc70609265"/>
      <w:bookmarkStart w:id="250" w:name="_Toc71107384"/>
      <w:bookmarkStart w:id="251" w:name="_Toc69939594"/>
      <w:bookmarkStart w:id="252" w:name="_Toc69941583"/>
      <w:bookmarkStart w:id="253" w:name="_Toc70609266"/>
      <w:bookmarkStart w:id="254" w:name="_Toc71107385"/>
      <w:bookmarkStart w:id="255" w:name="_Toc69939595"/>
      <w:bookmarkStart w:id="256" w:name="_Toc69941584"/>
      <w:bookmarkStart w:id="257" w:name="_Toc70609267"/>
      <w:bookmarkStart w:id="258" w:name="_Toc71107386"/>
      <w:bookmarkStart w:id="259" w:name="_Toc69939596"/>
      <w:bookmarkStart w:id="260" w:name="_Toc69941585"/>
      <w:bookmarkStart w:id="261" w:name="_Toc70609268"/>
      <w:bookmarkStart w:id="262" w:name="_Toc71107387"/>
      <w:bookmarkStart w:id="263" w:name="_Toc65227131"/>
      <w:bookmarkStart w:id="264" w:name="_Toc65227210"/>
      <w:bookmarkStart w:id="265" w:name="_Toc65227262"/>
      <w:bookmarkStart w:id="266" w:name="_Toc65227314"/>
      <w:bookmarkStart w:id="267" w:name="_Toc65227369"/>
      <w:bookmarkStart w:id="268" w:name="_Toc65227517"/>
      <w:bookmarkStart w:id="269" w:name="_Toc65227568"/>
      <w:bookmarkStart w:id="270" w:name="_Toc65227619"/>
      <w:bookmarkStart w:id="271" w:name="_Toc65227667"/>
      <w:bookmarkStart w:id="272" w:name="_Toc65227718"/>
      <w:bookmarkStart w:id="273" w:name="_Toc65227769"/>
      <w:bookmarkStart w:id="274" w:name="_Toc65227710"/>
      <w:bookmarkStart w:id="275" w:name="_Toc65228325"/>
      <w:bookmarkStart w:id="276" w:name="_Toc65247708"/>
      <w:bookmarkStart w:id="277" w:name="_Toc65248688"/>
      <w:bookmarkStart w:id="278" w:name="_Toc65248863"/>
      <w:bookmarkStart w:id="279" w:name="_Toc65249062"/>
      <w:bookmarkStart w:id="280" w:name="_Toc65249377"/>
      <w:bookmarkStart w:id="281" w:name="_Toc65250410"/>
      <w:bookmarkStart w:id="282" w:name="_Toc65250535"/>
      <w:bookmarkStart w:id="283" w:name="_Toc65250664"/>
      <w:bookmarkStart w:id="284" w:name="_Toc65253423"/>
      <w:bookmarkStart w:id="285" w:name="_Toc65254654"/>
      <w:bookmarkStart w:id="286" w:name="_Toc65227132"/>
      <w:bookmarkStart w:id="287" w:name="_Toc65227211"/>
      <w:bookmarkStart w:id="288" w:name="_Toc65227263"/>
      <w:bookmarkStart w:id="289" w:name="_Toc65227315"/>
      <w:bookmarkStart w:id="290" w:name="_Toc65227370"/>
      <w:bookmarkStart w:id="291" w:name="_Toc65227518"/>
      <w:bookmarkStart w:id="292" w:name="_Toc65227569"/>
      <w:bookmarkStart w:id="293" w:name="_Toc65227620"/>
      <w:bookmarkStart w:id="294" w:name="_Toc65227668"/>
      <w:bookmarkStart w:id="295" w:name="_Toc65227719"/>
      <w:bookmarkStart w:id="296" w:name="_Toc65227770"/>
      <w:bookmarkStart w:id="297" w:name="_Toc65227711"/>
      <w:bookmarkStart w:id="298" w:name="_Toc65228326"/>
      <w:bookmarkStart w:id="299" w:name="_Toc65247709"/>
      <w:bookmarkStart w:id="300" w:name="_Toc65248689"/>
      <w:bookmarkStart w:id="301" w:name="_Toc65248864"/>
      <w:bookmarkStart w:id="302" w:name="_Toc65249063"/>
      <w:bookmarkStart w:id="303" w:name="_Toc65249378"/>
      <w:bookmarkStart w:id="304" w:name="_Toc65250411"/>
      <w:bookmarkStart w:id="305" w:name="_Toc65250536"/>
      <w:bookmarkStart w:id="306" w:name="_Toc65250665"/>
      <w:bookmarkStart w:id="307" w:name="_Toc65253424"/>
      <w:bookmarkStart w:id="308" w:name="_Toc65254655"/>
      <w:bookmarkStart w:id="309" w:name="_Toc67923598"/>
      <w:bookmarkStart w:id="310" w:name="_Toc67926835"/>
      <w:bookmarkStart w:id="311" w:name="_Toc68614694"/>
      <w:bookmarkStart w:id="312" w:name="_Toc69201398"/>
      <w:bookmarkStart w:id="313" w:name="_Toc69941586"/>
      <w:bookmarkStart w:id="314" w:name="_Toc70419846"/>
      <w:bookmarkStart w:id="315" w:name="_Toc72394927"/>
      <w:bookmarkStart w:id="316" w:name="_Toc72395670"/>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t>Securing a minimum level of stocks for domestic fuel security</w:t>
      </w:r>
      <w:bookmarkEnd w:id="309"/>
      <w:bookmarkEnd w:id="310"/>
      <w:bookmarkEnd w:id="311"/>
      <w:bookmarkEnd w:id="312"/>
      <w:bookmarkEnd w:id="313"/>
      <w:bookmarkEnd w:id="314"/>
      <w:bookmarkEnd w:id="315"/>
      <w:bookmarkEnd w:id="316"/>
    </w:p>
    <w:p w14:paraId="343B1D1D" w14:textId="6ED8D06F" w:rsidR="00097173" w:rsidRDefault="00097173" w:rsidP="00AF6B41">
      <w:pPr>
        <w:pStyle w:val="BodyText"/>
        <w:spacing w:line="276" w:lineRule="auto"/>
        <w:rPr>
          <w:rFonts w:cs="Arial"/>
        </w:rPr>
      </w:pPr>
      <w:r w:rsidRPr="00AF6B41">
        <w:rPr>
          <w:rFonts w:ascii="Arial" w:hAnsi="Arial" w:cs="Arial"/>
        </w:rPr>
        <w:t>Through setting a minimum level on stocks</w:t>
      </w:r>
      <w:r w:rsidR="003764E1">
        <w:rPr>
          <w:rFonts w:ascii="Arial" w:hAnsi="Arial" w:cs="Arial"/>
        </w:rPr>
        <w:t xml:space="preserve"> on</w:t>
      </w:r>
      <w:r w:rsidRPr="00AF6B41">
        <w:rPr>
          <w:rFonts w:ascii="Arial" w:hAnsi="Arial" w:cs="Arial"/>
        </w:rPr>
        <w:t xml:space="preserve"> certain fuel types held by importers and refiners, the Government will enhance fuel security and provide consumers </w:t>
      </w:r>
      <w:r w:rsidR="003B567D">
        <w:rPr>
          <w:rFonts w:ascii="Arial" w:hAnsi="Arial" w:cs="Arial"/>
        </w:rPr>
        <w:t xml:space="preserve">and businesses </w:t>
      </w:r>
      <w:r w:rsidRPr="00AF6B41">
        <w:rPr>
          <w:rFonts w:ascii="Arial" w:hAnsi="Arial" w:cs="Arial"/>
        </w:rPr>
        <w:t xml:space="preserve">with certainty of key refined fuel stocks in Australia. Increasing our oil stocks will strengthen Australia’s resilience in the event of a fuel supply disruption, which is particularly valuable in light of diminishing domestic refining capacity. This mechanism will also help Australia meet our international obligations, in complying with the requirements of the IEA. </w:t>
      </w:r>
    </w:p>
    <w:p w14:paraId="43F5CD73" w14:textId="136A0B64" w:rsidR="00097173" w:rsidRPr="00FC5B3E" w:rsidRDefault="00097173" w:rsidP="00097173">
      <w:pPr>
        <w:pStyle w:val="BodyText"/>
        <w:spacing w:line="276" w:lineRule="auto"/>
        <w:rPr>
          <w:rFonts w:cs="Arial"/>
        </w:rPr>
      </w:pPr>
      <w:r w:rsidRPr="002A705B">
        <w:rPr>
          <w:rFonts w:ascii="Arial" w:hAnsi="Arial" w:cs="Arial"/>
        </w:rPr>
        <w:t>By setting a legislated industry stockholding obligation, Government will have the ability to adjust Australia’s fuels stocks and storage capacity, protecting consumers and the economy from disruptions as part of Australia’s strategic capability.</w:t>
      </w:r>
      <w:r w:rsidR="00FC5B3E">
        <w:rPr>
          <w:rFonts w:cs="Arial"/>
        </w:rPr>
        <w:t xml:space="preserve"> </w:t>
      </w:r>
      <w:r>
        <w:rPr>
          <w:rFonts w:ascii="Arial" w:hAnsi="Arial" w:cs="Arial"/>
        </w:rPr>
        <w:t xml:space="preserve">The consultation process explored alternative options that are proposed to ensure a market-led approach is adopted. Options for implementation have been listed below. </w:t>
      </w:r>
    </w:p>
    <w:p w14:paraId="325662C8" w14:textId="62BECBB7" w:rsidR="00097173" w:rsidRPr="00890DB2" w:rsidRDefault="00097173" w:rsidP="00AF6B41">
      <w:pPr>
        <w:pStyle w:val="BodyText"/>
        <w:spacing w:line="276" w:lineRule="auto"/>
        <w:rPr>
          <w:rFonts w:cs="Arial"/>
        </w:rPr>
      </w:pPr>
      <w:r w:rsidRPr="00AF6B41">
        <w:rPr>
          <w:rFonts w:ascii="Arial" w:hAnsi="Arial" w:cs="Arial"/>
        </w:rPr>
        <w:t xml:space="preserve">The </w:t>
      </w:r>
      <w:r w:rsidR="00FD6151">
        <w:rPr>
          <w:rFonts w:ascii="Arial" w:hAnsi="Arial" w:cs="Arial"/>
        </w:rPr>
        <w:t xml:space="preserve">MSO </w:t>
      </w:r>
      <w:r w:rsidRPr="00AF6B41">
        <w:rPr>
          <w:rFonts w:ascii="Arial" w:hAnsi="Arial" w:cs="Arial"/>
        </w:rPr>
        <w:t>would be imposed on corporate entities that import and refine petrol, diesel and jet fuel in Australia. It would set a</w:t>
      </w:r>
      <w:r>
        <w:rPr>
          <w:rFonts w:ascii="Arial" w:hAnsi="Arial" w:cs="Arial"/>
        </w:rPr>
        <w:t>n initial</w:t>
      </w:r>
      <w:r w:rsidRPr="00AF6B41">
        <w:rPr>
          <w:rFonts w:ascii="Arial" w:hAnsi="Arial" w:cs="Arial"/>
        </w:rPr>
        <w:t xml:space="preserve"> requirement to hold a minimum of stocks equivalent to </w:t>
      </w:r>
      <w:r>
        <w:rPr>
          <w:rFonts w:ascii="Arial" w:hAnsi="Arial" w:cs="Arial"/>
        </w:rPr>
        <w:t xml:space="preserve">current consumption </w:t>
      </w:r>
      <w:r w:rsidRPr="00AF6B41">
        <w:rPr>
          <w:rFonts w:ascii="Arial" w:hAnsi="Arial" w:cs="Arial"/>
        </w:rPr>
        <w:t xml:space="preserve">levels for the three regulated fuels. </w:t>
      </w:r>
      <w:r>
        <w:rPr>
          <w:rFonts w:ascii="Arial" w:hAnsi="Arial" w:cs="Arial"/>
        </w:rPr>
        <w:t>I</w:t>
      </w:r>
      <w:r w:rsidRPr="00AF6B41">
        <w:rPr>
          <w:rFonts w:ascii="Arial" w:hAnsi="Arial" w:cs="Arial"/>
        </w:rPr>
        <w:t>n mid-2024, the stockholding obligation would be extended to require</w:t>
      </w:r>
      <w:r w:rsidRPr="00AF6B41" w:rsidDel="002A705B">
        <w:rPr>
          <w:rFonts w:ascii="Arial" w:hAnsi="Arial" w:cs="Arial"/>
        </w:rPr>
        <w:t xml:space="preserve"> </w:t>
      </w:r>
      <w:r w:rsidRPr="00AF6B41">
        <w:rPr>
          <w:rFonts w:ascii="Arial" w:hAnsi="Arial" w:cs="Arial"/>
        </w:rPr>
        <w:t>entities to hold an additional 40 per cent of diesel stocks above the pre-COVID-19 average</w:t>
      </w:r>
      <w:r w:rsidR="00FC5B3E">
        <w:rPr>
          <w:rFonts w:ascii="Arial" w:hAnsi="Arial" w:cs="Arial"/>
        </w:rPr>
        <w:t xml:space="preserve"> </w:t>
      </w:r>
      <w:r w:rsidR="001B2823">
        <w:rPr>
          <w:rFonts w:ascii="Arial" w:hAnsi="Arial" w:cs="Arial"/>
        </w:rPr>
        <w:t xml:space="preserve">consumption cover </w:t>
      </w:r>
      <w:r w:rsidR="00FC5B3E">
        <w:rPr>
          <w:rFonts w:ascii="Arial" w:hAnsi="Arial" w:cs="Arial"/>
        </w:rPr>
        <w:t>level</w:t>
      </w:r>
      <w:r w:rsidR="001B2823">
        <w:rPr>
          <w:rFonts w:ascii="Arial" w:hAnsi="Arial" w:cs="Arial"/>
        </w:rPr>
        <w:t>s</w:t>
      </w:r>
      <w:r w:rsidRPr="00AF6B41">
        <w:rPr>
          <w:rFonts w:ascii="Arial" w:hAnsi="Arial" w:cs="Arial"/>
        </w:rPr>
        <w:t xml:space="preserve">. </w:t>
      </w:r>
    </w:p>
    <w:p w14:paraId="37185485" w14:textId="77777777" w:rsidR="00097173" w:rsidRPr="002A705B" w:rsidRDefault="00097173" w:rsidP="00AF6B41">
      <w:pPr>
        <w:pStyle w:val="BodyText"/>
        <w:spacing w:line="276" w:lineRule="auto"/>
        <w:rPr>
          <w:rFonts w:cs="Arial"/>
        </w:rPr>
      </w:pPr>
      <w:r w:rsidRPr="00AF6B41">
        <w:rPr>
          <w:rFonts w:ascii="Arial" w:hAnsi="Arial" w:cs="Arial"/>
        </w:rPr>
        <w:t>The obligation would be placed on corporate entities that undertake the activities of refining or importing these fuels in Australia if they exceed a minimum threshold. This will avoid directly impacting small businesses, result in the least number of regulated entities needed to capture the majority of fuel supplied to the Australian market, and capture the entities that own or lease the majority of fuel storage capacity.</w:t>
      </w:r>
    </w:p>
    <w:p w14:paraId="3B6F3F32" w14:textId="35F1EA3F" w:rsidR="00097173" w:rsidRPr="00890DB2" w:rsidRDefault="00097173" w:rsidP="00AF6B41">
      <w:pPr>
        <w:pStyle w:val="BodyText"/>
        <w:spacing w:line="276" w:lineRule="auto"/>
        <w:rPr>
          <w:rFonts w:cs="Arial"/>
        </w:rPr>
      </w:pPr>
      <w:r w:rsidRPr="00AF6B41">
        <w:rPr>
          <w:rFonts w:ascii="Arial" w:hAnsi="Arial" w:cs="Arial"/>
        </w:rPr>
        <w:lastRenderedPageBreak/>
        <w:t>A national level obligation is recommended. This will allow regulated entities to hold eligible stocks anywhere in Australia based on their commercial supply chains and commercial drivers</w:t>
      </w:r>
      <w:r w:rsidR="0033198E">
        <w:rPr>
          <w:rFonts w:ascii="Arial" w:hAnsi="Arial" w:cs="Arial"/>
        </w:rPr>
        <w:t>,</w:t>
      </w:r>
      <w:r w:rsidRPr="00AF6B41">
        <w:rPr>
          <w:rFonts w:ascii="Arial" w:hAnsi="Arial" w:cs="Arial"/>
        </w:rPr>
        <w:t xml:space="preserve"> thereby minimising compliance costs.</w:t>
      </w:r>
    </w:p>
    <w:p w14:paraId="35D82294" w14:textId="77777777" w:rsidR="00097173" w:rsidRPr="00890DB2" w:rsidRDefault="00097173" w:rsidP="00AF6B41">
      <w:pPr>
        <w:pStyle w:val="BodyText"/>
        <w:spacing w:line="276" w:lineRule="auto"/>
        <w:rPr>
          <w:rFonts w:cs="Arial"/>
        </w:rPr>
      </w:pPr>
      <w:r w:rsidRPr="00AF6B41">
        <w:rPr>
          <w:rFonts w:ascii="Arial" w:hAnsi="Arial" w:cs="Arial"/>
        </w:rPr>
        <w:t>It would require obligated entities to hold a specified minimum quantity of each major transport fuel across their portfolios nationally</w:t>
      </w:r>
      <w:r w:rsidRPr="002A705B">
        <w:rPr>
          <w:rFonts w:ascii="Arial" w:hAnsi="Arial" w:cs="Arial"/>
        </w:rPr>
        <w:t xml:space="preserve">, </w:t>
      </w:r>
      <w:r w:rsidRPr="00AF6B41">
        <w:rPr>
          <w:rFonts w:ascii="Arial" w:hAnsi="Arial" w:cs="Arial"/>
        </w:rPr>
        <w:t>as follows:</w:t>
      </w:r>
    </w:p>
    <w:p w14:paraId="3FB35132" w14:textId="2336358E" w:rsidR="00097173" w:rsidRPr="00AF6B41" w:rsidRDefault="00097173" w:rsidP="00884248">
      <w:pPr>
        <w:pStyle w:val="BodyText"/>
        <w:numPr>
          <w:ilvl w:val="0"/>
          <w:numId w:val="6"/>
        </w:numPr>
        <w:spacing w:line="276" w:lineRule="auto"/>
        <w:rPr>
          <w:rFonts w:ascii="Arial" w:hAnsi="Arial" w:cs="Arial"/>
        </w:rPr>
      </w:pPr>
      <w:r w:rsidRPr="00AF6B41">
        <w:rPr>
          <w:rFonts w:ascii="Arial" w:hAnsi="Arial" w:cs="Arial"/>
        </w:rPr>
        <w:t>Petrol (all grades in aggregate) at pre-COVID-19 average levels</w:t>
      </w:r>
      <w:r w:rsidR="00377B72">
        <w:rPr>
          <w:rFonts w:ascii="Arial" w:hAnsi="Arial" w:cs="Arial"/>
        </w:rPr>
        <w:t>, with a consumption cover target set at 24 days for obligated entities.</w:t>
      </w:r>
    </w:p>
    <w:p w14:paraId="5D3EC54D" w14:textId="7A9121CA" w:rsidR="00097173" w:rsidRPr="00AF6B41" w:rsidRDefault="00097173" w:rsidP="00884248">
      <w:pPr>
        <w:pStyle w:val="BodyText"/>
        <w:numPr>
          <w:ilvl w:val="0"/>
          <w:numId w:val="6"/>
        </w:numPr>
        <w:spacing w:line="276" w:lineRule="auto"/>
        <w:rPr>
          <w:rFonts w:ascii="Arial" w:hAnsi="Arial" w:cs="Arial"/>
        </w:rPr>
      </w:pPr>
      <w:r w:rsidRPr="00AF6B41">
        <w:rPr>
          <w:rFonts w:ascii="Arial" w:hAnsi="Arial" w:cs="Arial"/>
        </w:rPr>
        <w:t>Aviation fuel at pre-COVID-19 average levels</w:t>
      </w:r>
      <w:r w:rsidR="00377B72">
        <w:rPr>
          <w:rFonts w:ascii="Arial" w:hAnsi="Arial" w:cs="Arial"/>
        </w:rPr>
        <w:t>, with a consumption cover target set at 24 days for obligated entities.</w:t>
      </w:r>
      <w:r w:rsidRPr="00AF6B41">
        <w:rPr>
          <w:rFonts w:ascii="Arial" w:hAnsi="Arial" w:cs="Arial"/>
        </w:rPr>
        <w:t xml:space="preserve"> </w:t>
      </w:r>
    </w:p>
    <w:p w14:paraId="1D679F39" w14:textId="33094473" w:rsidR="00097173" w:rsidRPr="00AF6B41" w:rsidRDefault="00097173" w:rsidP="00884248">
      <w:pPr>
        <w:pStyle w:val="BodyText"/>
        <w:numPr>
          <w:ilvl w:val="0"/>
          <w:numId w:val="6"/>
        </w:numPr>
        <w:spacing w:line="276" w:lineRule="auto"/>
        <w:rPr>
          <w:rFonts w:ascii="Arial" w:hAnsi="Arial" w:cs="Arial"/>
        </w:rPr>
      </w:pPr>
      <w:r w:rsidRPr="00AF6B41">
        <w:rPr>
          <w:rFonts w:ascii="Arial" w:hAnsi="Arial" w:cs="Arial"/>
        </w:rPr>
        <w:t xml:space="preserve">Automotive diesel to increase by 40 per cent on pre-COVID-19 average levels </w:t>
      </w:r>
      <w:r w:rsidRPr="004F574F">
        <w:rPr>
          <w:rFonts w:ascii="Arial" w:hAnsi="Arial" w:cs="Arial"/>
        </w:rPr>
        <w:t>(</w:t>
      </w:r>
      <w:r w:rsidR="009169E1" w:rsidRPr="00EA3D68">
        <w:rPr>
          <w:rFonts w:ascii="Arial" w:hAnsi="Arial" w:cs="Arial"/>
        </w:rPr>
        <w:t xml:space="preserve">consumption day target to be </w:t>
      </w:r>
      <w:r w:rsidR="00377B72" w:rsidRPr="00EA3D68">
        <w:rPr>
          <w:rFonts w:ascii="Arial" w:hAnsi="Arial" w:cs="Arial"/>
        </w:rPr>
        <w:t>finalised during</w:t>
      </w:r>
      <w:r w:rsidR="009169E1" w:rsidRPr="00EA3D68">
        <w:rPr>
          <w:rFonts w:ascii="Arial" w:hAnsi="Arial" w:cs="Arial"/>
        </w:rPr>
        <w:t xml:space="preserve"> consultation on the Rules)</w:t>
      </w:r>
      <w:r w:rsidRPr="004F574F">
        <w:rPr>
          <w:rFonts w:ascii="Arial" w:hAnsi="Arial" w:cs="Arial"/>
        </w:rPr>
        <w:t>.</w:t>
      </w:r>
    </w:p>
    <w:p w14:paraId="65A4DA8D" w14:textId="17B0D47C" w:rsidR="00B6494F" w:rsidRPr="00AF6B41" w:rsidRDefault="00B6494F" w:rsidP="00823356">
      <w:pPr>
        <w:pStyle w:val="BodyText"/>
        <w:spacing w:line="276" w:lineRule="auto"/>
        <w:rPr>
          <w:rFonts w:ascii="Arial" w:hAnsi="Arial" w:cs="Arial"/>
        </w:rPr>
      </w:pPr>
      <w:r>
        <w:rPr>
          <w:rFonts w:ascii="Arial" w:hAnsi="Arial" w:cs="Arial"/>
        </w:rPr>
        <w:t>T</w:t>
      </w:r>
      <w:r w:rsidR="00E8160B">
        <w:rPr>
          <w:rFonts w:ascii="Arial" w:hAnsi="Arial" w:cs="Arial"/>
        </w:rPr>
        <w:t>he setting of t</w:t>
      </w:r>
      <w:r>
        <w:rPr>
          <w:rFonts w:ascii="Arial" w:hAnsi="Arial" w:cs="Arial"/>
        </w:rPr>
        <w:t>he</w:t>
      </w:r>
      <w:r w:rsidR="009551F3">
        <w:rPr>
          <w:rFonts w:ascii="Arial" w:hAnsi="Arial" w:cs="Arial"/>
        </w:rPr>
        <w:t xml:space="preserve">se minimum </w:t>
      </w:r>
      <w:r>
        <w:rPr>
          <w:rFonts w:ascii="Arial" w:hAnsi="Arial" w:cs="Arial"/>
        </w:rPr>
        <w:t xml:space="preserve">levels </w:t>
      </w:r>
      <w:r w:rsidR="0039298B">
        <w:rPr>
          <w:rFonts w:ascii="Arial" w:hAnsi="Arial" w:cs="Arial"/>
        </w:rPr>
        <w:t xml:space="preserve">reflects the importance of diesel to our economy. </w:t>
      </w:r>
      <w:r w:rsidR="00E8160B">
        <w:rPr>
          <w:rFonts w:ascii="Arial" w:hAnsi="Arial" w:cs="Arial"/>
        </w:rPr>
        <w:t xml:space="preserve">The demand for petrol has flat-lined and is now </w:t>
      </w:r>
      <w:r w:rsidR="003B567D">
        <w:rPr>
          <w:rFonts w:ascii="Arial" w:hAnsi="Arial" w:cs="Arial"/>
        </w:rPr>
        <w:t xml:space="preserve">slowly </w:t>
      </w:r>
      <w:r w:rsidR="00E8160B">
        <w:rPr>
          <w:rFonts w:ascii="Arial" w:hAnsi="Arial" w:cs="Arial"/>
        </w:rPr>
        <w:t>declining. Jet fuel and diesel demand is increasing</w:t>
      </w:r>
      <w:r w:rsidR="0039298B">
        <w:rPr>
          <w:rFonts w:ascii="Arial" w:hAnsi="Arial" w:cs="Arial"/>
        </w:rPr>
        <w:t>,</w:t>
      </w:r>
      <w:r w:rsidR="00E8160B">
        <w:rPr>
          <w:rFonts w:ascii="Arial" w:hAnsi="Arial" w:cs="Arial"/>
        </w:rPr>
        <w:t xml:space="preserve"> but diesel is the fuel </w:t>
      </w:r>
      <w:r w:rsidR="0039298B">
        <w:rPr>
          <w:rFonts w:ascii="Arial" w:hAnsi="Arial" w:cs="Arial"/>
        </w:rPr>
        <w:t xml:space="preserve">most </w:t>
      </w:r>
      <w:r w:rsidR="00E8160B">
        <w:rPr>
          <w:rFonts w:ascii="Arial" w:hAnsi="Arial" w:cs="Arial"/>
        </w:rPr>
        <w:t xml:space="preserve">critical to emergency services. Appendix B outlines the demand of each fuel type over the last decade. </w:t>
      </w:r>
      <w:r w:rsidR="00972812">
        <w:rPr>
          <w:rFonts w:ascii="Arial" w:hAnsi="Arial" w:cs="Arial"/>
        </w:rPr>
        <w:t>Settings in the MSO will hold petrol and jet fuel levels at pre</w:t>
      </w:r>
      <w:r w:rsidR="00972812">
        <w:rPr>
          <w:rFonts w:ascii="Arial" w:hAnsi="Arial" w:cs="Arial"/>
        </w:rPr>
        <w:noBreakHyphen/>
        <w:t>COVID</w:t>
      </w:r>
      <w:r w:rsidR="00972812">
        <w:rPr>
          <w:rFonts w:ascii="Arial" w:hAnsi="Arial" w:cs="Arial"/>
        </w:rPr>
        <w:noBreakHyphen/>
        <w:t xml:space="preserve">19 levels, while diesel levels will be increased by 40 per cent, reflecting the </w:t>
      </w:r>
      <w:r w:rsidR="000B1B76">
        <w:rPr>
          <w:rFonts w:ascii="Arial" w:hAnsi="Arial" w:cs="Arial"/>
        </w:rPr>
        <w:t xml:space="preserve">role that </w:t>
      </w:r>
      <w:r w:rsidR="00972812">
        <w:rPr>
          <w:rFonts w:ascii="Arial" w:hAnsi="Arial" w:cs="Arial"/>
        </w:rPr>
        <w:t>diesel</w:t>
      </w:r>
      <w:r w:rsidR="000B1B76">
        <w:rPr>
          <w:rFonts w:ascii="Arial" w:hAnsi="Arial" w:cs="Arial"/>
        </w:rPr>
        <w:t xml:space="preserve"> plays in supporting critical services</w:t>
      </w:r>
      <w:r w:rsidR="00972812">
        <w:rPr>
          <w:rFonts w:ascii="Arial" w:hAnsi="Arial" w:cs="Arial"/>
        </w:rPr>
        <w:t>.</w:t>
      </w:r>
    </w:p>
    <w:p w14:paraId="2B541D6F" w14:textId="607C2EC8" w:rsidR="00097173" w:rsidRPr="00AF6B41" w:rsidRDefault="00132298" w:rsidP="00AF6B41">
      <w:pPr>
        <w:pStyle w:val="BodyText"/>
        <w:spacing w:line="276" w:lineRule="auto"/>
        <w:rPr>
          <w:rFonts w:ascii="Arial" w:hAnsi="Arial" w:cs="Arial"/>
        </w:rPr>
      </w:pPr>
      <w:r w:rsidRPr="00132298">
        <w:rPr>
          <w:rFonts w:ascii="Arial" w:hAnsi="Arial" w:cs="Arial"/>
        </w:rPr>
        <w:t xml:space="preserve">In recognition of the refining capabilities </w:t>
      </w:r>
      <w:r>
        <w:rPr>
          <w:rFonts w:ascii="Arial" w:hAnsi="Arial" w:cs="Arial"/>
        </w:rPr>
        <w:t xml:space="preserve">provided by </w:t>
      </w:r>
      <w:r w:rsidRPr="00132298">
        <w:rPr>
          <w:rFonts w:ascii="Arial" w:hAnsi="Arial" w:cs="Arial"/>
        </w:rPr>
        <w:t>refiners, and the unique fuel security service they provide compared to importers, two exemptions were considered</w:t>
      </w:r>
      <w:r w:rsidR="00097173" w:rsidRPr="00AF6B41">
        <w:rPr>
          <w:rFonts w:ascii="Arial" w:hAnsi="Arial" w:cs="Arial"/>
        </w:rPr>
        <w:t>:</w:t>
      </w:r>
    </w:p>
    <w:p w14:paraId="47146A67" w14:textId="473D31C3" w:rsidR="00097173" w:rsidRPr="00AF6B41" w:rsidRDefault="00097173" w:rsidP="0008389E">
      <w:pPr>
        <w:pStyle w:val="BodyText"/>
        <w:numPr>
          <w:ilvl w:val="0"/>
          <w:numId w:val="7"/>
        </w:numPr>
        <w:spacing w:line="276" w:lineRule="auto"/>
        <w:rPr>
          <w:rFonts w:ascii="Arial" w:hAnsi="Arial" w:cs="Arial"/>
        </w:rPr>
      </w:pPr>
      <w:r w:rsidRPr="00AF6B41">
        <w:rPr>
          <w:rFonts w:ascii="Arial" w:hAnsi="Arial" w:cs="Arial"/>
        </w:rPr>
        <w:t>Allowing refiners to count crude stocks held at their facilities as part of their di</w:t>
      </w:r>
      <w:r w:rsidR="007D2E0B">
        <w:rPr>
          <w:rFonts w:ascii="Arial" w:hAnsi="Arial" w:cs="Arial"/>
        </w:rPr>
        <w:t>esel, petrol and jet fuel stock</w:t>
      </w:r>
      <w:r w:rsidR="001B2823">
        <w:rPr>
          <w:rFonts w:ascii="Arial" w:hAnsi="Arial" w:cs="Arial"/>
        </w:rPr>
        <w:t>s.</w:t>
      </w:r>
    </w:p>
    <w:p w14:paraId="126C1E8F" w14:textId="7542C256" w:rsidR="00097173" w:rsidRDefault="00097173" w:rsidP="00884248">
      <w:pPr>
        <w:pStyle w:val="BodyText"/>
        <w:numPr>
          <w:ilvl w:val="0"/>
          <w:numId w:val="7"/>
        </w:numPr>
        <w:spacing w:line="276" w:lineRule="auto"/>
        <w:rPr>
          <w:rFonts w:ascii="Arial" w:hAnsi="Arial" w:cs="Arial"/>
        </w:rPr>
      </w:pPr>
      <w:r w:rsidRPr="00AF6B41">
        <w:rPr>
          <w:rFonts w:ascii="Arial" w:hAnsi="Arial" w:cs="Arial"/>
        </w:rPr>
        <w:t xml:space="preserve">Exempting refiners from the 40 per cent increase in diesel stocks aspect of the obligation. </w:t>
      </w:r>
    </w:p>
    <w:p w14:paraId="11969D34" w14:textId="16C4621A" w:rsidR="00FC5B3E" w:rsidRDefault="00FC5B3E" w:rsidP="00FC5B3E">
      <w:pPr>
        <w:pStyle w:val="BodyText"/>
        <w:spacing w:line="276" w:lineRule="auto"/>
        <w:rPr>
          <w:rFonts w:ascii="Arial" w:hAnsi="Arial" w:cs="Arial"/>
        </w:rPr>
      </w:pPr>
      <w:r>
        <w:rPr>
          <w:rFonts w:ascii="Arial" w:hAnsi="Arial" w:cs="Arial"/>
        </w:rPr>
        <w:t>Additionally, a combination of these two exemptions was considered.</w:t>
      </w:r>
    </w:p>
    <w:p w14:paraId="068A1940" w14:textId="5C9EC6E0" w:rsidR="00097173" w:rsidRPr="00823356" w:rsidRDefault="00FC5B3E" w:rsidP="00AF6B41">
      <w:pPr>
        <w:pStyle w:val="BodyText"/>
        <w:spacing w:line="276" w:lineRule="auto"/>
        <w:rPr>
          <w:rFonts w:cs="Arial"/>
        </w:rPr>
      </w:pPr>
      <w:r w:rsidRPr="00823356">
        <w:rPr>
          <w:rFonts w:ascii="Arial" w:hAnsi="Arial" w:cs="Arial"/>
        </w:rPr>
        <w:t>T</w:t>
      </w:r>
      <w:r w:rsidR="00097173" w:rsidRPr="00823356">
        <w:rPr>
          <w:rFonts w:ascii="Arial" w:hAnsi="Arial" w:cs="Arial"/>
        </w:rPr>
        <w:t>here are three options under consideration to facilitate an intermediary market:</w:t>
      </w:r>
    </w:p>
    <w:p w14:paraId="67F8944B" w14:textId="296A70D2" w:rsidR="00097173" w:rsidRPr="00FF5E4D" w:rsidRDefault="00097173" w:rsidP="00884248">
      <w:pPr>
        <w:pStyle w:val="BodyText"/>
        <w:numPr>
          <w:ilvl w:val="0"/>
          <w:numId w:val="8"/>
        </w:numPr>
        <w:spacing w:line="276" w:lineRule="auto"/>
        <w:rPr>
          <w:rFonts w:ascii="Arial" w:hAnsi="Arial" w:cs="Arial"/>
        </w:rPr>
      </w:pPr>
      <w:r w:rsidRPr="00823356">
        <w:rPr>
          <w:rFonts w:ascii="Arial" w:hAnsi="Arial" w:cs="Arial"/>
          <w:b/>
        </w:rPr>
        <w:t>Direct contracting</w:t>
      </w:r>
      <w:r w:rsidRPr="00823356">
        <w:rPr>
          <w:rFonts w:ascii="Arial" w:hAnsi="Arial" w:cs="Arial"/>
        </w:rPr>
        <w:t xml:space="preserve"> – Under this mechanism, shortfalls or surpluses in own stock positions would be managed through the purchasing or selling stock to third parties through individual contracts. </w:t>
      </w:r>
      <w:r w:rsidRPr="00FF5E4D">
        <w:rPr>
          <w:rFonts w:ascii="Arial" w:hAnsi="Arial" w:cs="Arial"/>
        </w:rPr>
        <w:t>This option would impose the full costs of the obligation on industry</w:t>
      </w:r>
      <w:r w:rsidR="00632915" w:rsidRPr="00FF5E4D">
        <w:rPr>
          <w:rFonts w:ascii="Arial" w:hAnsi="Arial" w:cs="Arial"/>
        </w:rPr>
        <w:t xml:space="preserve"> and may have pass through costs to consumers (contingent on the Rules developed for the MSO under the Fuel Security Act to be examined at a later stage)</w:t>
      </w:r>
      <w:r w:rsidRPr="00FF5E4D">
        <w:rPr>
          <w:rFonts w:ascii="Arial" w:hAnsi="Arial" w:cs="Arial"/>
        </w:rPr>
        <w:t xml:space="preserve">. </w:t>
      </w:r>
    </w:p>
    <w:p w14:paraId="0589F553" w14:textId="318154AD" w:rsidR="00097173" w:rsidRPr="00823356" w:rsidRDefault="00097173" w:rsidP="00884248">
      <w:pPr>
        <w:pStyle w:val="BodyText"/>
        <w:numPr>
          <w:ilvl w:val="0"/>
          <w:numId w:val="8"/>
        </w:numPr>
        <w:spacing w:line="276" w:lineRule="auto"/>
        <w:rPr>
          <w:rFonts w:ascii="Arial" w:hAnsi="Arial" w:cs="Arial"/>
        </w:rPr>
      </w:pPr>
      <w:r w:rsidRPr="00823356">
        <w:rPr>
          <w:rFonts w:ascii="Arial" w:hAnsi="Arial" w:cs="Arial"/>
          <w:b/>
        </w:rPr>
        <w:t>Tradeable stockholding certificate</w:t>
      </w:r>
      <w:r w:rsidRPr="00823356">
        <w:rPr>
          <w:rFonts w:ascii="Arial" w:hAnsi="Arial" w:cs="Arial"/>
        </w:rPr>
        <w:t xml:space="preserve"> – Under this mechanism, entities would be required to hold a number of certificates proportional to their consumption. Their own stock position would be redeemable for certificates, while shortfalls or surpluses would be managed through the buying or selling of</w:t>
      </w:r>
      <w:r w:rsidR="007D2E0B" w:rsidRPr="00823356">
        <w:rPr>
          <w:rFonts w:ascii="Arial" w:hAnsi="Arial" w:cs="Arial"/>
        </w:rPr>
        <w:t xml:space="preserve"> certificates on an open market</w:t>
      </w:r>
    </w:p>
    <w:p w14:paraId="6184310F" w14:textId="775ECA19" w:rsidR="007C52C0" w:rsidRPr="00823356" w:rsidRDefault="00097173">
      <w:pPr>
        <w:pStyle w:val="BodyText"/>
        <w:numPr>
          <w:ilvl w:val="0"/>
          <w:numId w:val="8"/>
        </w:numPr>
        <w:spacing w:line="276" w:lineRule="auto"/>
        <w:rPr>
          <w:rFonts w:ascii="Arial" w:hAnsi="Arial" w:cs="Arial"/>
        </w:rPr>
      </w:pPr>
      <w:r w:rsidRPr="00823356">
        <w:rPr>
          <w:rFonts w:ascii="Arial" w:hAnsi="Arial" w:cs="Arial"/>
          <w:b/>
        </w:rPr>
        <w:t xml:space="preserve">Central balancing book </w:t>
      </w:r>
      <w:r w:rsidR="005468A1" w:rsidRPr="00823356">
        <w:rPr>
          <w:rFonts w:ascii="Arial" w:hAnsi="Arial" w:cs="Arial"/>
        </w:rPr>
        <w:t>–</w:t>
      </w:r>
      <w:r w:rsidRPr="00823356">
        <w:rPr>
          <w:rFonts w:ascii="Arial" w:hAnsi="Arial" w:cs="Arial"/>
        </w:rPr>
        <w:t xml:space="preserve"> Under this mechanism, a central entity ensures two elements are in balance. Entities with insufficient stock at the end of a period pay 'interest' on their shortfall (i.e. cost of non-compliance), while </w:t>
      </w:r>
      <w:r w:rsidR="005468A1" w:rsidRPr="00823356">
        <w:rPr>
          <w:rFonts w:ascii="Arial" w:hAnsi="Arial" w:cs="Arial"/>
        </w:rPr>
        <w:t>stockholders</w:t>
      </w:r>
      <w:r w:rsidRPr="00823356">
        <w:rPr>
          <w:rFonts w:ascii="Arial" w:hAnsi="Arial" w:cs="Arial"/>
        </w:rPr>
        <w:t xml:space="preserve"> receive an interest return on stock above their obligation. The </w:t>
      </w:r>
      <w:r w:rsidR="005468A1" w:rsidRPr="00823356">
        <w:rPr>
          <w:rFonts w:ascii="Arial" w:hAnsi="Arial" w:cs="Arial"/>
        </w:rPr>
        <w:t>interest</w:t>
      </w:r>
      <w:r w:rsidRPr="00823356">
        <w:rPr>
          <w:rFonts w:ascii="Arial" w:hAnsi="Arial" w:cs="Arial"/>
        </w:rPr>
        <w:t xml:space="preserve"> rate is set by a central </w:t>
      </w:r>
      <w:r w:rsidR="00FC5B3E" w:rsidRPr="00823356">
        <w:rPr>
          <w:rFonts w:ascii="Arial" w:hAnsi="Arial" w:cs="Arial"/>
        </w:rPr>
        <w:t>entity</w:t>
      </w:r>
      <w:r w:rsidRPr="00823356">
        <w:rPr>
          <w:rFonts w:ascii="Arial" w:hAnsi="Arial" w:cs="Arial"/>
        </w:rPr>
        <w:t xml:space="preserve">, who may need to hold reserves of stock. The interest rate mechanism would </w:t>
      </w:r>
      <w:r w:rsidR="005468A1" w:rsidRPr="00823356">
        <w:rPr>
          <w:rFonts w:ascii="Arial" w:hAnsi="Arial" w:cs="Arial"/>
        </w:rPr>
        <w:t>control</w:t>
      </w:r>
      <w:r w:rsidRPr="00823356">
        <w:rPr>
          <w:rFonts w:ascii="Arial" w:hAnsi="Arial" w:cs="Arial"/>
        </w:rPr>
        <w:t xml:space="preserve"> price as a way to manage volume.</w:t>
      </w:r>
    </w:p>
    <w:p w14:paraId="1C5D514D" w14:textId="1A297B8B" w:rsidR="00466316" w:rsidRPr="00FD2BB2" w:rsidRDefault="00557D16" w:rsidP="00161240">
      <w:pPr>
        <w:pStyle w:val="Heading2"/>
        <w:numPr>
          <w:ilvl w:val="1"/>
          <w:numId w:val="77"/>
        </w:numPr>
      </w:pPr>
      <w:bookmarkStart w:id="317" w:name="_Toc70419847"/>
      <w:bookmarkStart w:id="318" w:name="_Toc67923599"/>
      <w:bookmarkStart w:id="319" w:name="_Toc67926836"/>
      <w:bookmarkStart w:id="320" w:name="_Toc68614695"/>
      <w:bookmarkStart w:id="321" w:name="_Toc69201399"/>
      <w:bookmarkStart w:id="322" w:name="_Toc72394928"/>
      <w:bookmarkStart w:id="323" w:name="_Toc72395671"/>
      <w:r>
        <w:lastRenderedPageBreak/>
        <w:t>Maintaining</w:t>
      </w:r>
      <w:bookmarkEnd w:id="317"/>
      <w:r>
        <w:t xml:space="preserve"> </w:t>
      </w:r>
      <w:bookmarkStart w:id="324" w:name="_Toc69939598"/>
      <w:bookmarkStart w:id="325" w:name="_Toc69941587"/>
      <w:bookmarkStart w:id="326" w:name="_Toc69939599"/>
      <w:bookmarkStart w:id="327" w:name="_Toc69941588"/>
      <w:bookmarkStart w:id="328" w:name="_Toc70609271"/>
      <w:bookmarkStart w:id="329" w:name="_Toc71107390"/>
      <w:bookmarkStart w:id="330" w:name="_Toc69939600"/>
      <w:bookmarkStart w:id="331" w:name="_Toc69941589"/>
      <w:bookmarkStart w:id="332" w:name="_Toc70609272"/>
      <w:bookmarkStart w:id="333" w:name="_Toc71107391"/>
      <w:bookmarkStart w:id="334" w:name="_Toc69939601"/>
      <w:bookmarkStart w:id="335" w:name="_Toc69941590"/>
      <w:bookmarkStart w:id="336" w:name="_Toc70609273"/>
      <w:bookmarkStart w:id="337" w:name="_Toc71107392"/>
      <w:bookmarkStart w:id="338" w:name="_Toc70419848"/>
      <w:bookmarkStart w:id="339" w:name="_Toc67923600"/>
      <w:bookmarkStart w:id="340" w:name="_Toc67926837"/>
      <w:bookmarkStart w:id="341" w:name="_Toc68614696"/>
      <w:bookmarkStart w:id="342" w:name="_Toc69201400"/>
      <w:bookmarkStart w:id="343" w:name="_Toc69941591"/>
      <w:bookmarkEnd w:id="318"/>
      <w:bookmarkEnd w:id="319"/>
      <w:bookmarkEnd w:id="320"/>
      <w:bookmarkEnd w:id="321"/>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t>domestic</w:t>
      </w:r>
      <w:r w:rsidR="00E55472">
        <w:t xml:space="preserve"> refining capability</w:t>
      </w:r>
      <w:bookmarkEnd w:id="338"/>
      <w:bookmarkEnd w:id="322"/>
      <w:bookmarkEnd w:id="323"/>
      <w:r w:rsidR="00E55472">
        <w:t xml:space="preserve"> </w:t>
      </w:r>
      <w:bookmarkEnd w:id="339"/>
      <w:bookmarkEnd w:id="340"/>
      <w:bookmarkEnd w:id="341"/>
      <w:bookmarkEnd w:id="342"/>
      <w:bookmarkEnd w:id="343"/>
    </w:p>
    <w:p w14:paraId="4304A5CE" w14:textId="0758A736" w:rsidR="00466316" w:rsidRPr="005468A1" w:rsidRDefault="000D4596" w:rsidP="00466316">
      <w:pPr>
        <w:pStyle w:val="BodyText"/>
        <w:spacing w:line="276" w:lineRule="auto"/>
        <w:rPr>
          <w:rFonts w:ascii="Arial" w:hAnsi="Arial" w:cs="Arial"/>
        </w:rPr>
      </w:pPr>
      <w:r>
        <w:rPr>
          <w:rFonts w:ascii="Arial" w:hAnsi="Arial" w:cs="Arial"/>
        </w:rPr>
        <w:t xml:space="preserve">The </w:t>
      </w:r>
      <w:r w:rsidR="00786C4E">
        <w:rPr>
          <w:rFonts w:ascii="Arial" w:hAnsi="Arial" w:cs="Arial"/>
        </w:rPr>
        <w:t xml:space="preserve">Government </w:t>
      </w:r>
      <w:r>
        <w:rPr>
          <w:rFonts w:ascii="Arial" w:hAnsi="Arial" w:cs="Arial"/>
        </w:rPr>
        <w:t xml:space="preserve">considered </w:t>
      </w:r>
      <w:r w:rsidR="00466316" w:rsidRPr="005468A1">
        <w:rPr>
          <w:rFonts w:ascii="Arial" w:hAnsi="Arial" w:cs="Arial"/>
        </w:rPr>
        <w:t xml:space="preserve">options that would help maintain our sovereign refining capability and minimise the risk of additional refinery closures. Australian oil refiners that manufacture key transport fuels would be eligible to receive this support. </w:t>
      </w:r>
    </w:p>
    <w:p w14:paraId="4616734E" w14:textId="632383C1" w:rsidR="003A2549" w:rsidRDefault="00466316" w:rsidP="00AF6B41">
      <w:pPr>
        <w:pStyle w:val="BodyText"/>
        <w:spacing w:line="276" w:lineRule="auto"/>
        <w:rPr>
          <w:rFonts w:ascii="Arial" w:hAnsi="Arial" w:cs="Arial"/>
        </w:rPr>
      </w:pPr>
      <w:r>
        <w:rPr>
          <w:rFonts w:ascii="Arial" w:hAnsi="Arial" w:cs="Arial"/>
        </w:rPr>
        <w:t>A Fuel Security Service Payment</w:t>
      </w:r>
      <w:r w:rsidDel="00AD2A58">
        <w:rPr>
          <w:rFonts w:ascii="Arial" w:hAnsi="Arial" w:cs="Arial"/>
        </w:rPr>
        <w:t xml:space="preserve"> </w:t>
      </w:r>
      <w:r w:rsidR="00FD6151">
        <w:rPr>
          <w:rFonts w:ascii="Arial" w:hAnsi="Arial" w:cs="Arial"/>
        </w:rPr>
        <w:t xml:space="preserve">(FSSP) </w:t>
      </w:r>
      <w:r w:rsidR="000D4596">
        <w:rPr>
          <w:rFonts w:ascii="Arial" w:hAnsi="Arial" w:cs="Arial"/>
        </w:rPr>
        <w:t xml:space="preserve">was considered and developed </w:t>
      </w:r>
      <w:r>
        <w:rPr>
          <w:rFonts w:ascii="Arial" w:hAnsi="Arial" w:cs="Arial"/>
        </w:rPr>
        <w:t xml:space="preserve">as the mechanism </w:t>
      </w:r>
      <w:r w:rsidRPr="005468A1">
        <w:rPr>
          <w:rFonts w:ascii="Arial" w:hAnsi="Arial" w:cs="Arial"/>
        </w:rPr>
        <w:t xml:space="preserve">to </w:t>
      </w:r>
      <w:r w:rsidR="003A2549">
        <w:rPr>
          <w:rFonts w:ascii="Arial" w:hAnsi="Arial" w:cs="Arial"/>
        </w:rPr>
        <w:t>provide</w:t>
      </w:r>
      <w:r w:rsidR="0018179D">
        <w:rPr>
          <w:rFonts w:ascii="Arial" w:hAnsi="Arial" w:cs="Arial"/>
        </w:rPr>
        <w:t xml:space="preserve"> </w:t>
      </w:r>
      <w:r w:rsidR="0018179D" w:rsidRPr="0018179D">
        <w:rPr>
          <w:rFonts w:ascii="Arial" w:hAnsi="Arial" w:cs="Arial"/>
        </w:rPr>
        <w:t xml:space="preserve">support </w:t>
      </w:r>
      <w:r w:rsidR="003A2549" w:rsidRPr="003A2549">
        <w:rPr>
          <w:rFonts w:ascii="Arial" w:hAnsi="Arial" w:cs="Arial"/>
        </w:rPr>
        <w:t>to refiners during periods of low margins</w:t>
      </w:r>
      <w:r w:rsidR="003A2549">
        <w:rPr>
          <w:rFonts w:ascii="Arial" w:hAnsi="Arial" w:cs="Arial"/>
        </w:rPr>
        <w:t xml:space="preserve">, </w:t>
      </w:r>
      <w:r w:rsidR="003A2549" w:rsidRPr="003A2549">
        <w:rPr>
          <w:rFonts w:ascii="Arial" w:hAnsi="Arial" w:cs="Arial"/>
        </w:rPr>
        <w:t>limit</w:t>
      </w:r>
      <w:r w:rsidR="003A2549">
        <w:rPr>
          <w:rFonts w:ascii="Arial" w:hAnsi="Arial" w:cs="Arial"/>
        </w:rPr>
        <w:t>ing</w:t>
      </w:r>
      <w:r w:rsidR="003A2549" w:rsidRPr="003A2549">
        <w:rPr>
          <w:rFonts w:ascii="Arial" w:hAnsi="Arial" w:cs="Arial"/>
        </w:rPr>
        <w:t xml:space="preserve"> the</w:t>
      </w:r>
      <w:r w:rsidR="003A2549">
        <w:rPr>
          <w:rFonts w:ascii="Arial" w:hAnsi="Arial" w:cs="Arial"/>
        </w:rPr>
        <w:t>ir</w:t>
      </w:r>
      <w:r w:rsidR="003A2549" w:rsidRPr="003A2549">
        <w:rPr>
          <w:rFonts w:ascii="Arial" w:hAnsi="Arial" w:cs="Arial"/>
        </w:rPr>
        <w:t xml:space="preserve"> downside risk and provi</w:t>
      </w:r>
      <w:r w:rsidR="003A2549">
        <w:rPr>
          <w:rFonts w:ascii="Arial" w:hAnsi="Arial" w:cs="Arial"/>
        </w:rPr>
        <w:t>ding</w:t>
      </w:r>
      <w:r w:rsidR="003A2549" w:rsidRPr="003A2549">
        <w:rPr>
          <w:rFonts w:ascii="Arial" w:hAnsi="Arial" w:cs="Arial"/>
        </w:rPr>
        <w:t xml:space="preserve"> the certainty of returns they need to continue operating in Australia to 2027. This payment recognises the fuel security services which sovereign on-shore refining capability provides all Australians. </w:t>
      </w:r>
    </w:p>
    <w:p w14:paraId="68155E56" w14:textId="6407D5A7" w:rsidR="00E520BE" w:rsidRDefault="00E520BE" w:rsidP="003A2549">
      <w:pPr>
        <w:pStyle w:val="BodyText"/>
        <w:spacing w:line="276" w:lineRule="auto"/>
        <w:rPr>
          <w:rFonts w:ascii="Arial" w:hAnsi="Arial" w:cs="Arial"/>
        </w:rPr>
      </w:pPr>
      <w:r>
        <w:rPr>
          <w:rFonts w:ascii="Arial" w:hAnsi="Arial" w:cs="Arial"/>
        </w:rPr>
        <w:t>Through this mechanism,</w:t>
      </w:r>
      <w:r w:rsidR="003A2549" w:rsidRPr="003A2549">
        <w:rPr>
          <w:rFonts w:ascii="Arial" w:hAnsi="Arial" w:cs="Arial"/>
        </w:rPr>
        <w:t xml:space="preserve"> Australian refiners </w:t>
      </w:r>
      <w:r>
        <w:rPr>
          <w:rFonts w:ascii="Arial" w:hAnsi="Arial" w:cs="Arial"/>
        </w:rPr>
        <w:t xml:space="preserve">would </w:t>
      </w:r>
      <w:r w:rsidR="003A2549" w:rsidRPr="003A2549">
        <w:rPr>
          <w:rFonts w:ascii="Arial" w:hAnsi="Arial" w:cs="Arial"/>
        </w:rPr>
        <w:t xml:space="preserve">be entitled to </w:t>
      </w:r>
      <w:r w:rsidR="00132298">
        <w:rPr>
          <w:rFonts w:ascii="Arial" w:hAnsi="Arial" w:cs="Arial"/>
        </w:rPr>
        <w:t xml:space="preserve">support </w:t>
      </w:r>
      <w:r w:rsidR="003A2549" w:rsidRPr="003A2549">
        <w:rPr>
          <w:rFonts w:ascii="Arial" w:hAnsi="Arial" w:cs="Arial"/>
        </w:rPr>
        <w:t xml:space="preserve">based on their domestic production of primary transport fuels (automotive petrol, automotive diesel and aviation turbine fuel). The payments </w:t>
      </w:r>
      <w:r>
        <w:rPr>
          <w:rFonts w:ascii="Arial" w:hAnsi="Arial" w:cs="Arial"/>
        </w:rPr>
        <w:t xml:space="preserve">would </w:t>
      </w:r>
      <w:r w:rsidR="003A2549" w:rsidRPr="003A2549">
        <w:rPr>
          <w:rFonts w:ascii="Arial" w:hAnsi="Arial" w:cs="Arial"/>
        </w:rPr>
        <w:t xml:space="preserve">be set as a function of refinery market conditions, ensuring that refiners are receiving payments only while their margins are low. </w:t>
      </w:r>
    </w:p>
    <w:p w14:paraId="1E3AB7F3" w14:textId="456B55A3" w:rsidR="008A5535" w:rsidRDefault="003A2549" w:rsidP="003A2549">
      <w:pPr>
        <w:pStyle w:val="BodyText"/>
        <w:spacing w:line="276" w:lineRule="auto"/>
        <w:rPr>
          <w:rFonts w:ascii="Arial" w:hAnsi="Arial" w:cs="Arial"/>
        </w:rPr>
      </w:pPr>
      <w:r w:rsidRPr="003A2549">
        <w:rPr>
          <w:rFonts w:ascii="Arial" w:hAnsi="Arial" w:cs="Arial"/>
        </w:rPr>
        <w:t xml:space="preserve">Refiners that manufacture primary transport fuels in Australia would be eligible to receive the </w:t>
      </w:r>
      <w:r w:rsidR="00FD6151">
        <w:rPr>
          <w:rFonts w:ascii="Arial" w:hAnsi="Arial" w:cs="Arial"/>
        </w:rPr>
        <w:t>FSSP</w:t>
      </w:r>
      <w:r w:rsidRPr="003A2549">
        <w:rPr>
          <w:rFonts w:ascii="Arial" w:hAnsi="Arial" w:cs="Arial"/>
        </w:rPr>
        <w:t xml:space="preserve">. </w:t>
      </w:r>
      <w:r w:rsidR="003D4C9E" w:rsidRPr="00FF5E4D">
        <w:rPr>
          <w:rFonts w:ascii="Arial" w:hAnsi="Arial" w:cs="Arial"/>
        </w:rPr>
        <w:t>The inclusion of a repayment mechanism was considered in the design, which would be triggered if c</w:t>
      </w:r>
      <w:r w:rsidRPr="00FF5E4D">
        <w:rPr>
          <w:rFonts w:ascii="Arial" w:hAnsi="Arial" w:cs="Arial"/>
        </w:rPr>
        <w:t xml:space="preserve">ompanies </w:t>
      </w:r>
      <w:r w:rsidR="003D4C9E" w:rsidRPr="00FF5E4D">
        <w:rPr>
          <w:rFonts w:ascii="Arial" w:hAnsi="Arial" w:cs="Arial"/>
        </w:rPr>
        <w:t xml:space="preserve">did </w:t>
      </w:r>
      <w:r w:rsidRPr="00FF5E4D">
        <w:rPr>
          <w:rFonts w:ascii="Arial" w:hAnsi="Arial" w:cs="Arial"/>
        </w:rPr>
        <w:t xml:space="preserve">not </w:t>
      </w:r>
      <w:r w:rsidR="00EC0B81" w:rsidRPr="00FF5E4D">
        <w:rPr>
          <w:rFonts w:ascii="Arial" w:hAnsi="Arial" w:cs="Arial"/>
        </w:rPr>
        <w:t>meet their agreed commitment</w:t>
      </w:r>
      <w:r w:rsidRPr="003A2549">
        <w:rPr>
          <w:rFonts w:ascii="Arial" w:hAnsi="Arial" w:cs="Arial"/>
        </w:rPr>
        <w:t>.</w:t>
      </w:r>
    </w:p>
    <w:p w14:paraId="7DF57230" w14:textId="206B5DA1" w:rsidR="006A763E" w:rsidRDefault="006A763E" w:rsidP="003A2549">
      <w:pPr>
        <w:pStyle w:val="BodyText"/>
        <w:spacing w:line="276" w:lineRule="auto"/>
        <w:rPr>
          <w:rFonts w:ascii="Arial" w:hAnsi="Arial" w:cs="Arial"/>
        </w:rPr>
      </w:pPr>
      <w:r>
        <w:rPr>
          <w:rFonts w:ascii="Arial" w:hAnsi="Arial" w:cs="Arial"/>
        </w:rPr>
        <w:t>Four o</w:t>
      </w:r>
      <w:r w:rsidR="000D4596">
        <w:rPr>
          <w:rFonts w:ascii="Arial" w:hAnsi="Arial" w:cs="Arial"/>
        </w:rPr>
        <w:t xml:space="preserve">ptions </w:t>
      </w:r>
      <w:r w:rsidR="00202960">
        <w:rPr>
          <w:rFonts w:ascii="Arial" w:hAnsi="Arial" w:cs="Arial"/>
        </w:rPr>
        <w:t xml:space="preserve">for the </w:t>
      </w:r>
      <w:r w:rsidR="00FD6151">
        <w:rPr>
          <w:rFonts w:ascii="Arial" w:hAnsi="Arial" w:cs="Arial"/>
        </w:rPr>
        <w:t>FSSP</w:t>
      </w:r>
      <w:r w:rsidR="00202960">
        <w:rPr>
          <w:rFonts w:ascii="Arial" w:hAnsi="Arial" w:cs="Arial"/>
        </w:rPr>
        <w:t xml:space="preserve"> </w:t>
      </w:r>
      <w:r w:rsidR="000D4596">
        <w:rPr>
          <w:rFonts w:ascii="Arial" w:hAnsi="Arial" w:cs="Arial"/>
        </w:rPr>
        <w:t>were considered:</w:t>
      </w:r>
      <w:r>
        <w:rPr>
          <w:rFonts w:ascii="Arial" w:hAnsi="Arial" w:cs="Arial"/>
        </w:rPr>
        <w:t xml:space="preserve"> </w:t>
      </w:r>
    </w:p>
    <w:p w14:paraId="6887BB49" w14:textId="16F9EABD" w:rsidR="006A763E" w:rsidRPr="006A763E" w:rsidRDefault="006A763E" w:rsidP="00B86109">
      <w:pPr>
        <w:pStyle w:val="BodyText"/>
        <w:numPr>
          <w:ilvl w:val="0"/>
          <w:numId w:val="29"/>
        </w:numPr>
        <w:spacing w:line="276" w:lineRule="auto"/>
        <w:rPr>
          <w:rFonts w:ascii="Arial" w:hAnsi="Arial" w:cs="Arial"/>
        </w:rPr>
      </w:pPr>
      <w:r w:rsidRPr="00337B84">
        <w:rPr>
          <w:rFonts w:ascii="Arial" w:hAnsi="Arial" w:cs="Arial"/>
          <w:i/>
        </w:rPr>
        <w:t>Fixed production payment</w:t>
      </w:r>
      <w:r w:rsidRPr="006A763E">
        <w:rPr>
          <w:rFonts w:ascii="Arial" w:hAnsi="Arial" w:cs="Arial"/>
        </w:rPr>
        <w:t xml:space="preserve"> where refiners benefit from a fixed </w:t>
      </w:r>
      <w:r w:rsidR="00FC5B3E">
        <w:rPr>
          <w:rFonts w:ascii="Arial" w:hAnsi="Arial" w:cs="Arial"/>
        </w:rPr>
        <w:t xml:space="preserve">cent per litre </w:t>
      </w:r>
      <w:r w:rsidRPr="006A763E">
        <w:rPr>
          <w:rFonts w:ascii="Arial" w:hAnsi="Arial" w:cs="Arial"/>
        </w:rPr>
        <w:t>based payment on their production volume of domestically produced eligible transport fuels</w:t>
      </w:r>
    </w:p>
    <w:p w14:paraId="3A28DC6D" w14:textId="4084909E" w:rsidR="006A763E" w:rsidRPr="006A763E" w:rsidRDefault="006A763E" w:rsidP="00B86109">
      <w:pPr>
        <w:pStyle w:val="BodyText"/>
        <w:numPr>
          <w:ilvl w:val="0"/>
          <w:numId w:val="29"/>
        </w:numPr>
        <w:spacing w:line="276" w:lineRule="auto"/>
        <w:rPr>
          <w:rFonts w:ascii="Arial" w:hAnsi="Arial" w:cs="Arial"/>
        </w:rPr>
      </w:pPr>
      <w:r w:rsidRPr="00337B84">
        <w:rPr>
          <w:rFonts w:ascii="Arial" w:hAnsi="Arial" w:cs="Arial"/>
          <w:i/>
        </w:rPr>
        <w:t>Availability support</w:t>
      </w:r>
      <w:r w:rsidRPr="006A763E">
        <w:rPr>
          <w:rFonts w:ascii="Arial" w:hAnsi="Arial" w:cs="Arial"/>
        </w:rPr>
        <w:t xml:space="preserve"> where refiners benefit from a payment to support a target set for availability of fue</w:t>
      </w:r>
      <w:r w:rsidR="007D2E0B">
        <w:rPr>
          <w:rFonts w:ascii="Arial" w:hAnsi="Arial" w:cs="Arial"/>
        </w:rPr>
        <w:t>l supply</w:t>
      </w:r>
    </w:p>
    <w:p w14:paraId="4C9D1392" w14:textId="136518E5" w:rsidR="006A763E" w:rsidRPr="006A763E" w:rsidRDefault="006A763E" w:rsidP="00B86109">
      <w:pPr>
        <w:pStyle w:val="BodyText"/>
        <w:numPr>
          <w:ilvl w:val="0"/>
          <w:numId w:val="29"/>
        </w:numPr>
        <w:spacing w:line="276" w:lineRule="auto"/>
        <w:rPr>
          <w:rFonts w:ascii="Arial" w:hAnsi="Arial" w:cs="Arial"/>
        </w:rPr>
      </w:pPr>
      <w:r w:rsidRPr="00337B84">
        <w:rPr>
          <w:rFonts w:ascii="Arial" w:hAnsi="Arial" w:cs="Arial"/>
          <w:i/>
        </w:rPr>
        <w:t>Margin support</w:t>
      </w:r>
      <w:r w:rsidRPr="006A763E">
        <w:rPr>
          <w:rFonts w:ascii="Arial" w:hAnsi="Arial" w:cs="Arial"/>
        </w:rPr>
        <w:t xml:space="preserve"> where refiners benefit from support to their margins set against a refinery </w:t>
      </w:r>
      <w:r w:rsidR="00225895">
        <w:rPr>
          <w:rFonts w:ascii="Arial" w:hAnsi="Arial" w:cs="Arial"/>
        </w:rPr>
        <w:t xml:space="preserve">margin </w:t>
      </w:r>
      <w:r w:rsidR="007D2E0B">
        <w:rPr>
          <w:rFonts w:ascii="Arial" w:hAnsi="Arial" w:cs="Arial"/>
        </w:rPr>
        <w:t>marker</w:t>
      </w:r>
    </w:p>
    <w:p w14:paraId="3B8BE1FB" w14:textId="6A77C611" w:rsidR="00CB676B" w:rsidRDefault="00225895" w:rsidP="00B86109">
      <w:pPr>
        <w:pStyle w:val="BodyText"/>
        <w:numPr>
          <w:ilvl w:val="0"/>
          <w:numId w:val="29"/>
        </w:numPr>
        <w:spacing w:line="276" w:lineRule="auto"/>
        <w:rPr>
          <w:rFonts w:ascii="Arial" w:hAnsi="Arial" w:cs="Arial"/>
        </w:rPr>
      </w:pPr>
      <w:r w:rsidRPr="002968DD">
        <w:rPr>
          <w:rFonts w:ascii="Arial" w:hAnsi="Arial" w:cs="Arial"/>
          <w:i/>
        </w:rPr>
        <w:t>Adjustable production payment</w:t>
      </w:r>
      <w:r>
        <w:rPr>
          <w:rFonts w:ascii="Arial" w:hAnsi="Arial" w:cs="Arial"/>
        </w:rPr>
        <w:t xml:space="preserve"> where r</w:t>
      </w:r>
      <w:r w:rsidR="006A763E" w:rsidRPr="006A763E">
        <w:rPr>
          <w:rFonts w:ascii="Arial" w:hAnsi="Arial" w:cs="Arial"/>
        </w:rPr>
        <w:t>efiners benefit through a cap and c</w:t>
      </w:r>
      <w:r>
        <w:rPr>
          <w:rFonts w:ascii="Arial" w:hAnsi="Arial" w:cs="Arial"/>
        </w:rPr>
        <w:t xml:space="preserve">ollar arrangement set against a </w:t>
      </w:r>
      <w:r w:rsidR="006A763E" w:rsidRPr="006A763E">
        <w:rPr>
          <w:rFonts w:ascii="Arial" w:hAnsi="Arial" w:cs="Arial"/>
        </w:rPr>
        <w:t>refinery margin marker and production payment on a cents per litre basis</w:t>
      </w:r>
      <w:r w:rsidR="006A763E">
        <w:rPr>
          <w:rFonts w:ascii="Arial" w:hAnsi="Arial" w:cs="Arial"/>
        </w:rPr>
        <w:t xml:space="preserve"> for</w:t>
      </w:r>
      <w:r w:rsidR="006A763E" w:rsidRPr="006A763E">
        <w:rPr>
          <w:rFonts w:ascii="Arial" w:hAnsi="Arial" w:cs="Arial"/>
        </w:rPr>
        <w:t xml:space="preserve"> eligible fuel product.</w:t>
      </w:r>
    </w:p>
    <w:p w14:paraId="5569A74F" w14:textId="7C2BEB5A" w:rsidR="00866B2F" w:rsidRPr="00786C4E" w:rsidRDefault="000D4596" w:rsidP="00E63425">
      <w:pPr>
        <w:pStyle w:val="BodyText"/>
        <w:spacing w:line="276" w:lineRule="auto"/>
        <w:rPr>
          <w:rFonts w:ascii="Arial" w:hAnsi="Arial" w:cs="Arial"/>
        </w:rPr>
      </w:pPr>
      <w:r w:rsidRPr="00786C4E">
        <w:rPr>
          <w:rFonts w:ascii="Arial" w:hAnsi="Arial" w:cs="Arial"/>
        </w:rPr>
        <w:t xml:space="preserve">Alternate mechanisms to the </w:t>
      </w:r>
      <w:r w:rsidR="00FD6151" w:rsidRPr="00786C4E">
        <w:rPr>
          <w:rFonts w:ascii="Arial" w:hAnsi="Arial" w:cs="Arial"/>
        </w:rPr>
        <w:t>FSSP</w:t>
      </w:r>
      <w:r w:rsidR="00AD2A58" w:rsidRPr="00786C4E">
        <w:rPr>
          <w:rFonts w:ascii="Arial" w:hAnsi="Arial" w:cs="Arial"/>
        </w:rPr>
        <w:t xml:space="preserve"> </w:t>
      </w:r>
      <w:r w:rsidRPr="00786C4E">
        <w:rPr>
          <w:rFonts w:ascii="Arial" w:hAnsi="Arial" w:cs="Arial"/>
        </w:rPr>
        <w:t>were also considered</w:t>
      </w:r>
      <w:r w:rsidR="005B35BD" w:rsidRPr="00786C4E">
        <w:rPr>
          <w:rFonts w:ascii="Arial" w:hAnsi="Arial" w:cs="Arial"/>
        </w:rPr>
        <w:t>:</w:t>
      </w:r>
      <w:r w:rsidRPr="00786C4E">
        <w:rPr>
          <w:rFonts w:ascii="Arial" w:hAnsi="Arial" w:cs="Arial"/>
        </w:rPr>
        <w:t xml:space="preserve"> </w:t>
      </w:r>
      <w:bookmarkStart w:id="344" w:name="_Toc65332766"/>
      <w:bookmarkStart w:id="345" w:name="_Toc65339161"/>
      <w:bookmarkStart w:id="346" w:name="_Toc65341093"/>
    </w:p>
    <w:p w14:paraId="5595A736" w14:textId="6E64F87B" w:rsidR="005B35BD" w:rsidRPr="00786C4E" w:rsidRDefault="000D2828" w:rsidP="00EA3D68">
      <w:pPr>
        <w:pStyle w:val="BodyText"/>
        <w:numPr>
          <w:ilvl w:val="0"/>
          <w:numId w:val="70"/>
        </w:numPr>
        <w:spacing w:line="276" w:lineRule="auto"/>
        <w:rPr>
          <w:rFonts w:ascii="Arial" w:hAnsi="Arial" w:cs="Arial"/>
          <w:color w:val="000000" w:themeColor="text1"/>
        </w:rPr>
      </w:pPr>
      <w:r w:rsidRPr="00EA3D68">
        <w:rPr>
          <w:rFonts w:ascii="Arial" w:hAnsi="Arial" w:cs="Arial"/>
          <w:b/>
        </w:rPr>
        <w:t xml:space="preserve">Discount to </w:t>
      </w:r>
      <w:r w:rsidR="000D4596" w:rsidRPr="00EA3D68">
        <w:rPr>
          <w:rFonts w:ascii="Arial" w:hAnsi="Arial" w:cs="Arial"/>
          <w:b/>
        </w:rPr>
        <w:t xml:space="preserve">refiners on the </w:t>
      </w:r>
      <w:r w:rsidRPr="00EA3D68">
        <w:rPr>
          <w:rFonts w:ascii="Arial" w:hAnsi="Arial" w:cs="Arial"/>
          <w:b/>
        </w:rPr>
        <w:t>existing fuel excise</w:t>
      </w:r>
      <w:bookmarkEnd w:id="344"/>
      <w:bookmarkEnd w:id="345"/>
      <w:bookmarkEnd w:id="346"/>
      <w:r w:rsidR="005B35BD" w:rsidRPr="00786C4E">
        <w:rPr>
          <w:rFonts w:ascii="Arial" w:hAnsi="Arial" w:cs="Arial"/>
        </w:rPr>
        <w:t xml:space="preserve"> - </w:t>
      </w:r>
      <w:r w:rsidR="00090FE6" w:rsidRPr="00EA3D68">
        <w:rPr>
          <w:rFonts w:ascii="Arial" w:hAnsi="Arial" w:cs="Arial"/>
        </w:rPr>
        <w:t xml:space="preserve">Instead of providing direct </w:t>
      </w:r>
      <w:r w:rsidR="00132298" w:rsidRPr="00EA3D68">
        <w:rPr>
          <w:rFonts w:ascii="Arial" w:hAnsi="Arial" w:cs="Arial"/>
        </w:rPr>
        <w:t xml:space="preserve">support </w:t>
      </w:r>
      <w:r w:rsidR="00090FE6" w:rsidRPr="00EA3D68">
        <w:rPr>
          <w:rFonts w:ascii="Arial" w:hAnsi="Arial" w:cs="Arial"/>
        </w:rPr>
        <w:t xml:space="preserve">through the </w:t>
      </w:r>
      <w:r w:rsidR="00FD6151" w:rsidRPr="00EA3D68">
        <w:rPr>
          <w:rFonts w:ascii="Arial" w:hAnsi="Arial" w:cs="Arial"/>
        </w:rPr>
        <w:t>FSSP</w:t>
      </w:r>
      <w:r w:rsidR="00090FE6" w:rsidRPr="00EA3D68">
        <w:rPr>
          <w:rFonts w:ascii="Arial" w:hAnsi="Arial" w:cs="Arial"/>
        </w:rPr>
        <w:t xml:space="preserve">, Government could provide indirect </w:t>
      </w:r>
      <w:r w:rsidR="00132298" w:rsidRPr="00EA3D68">
        <w:rPr>
          <w:rFonts w:ascii="Arial" w:hAnsi="Arial" w:cs="Arial"/>
        </w:rPr>
        <w:t xml:space="preserve">support </w:t>
      </w:r>
      <w:r w:rsidR="00090FE6" w:rsidRPr="00EA3D68">
        <w:rPr>
          <w:rFonts w:ascii="Arial" w:hAnsi="Arial" w:cs="Arial"/>
        </w:rPr>
        <w:t xml:space="preserve">to refiners through a discount to the fuel excise. This would be a differential excise that involves amending the existing fuel excise to provide a discount to domestic refineries and an increase for importers. This would provide indirect </w:t>
      </w:r>
      <w:r w:rsidR="00132298" w:rsidRPr="00EA3D68">
        <w:rPr>
          <w:rFonts w:ascii="Arial" w:hAnsi="Arial" w:cs="Arial"/>
        </w:rPr>
        <w:t xml:space="preserve">support </w:t>
      </w:r>
      <w:r w:rsidR="00090FE6" w:rsidRPr="00EA3D68">
        <w:rPr>
          <w:rFonts w:ascii="Arial" w:hAnsi="Arial" w:cs="Arial"/>
        </w:rPr>
        <w:t xml:space="preserve">to refineries – they would receive the benefit of the discounted excise but no direct payments. This would preserve existing fuel tax credits and </w:t>
      </w:r>
      <w:r w:rsidR="00710325" w:rsidRPr="00EA3D68">
        <w:rPr>
          <w:rFonts w:ascii="Arial" w:hAnsi="Arial" w:cs="Arial"/>
        </w:rPr>
        <w:t>G</w:t>
      </w:r>
      <w:r w:rsidR="00090FE6" w:rsidRPr="00EA3D68">
        <w:rPr>
          <w:rFonts w:ascii="Arial" w:hAnsi="Arial" w:cs="Arial"/>
        </w:rPr>
        <w:t>overnment revenue</w:t>
      </w:r>
      <w:r w:rsidR="00132298" w:rsidRPr="00EA3D68">
        <w:rPr>
          <w:rFonts w:ascii="Arial" w:hAnsi="Arial" w:cs="Arial"/>
        </w:rPr>
        <w:t>.</w:t>
      </w:r>
      <w:r w:rsidR="005B35BD" w:rsidRPr="00EA3D68">
        <w:rPr>
          <w:rFonts w:cs="Arial"/>
        </w:rPr>
        <w:t xml:space="preserve"> </w:t>
      </w:r>
      <w:r w:rsidRPr="00EA3D68">
        <w:rPr>
          <w:rFonts w:ascii="Arial" w:hAnsi="Arial" w:cs="Arial"/>
        </w:rPr>
        <w:t xml:space="preserve">If fuel tax credits were to apply, on-road fuel consumers </w:t>
      </w:r>
      <w:r w:rsidR="00BB1BE3" w:rsidRPr="00786C4E">
        <w:rPr>
          <w:rFonts w:ascii="Arial" w:hAnsi="Arial" w:cs="Arial"/>
        </w:rPr>
        <w:t xml:space="preserve">are expected to </w:t>
      </w:r>
      <w:r w:rsidRPr="00EA3D68">
        <w:rPr>
          <w:rFonts w:ascii="Arial" w:hAnsi="Arial" w:cs="Arial"/>
        </w:rPr>
        <w:t>pay more.</w:t>
      </w:r>
    </w:p>
    <w:p w14:paraId="5D80FF7A" w14:textId="579A38DE" w:rsidR="00CF06DF" w:rsidRDefault="00BA14E8" w:rsidP="00EA3D68">
      <w:pPr>
        <w:pStyle w:val="BodyText"/>
        <w:numPr>
          <w:ilvl w:val="0"/>
          <w:numId w:val="70"/>
        </w:numPr>
        <w:spacing w:line="276" w:lineRule="auto"/>
        <w:rPr>
          <w:rFonts w:ascii="Arial" w:hAnsi="Arial" w:cs="Arial"/>
        </w:rPr>
      </w:pPr>
      <w:bookmarkStart w:id="347" w:name="_Toc65332767"/>
      <w:bookmarkStart w:id="348" w:name="_Toc65339162"/>
      <w:bookmarkStart w:id="349" w:name="_Toc65341094"/>
      <w:r w:rsidRPr="00EA3D68">
        <w:rPr>
          <w:rFonts w:ascii="Arial" w:hAnsi="Arial" w:cs="Arial"/>
          <w:b/>
        </w:rPr>
        <w:t>Local content obligation</w:t>
      </w:r>
      <w:bookmarkStart w:id="350" w:name="_Toc65329410"/>
      <w:bookmarkEnd w:id="347"/>
      <w:bookmarkEnd w:id="348"/>
      <w:bookmarkEnd w:id="349"/>
      <w:bookmarkEnd w:id="350"/>
      <w:r w:rsidR="005B35BD" w:rsidRPr="00786C4E">
        <w:rPr>
          <w:rFonts w:ascii="Arial" w:hAnsi="Arial" w:cs="Arial"/>
        </w:rPr>
        <w:t xml:space="preserve"> - </w:t>
      </w:r>
      <w:r w:rsidR="00176AEB" w:rsidRPr="00786C4E">
        <w:rPr>
          <w:rFonts w:ascii="Arial" w:hAnsi="Arial" w:cs="Arial"/>
        </w:rPr>
        <w:t>Under this mechanism, the Government would mandate that a certain percentage of total petroleum refined product sold by wholesalers is refined domestically to guarantee local production volume</w:t>
      </w:r>
      <w:r w:rsidR="00176AEB" w:rsidRPr="00AD55C7">
        <w:rPr>
          <w:rFonts w:ascii="Arial" w:hAnsi="Arial" w:cs="Arial"/>
        </w:rPr>
        <w:t>. The Government would also confer greater price setting powers on the remaining domestic refiners.</w:t>
      </w:r>
    </w:p>
    <w:p w14:paraId="02CFE430" w14:textId="3C2A69F1" w:rsidR="005724CC" w:rsidRDefault="005B35BD" w:rsidP="00EA3D68">
      <w:pPr>
        <w:pStyle w:val="BodyText"/>
        <w:spacing w:line="276" w:lineRule="auto"/>
        <w:rPr>
          <w:rFonts w:ascii="Arial" w:hAnsi="Arial" w:cs="Arial"/>
        </w:rPr>
      </w:pPr>
      <w:r w:rsidRPr="00073184">
        <w:rPr>
          <w:rFonts w:ascii="Arial" w:hAnsi="Arial" w:cs="Arial"/>
        </w:rPr>
        <w:t xml:space="preserve">While a FSSP would provide support during periods of low margins and limit refiners’ downside risk, these companies still face the infrastructure upgrades necessary to meet the improvements to fuel quality standards. To maintain the fuel security benefits associated </w:t>
      </w:r>
      <w:r w:rsidRPr="00073184">
        <w:rPr>
          <w:rFonts w:ascii="Arial" w:hAnsi="Arial" w:cs="Arial"/>
        </w:rPr>
        <w:lastRenderedPageBreak/>
        <w:t>with domestic refineries</w:t>
      </w:r>
      <w:r w:rsidR="00C52CBF">
        <w:rPr>
          <w:rFonts w:ascii="Arial" w:hAnsi="Arial" w:cs="Arial"/>
        </w:rPr>
        <w:t xml:space="preserve"> </w:t>
      </w:r>
      <w:r w:rsidR="00C52CBF" w:rsidRPr="00073184">
        <w:rPr>
          <w:rFonts w:ascii="Arial" w:hAnsi="Arial" w:cs="Arial"/>
        </w:rPr>
        <w:t>and the delivery of cleaner fuels and the associated health benefits to Australians</w:t>
      </w:r>
      <w:r w:rsidRPr="00073184">
        <w:rPr>
          <w:rFonts w:ascii="Arial" w:hAnsi="Arial" w:cs="Arial"/>
        </w:rPr>
        <w:t xml:space="preserve">, there is </w:t>
      </w:r>
      <w:r w:rsidR="008714F1" w:rsidRPr="00EA3D68">
        <w:rPr>
          <w:rFonts w:ascii="Arial" w:hAnsi="Arial" w:cs="Arial"/>
        </w:rPr>
        <w:t>also</w:t>
      </w:r>
      <w:r w:rsidRPr="00073184">
        <w:rPr>
          <w:rFonts w:ascii="Arial" w:hAnsi="Arial" w:cs="Arial"/>
        </w:rPr>
        <w:t xml:space="preserve"> </w:t>
      </w:r>
      <w:r w:rsidR="00C52CBF">
        <w:rPr>
          <w:rFonts w:ascii="Arial" w:hAnsi="Arial" w:cs="Arial"/>
        </w:rPr>
        <w:t xml:space="preserve">a </w:t>
      </w:r>
      <w:r w:rsidRPr="00073184">
        <w:rPr>
          <w:rFonts w:ascii="Arial" w:hAnsi="Arial" w:cs="Arial"/>
        </w:rPr>
        <w:t xml:space="preserve">role for Government to </w:t>
      </w:r>
      <w:r w:rsidR="005724CC" w:rsidRPr="00073184">
        <w:rPr>
          <w:rFonts w:ascii="Arial" w:hAnsi="Arial" w:cs="Arial"/>
        </w:rPr>
        <w:t xml:space="preserve">incentivise companies to undertake </w:t>
      </w:r>
      <w:r w:rsidRPr="00073184">
        <w:rPr>
          <w:rFonts w:ascii="Arial" w:hAnsi="Arial" w:cs="Arial"/>
        </w:rPr>
        <w:t>infrastructure upgrades</w:t>
      </w:r>
      <w:r w:rsidR="005724CC" w:rsidRPr="00073184">
        <w:rPr>
          <w:rFonts w:ascii="Arial" w:hAnsi="Arial" w:cs="Arial"/>
        </w:rPr>
        <w:t xml:space="preserve"> where there is under</w:t>
      </w:r>
      <w:r w:rsidR="00596F2E" w:rsidRPr="00073184">
        <w:rPr>
          <w:rFonts w:ascii="Arial" w:hAnsi="Arial" w:cs="Arial"/>
        </w:rPr>
        <w:t>investment</w:t>
      </w:r>
      <w:r w:rsidR="00596F2E" w:rsidRPr="00EA3D68">
        <w:rPr>
          <w:rFonts w:ascii="Arial" w:hAnsi="Arial" w:cs="Arial"/>
        </w:rPr>
        <w:t xml:space="preserve"> by business</w:t>
      </w:r>
      <w:r w:rsidR="008714F1" w:rsidRPr="00EA3D68">
        <w:rPr>
          <w:rFonts w:ascii="Arial" w:hAnsi="Arial" w:cs="Arial"/>
        </w:rPr>
        <w:t>es</w:t>
      </w:r>
      <w:r w:rsidR="00596F2E" w:rsidRPr="00073184">
        <w:rPr>
          <w:rFonts w:ascii="Arial" w:hAnsi="Arial" w:cs="Arial"/>
        </w:rPr>
        <w:t>.</w:t>
      </w:r>
    </w:p>
    <w:p w14:paraId="4F1F9F22" w14:textId="6996752E" w:rsidR="005B35BD" w:rsidRPr="00734721" w:rsidRDefault="005B35BD" w:rsidP="00EA3D68">
      <w:pPr>
        <w:pStyle w:val="BodyText"/>
        <w:spacing w:line="276" w:lineRule="auto"/>
        <w:rPr>
          <w:rFonts w:cs="Arial"/>
        </w:rPr>
      </w:pPr>
      <w:r>
        <w:rPr>
          <w:rFonts w:ascii="Arial" w:hAnsi="Arial" w:cs="Arial"/>
        </w:rPr>
        <w:t xml:space="preserve">Funding to undertake infrastructure upgrades will allow refiners to supply better quality fuel and </w:t>
      </w:r>
      <w:r w:rsidRPr="00734721">
        <w:rPr>
          <w:rFonts w:ascii="Arial" w:hAnsi="Arial" w:cs="Arial"/>
        </w:rPr>
        <w:t xml:space="preserve">put </w:t>
      </w:r>
      <w:r>
        <w:rPr>
          <w:rFonts w:ascii="Arial" w:hAnsi="Arial" w:cs="Arial"/>
        </w:rPr>
        <w:t>them</w:t>
      </w:r>
      <w:r w:rsidRPr="00734721">
        <w:rPr>
          <w:rFonts w:ascii="Arial" w:hAnsi="Arial" w:cs="Arial"/>
        </w:rPr>
        <w:t xml:space="preserve"> on</w:t>
      </w:r>
      <w:r>
        <w:rPr>
          <w:rFonts w:ascii="Arial" w:hAnsi="Arial" w:cs="Arial"/>
        </w:rPr>
        <w:t xml:space="preserve"> a more equal footing with importers.</w:t>
      </w:r>
    </w:p>
    <w:p w14:paraId="4C58B1C8" w14:textId="51974F49" w:rsidR="002A7E8B" w:rsidRPr="00035FF2" w:rsidRDefault="002A7E8B" w:rsidP="00FD5703">
      <w:pPr>
        <w:pStyle w:val="BodyText"/>
        <w:spacing w:line="276" w:lineRule="auto"/>
        <w:rPr>
          <w:rFonts w:ascii="Arial" w:hAnsi="Arial" w:cs="Arial"/>
        </w:rPr>
      </w:pPr>
    </w:p>
    <w:p w14:paraId="087AC08B" w14:textId="4D24A7F1" w:rsidR="00CE2DF9" w:rsidRPr="005E33F7" w:rsidRDefault="005E33F7" w:rsidP="00161240">
      <w:pPr>
        <w:pStyle w:val="Heading1"/>
        <w:numPr>
          <w:ilvl w:val="0"/>
          <w:numId w:val="77"/>
        </w:numPr>
        <w:rPr>
          <w:rFonts w:eastAsia="Calibri"/>
        </w:rPr>
      </w:pPr>
      <w:bookmarkStart w:id="351" w:name="_Toc65228333"/>
      <w:bookmarkStart w:id="352" w:name="_Toc65247716"/>
      <w:bookmarkStart w:id="353" w:name="_Toc65250672"/>
      <w:bookmarkStart w:id="354" w:name="_Toc65253439"/>
      <w:bookmarkStart w:id="355" w:name="_Toc65329416"/>
      <w:bookmarkStart w:id="356" w:name="_Toc65332769"/>
      <w:bookmarkStart w:id="357" w:name="_Toc65339164"/>
      <w:bookmarkStart w:id="358" w:name="_Toc65341096"/>
      <w:bookmarkStart w:id="359" w:name="_Toc65402179"/>
      <w:bookmarkStart w:id="360" w:name="_Toc65405412"/>
      <w:bookmarkStart w:id="361" w:name="_Toc65499071"/>
      <w:bookmarkStart w:id="362" w:name="_Toc65499500"/>
      <w:bookmarkStart w:id="363" w:name="_Toc67923602"/>
      <w:bookmarkStart w:id="364" w:name="_Toc67926839"/>
      <w:bookmarkStart w:id="365" w:name="_Toc68614698"/>
      <w:r w:rsidRPr="005E33F7">
        <w:rPr>
          <w:rFonts w:eastAsia="Calibri"/>
        </w:rPr>
        <w:br w:type="page"/>
      </w:r>
      <w:bookmarkStart w:id="366" w:name="_Toc69201401"/>
      <w:bookmarkStart w:id="367" w:name="_Toc69941592"/>
      <w:bookmarkStart w:id="368" w:name="_Toc70419849"/>
      <w:bookmarkStart w:id="369" w:name="_Toc72394929"/>
      <w:bookmarkStart w:id="370" w:name="_Toc72395672"/>
      <w:r w:rsidR="00CE2DF9" w:rsidRPr="00161240">
        <w:lastRenderedPageBreak/>
        <w:t>What is the likely net benefit of each option?</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3AE75CD4" w14:textId="56F46DF7" w:rsidR="00FC7632" w:rsidRDefault="009E4B71" w:rsidP="009E4B71">
      <w:pPr>
        <w:pStyle w:val="BodyText"/>
        <w:spacing w:line="276" w:lineRule="auto"/>
        <w:rPr>
          <w:rFonts w:ascii="Arial" w:hAnsi="Arial" w:cs="Arial"/>
        </w:rPr>
      </w:pPr>
      <w:r w:rsidRPr="00475952">
        <w:rPr>
          <w:rFonts w:ascii="Arial" w:hAnsi="Arial" w:cs="Arial"/>
        </w:rPr>
        <w:t>The net benefits to all policy options are dependent on the severity and duration of fuel supply disruptions that may occur in the future</w:t>
      </w:r>
      <w:r w:rsidR="006F3364">
        <w:rPr>
          <w:rFonts w:ascii="Arial" w:hAnsi="Arial" w:cs="Arial"/>
        </w:rPr>
        <w:t>, as the options are effectively insurance against a highly unpredictable disruption to global fuel markets</w:t>
      </w:r>
      <w:r w:rsidR="007525ED">
        <w:rPr>
          <w:rFonts w:ascii="Arial" w:hAnsi="Arial" w:cs="Arial"/>
        </w:rPr>
        <w:t>, with</w:t>
      </w:r>
      <w:r w:rsidR="006F3364">
        <w:rPr>
          <w:rFonts w:ascii="Arial" w:hAnsi="Arial" w:cs="Arial"/>
        </w:rPr>
        <w:t xml:space="preserve"> the benefits highly scenario dependent</w:t>
      </w:r>
      <w:r w:rsidRPr="00475952">
        <w:rPr>
          <w:rFonts w:ascii="Arial" w:hAnsi="Arial" w:cs="Arial"/>
        </w:rPr>
        <w:t>.</w:t>
      </w:r>
    </w:p>
    <w:p w14:paraId="623C2545" w14:textId="44E6BF5E" w:rsidR="0027455A" w:rsidRDefault="0027455A" w:rsidP="00EA3D68">
      <w:pPr>
        <w:pStyle w:val="Heading2"/>
        <w:numPr>
          <w:ilvl w:val="1"/>
          <w:numId w:val="77"/>
        </w:numPr>
        <w:rPr>
          <w:rFonts w:cs="Arial"/>
        </w:rPr>
      </w:pPr>
      <w:bookmarkStart w:id="371" w:name="_Toc69939604"/>
      <w:bookmarkStart w:id="372" w:name="_Toc69941593"/>
      <w:bookmarkStart w:id="373" w:name="_Toc70609276"/>
      <w:bookmarkStart w:id="374" w:name="_Toc71107395"/>
      <w:bookmarkStart w:id="375" w:name="_Toc70609277"/>
      <w:bookmarkStart w:id="376" w:name="_Toc71107396"/>
      <w:bookmarkStart w:id="377" w:name="_Toc70609279"/>
      <w:bookmarkStart w:id="378" w:name="_Toc71107398"/>
      <w:bookmarkStart w:id="379" w:name="_Toc70609280"/>
      <w:bookmarkStart w:id="380" w:name="_Toc71107399"/>
      <w:bookmarkStart w:id="381" w:name="_Toc69939606"/>
      <w:bookmarkStart w:id="382" w:name="_Toc69941595"/>
      <w:bookmarkStart w:id="383" w:name="_Toc70609281"/>
      <w:bookmarkStart w:id="384" w:name="_Toc71107400"/>
      <w:bookmarkStart w:id="385" w:name="_Toc69939607"/>
      <w:bookmarkStart w:id="386" w:name="_Toc69941596"/>
      <w:bookmarkStart w:id="387" w:name="_Toc70609282"/>
      <w:bookmarkStart w:id="388" w:name="_Toc71107401"/>
      <w:bookmarkStart w:id="389" w:name="_Toc69939608"/>
      <w:bookmarkStart w:id="390" w:name="_Toc69941597"/>
      <w:bookmarkStart w:id="391" w:name="_Toc70609283"/>
      <w:bookmarkStart w:id="392" w:name="_Toc71107402"/>
      <w:bookmarkStart w:id="393" w:name="_Toc69939609"/>
      <w:bookmarkStart w:id="394" w:name="_Toc69941598"/>
      <w:bookmarkStart w:id="395" w:name="_Toc70609284"/>
      <w:bookmarkStart w:id="396" w:name="_Toc71107403"/>
      <w:bookmarkStart w:id="397" w:name="_Toc69941611"/>
      <w:bookmarkStart w:id="398" w:name="_Toc70419850"/>
      <w:bookmarkStart w:id="399" w:name="_Toc72394930"/>
      <w:bookmarkStart w:id="400" w:name="_Toc72395673"/>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cs="Arial"/>
        </w:rPr>
        <w:t>Maintain the status quo</w:t>
      </w:r>
      <w:bookmarkEnd w:id="397"/>
      <w:bookmarkEnd w:id="398"/>
      <w:bookmarkEnd w:id="399"/>
      <w:bookmarkEnd w:id="400"/>
    </w:p>
    <w:p w14:paraId="634863EB" w14:textId="6DD75000" w:rsidR="0027455A" w:rsidRDefault="0027455A" w:rsidP="0027455A">
      <w:pPr>
        <w:pStyle w:val="BodyText"/>
        <w:spacing w:line="276" w:lineRule="auto"/>
        <w:rPr>
          <w:rFonts w:ascii="Arial" w:hAnsi="Arial" w:cs="Arial"/>
        </w:rPr>
      </w:pPr>
      <w:r>
        <w:rPr>
          <w:rFonts w:ascii="Arial" w:hAnsi="Arial" w:cs="Arial"/>
        </w:rPr>
        <w:t xml:space="preserve">An absence of Government intervention is equivalent to a lack of insurance against low likelihood, high impact events in the liquid fuels sector. </w:t>
      </w:r>
    </w:p>
    <w:p w14:paraId="25813116" w14:textId="2C8BD758" w:rsidR="0027455A" w:rsidRDefault="0027455A" w:rsidP="0027455A">
      <w:pPr>
        <w:pStyle w:val="BodyText"/>
        <w:spacing w:line="276" w:lineRule="auto"/>
        <w:rPr>
          <w:rFonts w:ascii="Arial" w:hAnsi="Arial" w:cs="Arial"/>
        </w:rPr>
      </w:pPr>
      <w:r>
        <w:rPr>
          <w:rFonts w:ascii="Arial" w:hAnsi="Arial" w:cs="Arial"/>
        </w:rPr>
        <w:t>Australia has not</w:t>
      </w:r>
      <w:r w:rsidRPr="00C73396">
        <w:rPr>
          <w:rFonts w:ascii="Arial" w:hAnsi="Arial" w:cs="Arial"/>
        </w:rPr>
        <w:t xml:space="preserve"> experienced a major fuel shortage or disruption in over 40 years.</w:t>
      </w:r>
      <w:r>
        <w:rPr>
          <w:rFonts w:ascii="Arial" w:hAnsi="Arial" w:cs="Arial"/>
        </w:rPr>
        <w:t xml:space="preserve"> T</w:t>
      </w:r>
      <w:r w:rsidRPr="00652B30">
        <w:rPr>
          <w:rFonts w:ascii="Arial" w:hAnsi="Arial" w:cs="Arial"/>
        </w:rPr>
        <w:t xml:space="preserve">he market has </w:t>
      </w:r>
      <w:r>
        <w:rPr>
          <w:rFonts w:ascii="Arial" w:hAnsi="Arial" w:cs="Arial"/>
        </w:rPr>
        <w:t xml:space="preserve">historically </w:t>
      </w:r>
      <w:r w:rsidRPr="00652B30">
        <w:rPr>
          <w:rFonts w:ascii="Arial" w:hAnsi="Arial" w:cs="Arial"/>
        </w:rPr>
        <w:t xml:space="preserve">adjusted well and quickly during disruptions—including instances of geopolitical tensions—with only limited impacts felt by fuel users. </w:t>
      </w:r>
      <w:r w:rsidRPr="00C73396">
        <w:rPr>
          <w:rFonts w:ascii="Arial" w:hAnsi="Arial" w:cs="Arial"/>
        </w:rPr>
        <w:t xml:space="preserve">Australia </w:t>
      </w:r>
      <w:r>
        <w:rPr>
          <w:rFonts w:ascii="Arial" w:hAnsi="Arial" w:cs="Arial"/>
        </w:rPr>
        <w:t xml:space="preserve">imports </w:t>
      </w:r>
      <w:r w:rsidRPr="00C73396">
        <w:rPr>
          <w:rFonts w:ascii="Arial" w:hAnsi="Arial" w:cs="Arial"/>
        </w:rPr>
        <w:t xml:space="preserve">fuel from </w:t>
      </w:r>
      <w:r w:rsidR="005724CC">
        <w:rPr>
          <w:rFonts w:ascii="Arial" w:hAnsi="Arial" w:cs="Arial"/>
        </w:rPr>
        <w:t>many countries</w:t>
      </w:r>
      <w:r w:rsidRPr="00C73396">
        <w:rPr>
          <w:rFonts w:ascii="Arial" w:hAnsi="Arial" w:cs="Arial"/>
        </w:rPr>
        <w:t xml:space="preserve"> so when there is a disruption in one region we can rely on other countries more heavily to maintain a constant and affordable supply. Businesses, both fuel suppliers and large fuel users, also manage market risks through long-term contracts or maintaining their own stocks. These mechanisms have worked well and add stability to the market. This is partly why prices of fuel in Australia have remained relatively low compared to other developed countries. </w:t>
      </w:r>
    </w:p>
    <w:p w14:paraId="6AE67906" w14:textId="77777777" w:rsidR="00D46564" w:rsidRDefault="008351CF" w:rsidP="00980A0D">
      <w:pPr>
        <w:pStyle w:val="BodyText"/>
        <w:spacing w:line="276" w:lineRule="auto"/>
        <w:rPr>
          <w:rFonts w:ascii="Arial" w:hAnsi="Arial" w:cs="Arial"/>
        </w:rPr>
      </w:pPr>
      <w:r>
        <w:rPr>
          <w:rFonts w:ascii="Arial" w:hAnsi="Arial" w:cs="Arial"/>
        </w:rPr>
        <w:t>However, a</w:t>
      </w:r>
      <w:r w:rsidR="0027455A">
        <w:rPr>
          <w:rFonts w:ascii="Arial" w:hAnsi="Arial" w:cs="Arial"/>
        </w:rPr>
        <w:t xml:space="preserve">n absence of Government intervention makes the chance of further refinery closures more likely. It is unlikely that domestic refiners could last through the impacts of COVID-19 and the impending upgrades to meet improvements in fuel quality standards. As outlined in Table 1, Australia would become more and more vulnerable with each refinery closure. </w:t>
      </w:r>
    </w:p>
    <w:p w14:paraId="14D3D169" w14:textId="528A5480" w:rsidR="001A2728" w:rsidRPr="00FF5E4D" w:rsidRDefault="00980A0D" w:rsidP="00980A0D">
      <w:pPr>
        <w:pStyle w:val="BodyText"/>
        <w:spacing w:line="276" w:lineRule="auto"/>
        <w:rPr>
          <w:rFonts w:ascii="Arial" w:hAnsi="Arial" w:cs="Arial"/>
        </w:rPr>
      </w:pPr>
      <w:r w:rsidRPr="00EA3D68">
        <w:rPr>
          <w:rFonts w:ascii="Arial" w:hAnsi="Arial" w:cs="Arial"/>
        </w:rPr>
        <w:t xml:space="preserve">Losing our domestic sovereign refining capability forgoes some </w:t>
      </w:r>
      <w:r>
        <w:rPr>
          <w:rFonts w:ascii="Arial" w:hAnsi="Arial" w:cs="Arial"/>
        </w:rPr>
        <w:t>significant</w:t>
      </w:r>
      <w:r w:rsidRPr="00EA3D68">
        <w:rPr>
          <w:rFonts w:ascii="Arial" w:hAnsi="Arial" w:cs="Arial"/>
        </w:rPr>
        <w:t xml:space="preserve"> economic activities. </w:t>
      </w:r>
      <w:r w:rsidRPr="00F01A9C">
        <w:rPr>
          <w:rFonts w:ascii="Arial" w:hAnsi="Arial" w:cs="Arial"/>
        </w:rPr>
        <w:t xml:space="preserve">A report by ACIL Allen estimated that the total economic contribution </w:t>
      </w:r>
      <w:r w:rsidR="007F1948" w:rsidRPr="00770DF2">
        <w:rPr>
          <w:rFonts w:ascii="Arial" w:hAnsi="Arial" w:cs="Arial"/>
        </w:rPr>
        <w:t xml:space="preserve">in 2018-19 </w:t>
      </w:r>
      <w:r w:rsidRPr="00F01A9C">
        <w:rPr>
          <w:rFonts w:ascii="Arial" w:hAnsi="Arial" w:cs="Arial"/>
        </w:rPr>
        <w:t xml:space="preserve">from the four </w:t>
      </w:r>
      <w:r w:rsidR="007F1948">
        <w:rPr>
          <w:rFonts w:ascii="Arial" w:hAnsi="Arial" w:cs="Arial"/>
        </w:rPr>
        <w:t xml:space="preserve">domestic </w:t>
      </w:r>
      <w:r w:rsidRPr="00F01A9C">
        <w:rPr>
          <w:rFonts w:ascii="Arial" w:hAnsi="Arial" w:cs="Arial"/>
        </w:rPr>
        <w:t>refineries was $3.4 billion</w:t>
      </w:r>
      <w:r w:rsidR="00D46564">
        <w:rPr>
          <w:rFonts w:ascii="Arial" w:hAnsi="Arial" w:cs="Arial"/>
        </w:rPr>
        <w:t xml:space="preserve">, </w:t>
      </w:r>
      <w:r w:rsidR="00D46564" w:rsidRPr="00FF5E4D">
        <w:rPr>
          <w:rFonts w:ascii="Arial" w:hAnsi="Arial" w:cs="Arial"/>
        </w:rPr>
        <w:t xml:space="preserve">which equates to </w:t>
      </w:r>
      <w:r w:rsidR="009F6B4C" w:rsidRPr="00FF5E4D">
        <w:rPr>
          <w:rFonts w:ascii="Arial" w:hAnsi="Arial" w:cs="Arial"/>
        </w:rPr>
        <w:t>approximat</w:t>
      </w:r>
      <w:r w:rsidR="001756A4" w:rsidRPr="00FF5E4D">
        <w:rPr>
          <w:rFonts w:ascii="Arial" w:hAnsi="Arial" w:cs="Arial"/>
        </w:rPr>
        <w:t>el</w:t>
      </w:r>
      <w:r w:rsidR="009F6B4C" w:rsidRPr="00FF5E4D">
        <w:rPr>
          <w:rFonts w:ascii="Arial" w:hAnsi="Arial" w:cs="Arial"/>
        </w:rPr>
        <w:t>y</w:t>
      </w:r>
      <w:r w:rsidR="00D46564" w:rsidRPr="00FF5E4D">
        <w:rPr>
          <w:rFonts w:ascii="Arial" w:hAnsi="Arial" w:cs="Arial"/>
        </w:rPr>
        <w:t xml:space="preserve"> 0.2 per cent of GDP. </w:t>
      </w:r>
    </w:p>
    <w:p w14:paraId="3F04C267" w14:textId="1C9C644F" w:rsidR="00FE4A02" w:rsidRDefault="00FE4A02" w:rsidP="00980A0D">
      <w:pPr>
        <w:pStyle w:val="BodyText"/>
        <w:spacing w:line="276" w:lineRule="auto"/>
        <w:rPr>
          <w:rFonts w:ascii="Arial" w:hAnsi="Arial" w:cs="Arial"/>
        </w:rPr>
      </w:pPr>
      <w:r w:rsidRPr="00FF5E4D">
        <w:rPr>
          <w:rFonts w:ascii="Arial" w:hAnsi="Arial" w:cs="Arial"/>
        </w:rPr>
        <w:t>Australia is now on the verge of a future where two domestic refineries remain. ACIL Allen’s estimates from are for 2018-19, when two of the four refiners reported their facilities were profitable. As detailed earlier, as a consequence of recent financial pressure arising from COVID-19, Australia’s remaining refiners both reported losses in 2020.</w:t>
      </w:r>
    </w:p>
    <w:p w14:paraId="2DACD6C7" w14:textId="7EF1844B" w:rsidR="00980A0D" w:rsidRPr="00786C4E" w:rsidRDefault="00980A0D" w:rsidP="00980A0D">
      <w:pPr>
        <w:pStyle w:val="BodyText"/>
        <w:spacing w:line="276" w:lineRule="auto"/>
        <w:rPr>
          <w:rFonts w:ascii="Arial" w:hAnsi="Arial" w:cs="Arial"/>
        </w:rPr>
      </w:pPr>
      <w:r w:rsidRPr="00C03C70">
        <w:rPr>
          <w:rFonts w:ascii="Arial" w:hAnsi="Arial" w:cs="Arial"/>
        </w:rPr>
        <w:t xml:space="preserve">The closure of Australia’s remaining </w:t>
      </w:r>
      <w:r w:rsidR="0022230E">
        <w:rPr>
          <w:rFonts w:ascii="Arial" w:hAnsi="Arial" w:cs="Arial"/>
        </w:rPr>
        <w:t xml:space="preserve">two </w:t>
      </w:r>
      <w:r w:rsidRPr="00C03C70">
        <w:rPr>
          <w:rFonts w:ascii="Arial" w:hAnsi="Arial" w:cs="Arial"/>
        </w:rPr>
        <w:t xml:space="preserve">refiners would </w:t>
      </w:r>
      <w:r w:rsidRPr="00786C4E">
        <w:rPr>
          <w:rFonts w:ascii="Arial" w:hAnsi="Arial" w:cs="Arial"/>
        </w:rPr>
        <w:t>also have an adverse effect on adjacent industries. For example, in 2018-19, the LyondellBasell polypropylene plant, which is reliant on Viva’s Geelong refinery, employed 2,055 Australians directly and indirectly. Without domestic refineries, these industries would be reliant on imported feedstock, which would adversely impact their commercial viability, and would risk Australian jobs.</w:t>
      </w:r>
    </w:p>
    <w:p w14:paraId="3EC1B5D2" w14:textId="6E544BD5" w:rsidR="0027455A" w:rsidRDefault="008351CF" w:rsidP="00EA3D68">
      <w:pPr>
        <w:pStyle w:val="BodyText"/>
        <w:spacing w:line="276" w:lineRule="auto"/>
        <w:rPr>
          <w:rFonts w:ascii="Arial" w:hAnsi="Arial" w:cs="Arial"/>
        </w:rPr>
      </w:pPr>
      <w:r w:rsidRPr="00EA3D68">
        <w:rPr>
          <w:rFonts w:ascii="Arial" w:hAnsi="Arial" w:cs="Arial"/>
        </w:rPr>
        <w:t>A lack of onshore refining facilities would also place Australia at greater risk in the event of supply shortfalls. For example, further analysis showed that in the event of a total stoppage of supply, Australia’s GDP is estimated to fall over a six-month period by 31.8 per cent, which is equivalent to a reduction of around $225 billion.</w:t>
      </w:r>
      <w:r w:rsidR="00980A0D" w:rsidRPr="00EA3D68">
        <w:rPr>
          <w:rFonts w:ascii="Arial" w:hAnsi="Arial" w:cs="Arial"/>
        </w:rPr>
        <w:t xml:space="preserve"> In situations that do not involve a total stoppage of supply, while we have fared well over the past 40 years, Australia would find itself in a more vulnerable position. </w:t>
      </w:r>
    </w:p>
    <w:p w14:paraId="33CB8E3A" w14:textId="73ADB5E3" w:rsidR="003D4C9E" w:rsidRPr="00EA3D68" w:rsidRDefault="003D4C9E" w:rsidP="00EA3D68">
      <w:pPr>
        <w:pStyle w:val="BodyText"/>
        <w:spacing w:line="276" w:lineRule="auto"/>
        <w:rPr>
          <w:rFonts w:ascii="Arial" w:hAnsi="Arial" w:cs="Arial"/>
        </w:rPr>
      </w:pPr>
      <w:r w:rsidRPr="00FF5E4D">
        <w:rPr>
          <w:rFonts w:ascii="Arial" w:hAnsi="Arial" w:cs="Arial"/>
        </w:rPr>
        <w:t xml:space="preserve">The presence of </w:t>
      </w:r>
      <w:r w:rsidR="002C3EA4" w:rsidRPr="00FF5E4D">
        <w:rPr>
          <w:rFonts w:ascii="Arial" w:hAnsi="Arial" w:cs="Arial"/>
        </w:rPr>
        <w:t>domestic</w:t>
      </w:r>
      <w:r w:rsidRPr="00FF5E4D">
        <w:rPr>
          <w:rFonts w:ascii="Arial" w:hAnsi="Arial" w:cs="Arial"/>
        </w:rPr>
        <w:t xml:space="preserve"> refineries </w:t>
      </w:r>
      <w:r w:rsidR="00A003AB" w:rsidRPr="00FF5E4D">
        <w:rPr>
          <w:rFonts w:ascii="Arial" w:hAnsi="Arial" w:cs="Arial"/>
        </w:rPr>
        <w:t>provides</w:t>
      </w:r>
      <w:r w:rsidRPr="00FF5E4D">
        <w:rPr>
          <w:rFonts w:ascii="Arial" w:hAnsi="Arial" w:cs="Arial"/>
        </w:rPr>
        <w:t xml:space="preserve"> competition in the </w:t>
      </w:r>
      <w:r w:rsidR="00A003AB" w:rsidRPr="00FF5E4D">
        <w:rPr>
          <w:rFonts w:ascii="Arial" w:hAnsi="Arial" w:cs="Arial"/>
        </w:rPr>
        <w:t xml:space="preserve">liquid fuel supply </w:t>
      </w:r>
      <w:r w:rsidRPr="00FF5E4D">
        <w:rPr>
          <w:rFonts w:ascii="Arial" w:hAnsi="Arial" w:cs="Arial"/>
        </w:rPr>
        <w:t xml:space="preserve">market, and further closures would risk price increases for consumers. </w:t>
      </w:r>
    </w:p>
    <w:p w14:paraId="61542C81" w14:textId="1832607F" w:rsidR="00475952" w:rsidRPr="00161240" w:rsidRDefault="00090FE6" w:rsidP="00161240">
      <w:pPr>
        <w:pStyle w:val="Heading2"/>
        <w:numPr>
          <w:ilvl w:val="1"/>
          <w:numId w:val="77"/>
        </w:numPr>
        <w:rPr>
          <w:rFonts w:cs="Arial"/>
        </w:rPr>
      </w:pPr>
      <w:bookmarkStart w:id="401" w:name="_Toc69939622"/>
      <w:bookmarkStart w:id="402" w:name="_Toc69941612"/>
      <w:bookmarkStart w:id="403" w:name="_Toc70609298"/>
      <w:bookmarkStart w:id="404" w:name="_Toc71107417"/>
      <w:bookmarkStart w:id="405" w:name="_Toc69939623"/>
      <w:bookmarkStart w:id="406" w:name="_Toc69941613"/>
      <w:bookmarkStart w:id="407" w:name="_Toc70609299"/>
      <w:bookmarkStart w:id="408" w:name="_Toc71107418"/>
      <w:bookmarkStart w:id="409" w:name="_Toc69939624"/>
      <w:bookmarkStart w:id="410" w:name="_Toc69941614"/>
      <w:bookmarkStart w:id="411" w:name="_Toc70609300"/>
      <w:bookmarkStart w:id="412" w:name="_Toc71107419"/>
      <w:bookmarkStart w:id="413" w:name="_Toc69939625"/>
      <w:bookmarkStart w:id="414" w:name="_Toc69941615"/>
      <w:bookmarkStart w:id="415" w:name="_Toc70609301"/>
      <w:bookmarkStart w:id="416" w:name="_Toc71107420"/>
      <w:bookmarkStart w:id="417" w:name="_Toc69939626"/>
      <w:bookmarkStart w:id="418" w:name="_Toc69941616"/>
      <w:bookmarkStart w:id="419" w:name="_Toc70609302"/>
      <w:bookmarkStart w:id="420" w:name="_Toc71107421"/>
      <w:bookmarkStart w:id="421" w:name="_Toc69939627"/>
      <w:bookmarkStart w:id="422" w:name="_Toc69941617"/>
      <w:bookmarkStart w:id="423" w:name="_Toc70609303"/>
      <w:bookmarkStart w:id="424" w:name="_Toc71107422"/>
      <w:bookmarkStart w:id="425" w:name="_Toc69939628"/>
      <w:bookmarkStart w:id="426" w:name="_Toc69941618"/>
      <w:bookmarkStart w:id="427" w:name="_Toc70609304"/>
      <w:bookmarkStart w:id="428" w:name="_Toc71107423"/>
      <w:bookmarkStart w:id="429" w:name="_Toc69939629"/>
      <w:bookmarkStart w:id="430" w:name="_Toc69941619"/>
      <w:bookmarkStart w:id="431" w:name="_Toc70609305"/>
      <w:bookmarkStart w:id="432" w:name="_Toc71107424"/>
      <w:bookmarkStart w:id="433" w:name="_Toc69939630"/>
      <w:bookmarkStart w:id="434" w:name="_Toc69941620"/>
      <w:bookmarkStart w:id="435" w:name="_Toc70609306"/>
      <w:bookmarkStart w:id="436" w:name="_Toc71107425"/>
      <w:bookmarkStart w:id="437" w:name="_Toc69939631"/>
      <w:bookmarkStart w:id="438" w:name="_Toc69941621"/>
      <w:bookmarkStart w:id="439" w:name="_Toc70609307"/>
      <w:bookmarkStart w:id="440" w:name="_Toc71107426"/>
      <w:bookmarkStart w:id="441" w:name="_Toc69939632"/>
      <w:bookmarkStart w:id="442" w:name="_Toc69941622"/>
      <w:bookmarkStart w:id="443" w:name="_Toc70609308"/>
      <w:bookmarkStart w:id="444" w:name="_Toc71107427"/>
      <w:bookmarkStart w:id="445" w:name="_Toc69939633"/>
      <w:bookmarkStart w:id="446" w:name="_Toc69941623"/>
      <w:bookmarkStart w:id="447" w:name="_Toc70609309"/>
      <w:bookmarkStart w:id="448" w:name="_Toc71107428"/>
      <w:bookmarkStart w:id="449" w:name="_Toc69939634"/>
      <w:bookmarkStart w:id="450" w:name="_Toc69941624"/>
      <w:bookmarkStart w:id="451" w:name="_Toc70609310"/>
      <w:bookmarkStart w:id="452" w:name="_Toc71107429"/>
      <w:bookmarkStart w:id="453" w:name="_Toc65227139"/>
      <w:bookmarkStart w:id="454" w:name="_Toc65227218"/>
      <w:bookmarkStart w:id="455" w:name="_Toc65227281"/>
      <w:bookmarkStart w:id="456" w:name="_Toc65227333"/>
      <w:bookmarkStart w:id="457" w:name="_Toc65227388"/>
      <w:bookmarkStart w:id="458" w:name="_Toc65227536"/>
      <w:bookmarkStart w:id="459" w:name="_Toc65227587"/>
      <w:bookmarkStart w:id="460" w:name="_Toc65227638"/>
      <w:bookmarkStart w:id="461" w:name="_Toc65227686"/>
      <w:bookmarkStart w:id="462" w:name="_Toc65227737"/>
      <w:bookmarkStart w:id="463" w:name="_Toc65227788"/>
      <w:bookmarkStart w:id="464" w:name="_Toc65227836"/>
      <w:bookmarkStart w:id="465" w:name="_Toc65329419"/>
      <w:bookmarkStart w:id="466" w:name="_Toc65332772"/>
      <w:bookmarkStart w:id="467" w:name="_Toc65339167"/>
      <w:bookmarkStart w:id="468" w:name="_Toc65341099"/>
      <w:bookmarkStart w:id="469" w:name="_Toc65402182"/>
      <w:bookmarkStart w:id="470" w:name="_Toc65405415"/>
      <w:bookmarkStart w:id="471" w:name="_Toc65499074"/>
      <w:bookmarkStart w:id="472" w:name="_Toc65499503"/>
      <w:bookmarkStart w:id="473" w:name="_Toc67923605"/>
      <w:bookmarkStart w:id="474" w:name="_Toc67926842"/>
      <w:bookmarkStart w:id="475" w:name="_Toc68614701"/>
      <w:bookmarkStart w:id="476" w:name="_Toc69201404"/>
      <w:bookmarkStart w:id="477" w:name="_Toc69941625"/>
      <w:bookmarkStart w:id="478" w:name="_Toc70419851"/>
      <w:bookmarkStart w:id="479" w:name="_Toc72394931"/>
      <w:bookmarkStart w:id="480" w:name="_Toc72395674"/>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161240">
        <w:rPr>
          <w:rFonts w:cs="Arial"/>
        </w:rPr>
        <w:lastRenderedPageBreak/>
        <w:t>Minimum stockholding obligation and the Fuel Security Service Payment</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6F0D552B" w14:textId="65C50C56" w:rsidR="00067F71" w:rsidRPr="009A0619" w:rsidRDefault="00700460" w:rsidP="00EA3D68">
      <w:pPr>
        <w:pStyle w:val="BodyText"/>
        <w:spacing w:line="276" w:lineRule="auto"/>
        <w:rPr>
          <w:rFonts w:ascii="Arial" w:hAnsi="Arial"/>
        </w:rPr>
        <w:sectPr w:rsidR="00067F71" w:rsidRPr="009A0619" w:rsidSect="009A5729">
          <w:pgSz w:w="11906" w:h="16838"/>
          <w:pgMar w:top="1440" w:right="1440" w:bottom="1440" w:left="1440" w:header="708" w:footer="708" w:gutter="0"/>
          <w:cols w:space="708"/>
          <w:docGrid w:linePitch="360"/>
        </w:sectPr>
      </w:pPr>
      <w:r w:rsidRPr="00E21B0F">
        <w:rPr>
          <w:rStyle w:val="IntenseEmphasis"/>
          <w:rFonts w:ascii="Arial" w:hAnsi="Arial" w:cs="Arial"/>
          <w:b w:val="0"/>
          <w:bCs w:val="0"/>
          <w:i w:val="0"/>
          <w:iCs w:val="0"/>
          <w:color w:val="auto"/>
        </w:rPr>
        <w:t>A</w:t>
      </w:r>
      <w:r w:rsidR="00EB275F" w:rsidRPr="00E21B0F">
        <w:rPr>
          <w:rFonts w:ascii="Arial" w:hAnsi="Arial" w:cs="Arial"/>
        </w:rPr>
        <w:t xml:space="preserve">n indicative list of costs and benefits </w:t>
      </w:r>
      <w:r w:rsidR="00713048">
        <w:rPr>
          <w:rFonts w:ascii="Arial" w:hAnsi="Arial" w:cs="Arial"/>
        </w:rPr>
        <w:t xml:space="preserve">associated with the different policy options considered </w:t>
      </w:r>
      <w:r w:rsidR="00090FE6">
        <w:rPr>
          <w:rFonts w:ascii="Arial" w:hAnsi="Arial" w:cs="Arial"/>
        </w:rPr>
        <w:t xml:space="preserve">under these two mechanisms </w:t>
      </w:r>
      <w:r w:rsidR="00EB275F" w:rsidRPr="00E21B0F">
        <w:rPr>
          <w:rFonts w:ascii="Arial" w:hAnsi="Arial" w:cs="Arial"/>
        </w:rPr>
        <w:t xml:space="preserve">can be found in Table </w:t>
      </w:r>
      <w:r w:rsidR="00FC6869">
        <w:rPr>
          <w:rFonts w:ascii="Arial" w:hAnsi="Arial" w:cs="Arial"/>
        </w:rPr>
        <w:t>2</w:t>
      </w:r>
      <w:r w:rsidR="00EB275F" w:rsidRPr="00E21B0F">
        <w:rPr>
          <w:rFonts w:ascii="Arial" w:hAnsi="Arial" w:cs="Arial"/>
        </w:rPr>
        <w:t>.</w:t>
      </w:r>
      <w:r w:rsidR="00A303C7">
        <w:rPr>
          <w:rFonts w:ascii="Arial" w:hAnsi="Arial" w:cs="Arial"/>
        </w:rPr>
        <w:t xml:space="preserve"> Many policy parameters were considered qualitatively before quantitative analysis was undertaken on viable options.</w:t>
      </w:r>
      <w:r w:rsidR="005724CC" w:rsidDel="005724CC">
        <w:rPr>
          <w:rFonts w:ascii="Arial" w:hAnsi="Arial" w:cs="Arial"/>
        </w:rPr>
        <w:t xml:space="preserve"> </w:t>
      </w:r>
    </w:p>
    <w:p w14:paraId="584D414B" w14:textId="1CA519CF" w:rsidR="00660552" w:rsidRPr="0061480B" w:rsidRDefault="00055A0E" w:rsidP="002F1665">
      <w:pPr>
        <w:spacing w:before="60"/>
        <w:ind w:right="379"/>
        <w:rPr>
          <w:rFonts w:cs="Arial"/>
          <w:b/>
          <w:i/>
          <w:sz w:val="18"/>
          <w:szCs w:val="18"/>
        </w:rPr>
      </w:pPr>
      <w:r w:rsidRPr="0061480B">
        <w:rPr>
          <w:rFonts w:cs="Arial"/>
          <w:b/>
          <w:i/>
          <w:sz w:val="18"/>
          <w:szCs w:val="18"/>
        </w:rPr>
        <w:lastRenderedPageBreak/>
        <w:t xml:space="preserve">Table </w:t>
      </w:r>
      <w:r w:rsidR="00FC6869">
        <w:rPr>
          <w:rFonts w:cs="Arial"/>
          <w:b/>
          <w:i/>
          <w:sz w:val="18"/>
          <w:szCs w:val="18"/>
        </w:rPr>
        <w:t>2</w:t>
      </w:r>
      <w:r w:rsidR="00FC7632" w:rsidRPr="0061480B">
        <w:rPr>
          <w:rFonts w:cs="Arial"/>
          <w:b/>
          <w:i/>
          <w:sz w:val="18"/>
          <w:szCs w:val="18"/>
        </w:rPr>
        <w:t xml:space="preserve"> - Indicative list of costs and benefits associated with the different policy options</w:t>
      </w:r>
    </w:p>
    <w:tbl>
      <w:tblPr>
        <w:tblStyle w:val="TableGrid"/>
        <w:tblW w:w="157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Description w:val="A table outlining the indicative list of costs and benefits associated with the different policy options for the Minimum Stockholding Obligation and the Fuel Security Service Payment. The table is split into four columns: Mechanism, Cost, Impact, and Benefit. "/>
      </w:tblPr>
      <w:tblGrid>
        <w:gridCol w:w="2704"/>
        <w:gridCol w:w="3612"/>
        <w:gridCol w:w="6029"/>
        <w:gridCol w:w="3390"/>
      </w:tblGrid>
      <w:tr w:rsidR="00A303C7" w:rsidRPr="004D47B9" w14:paraId="2F1D1616" w14:textId="77777777" w:rsidTr="004B25E6">
        <w:trPr>
          <w:cnfStyle w:val="100000000000" w:firstRow="1" w:lastRow="0" w:firstColumn="0" w:lastColumn="0" w:oddVBand="0" w:evenVBand="0" w:oddHBand="0" w:evenHBand="0" w:firstRowFirstColumn="0" w:firstRowLastColumn="0" w:lastRowFirstColumn="0" w:lastRowLastColumn="0"/>
          <w:tblHeader/>
        </w:trPr>
        <w:tc>
          <w:tcPr>
            <w:tcW w:w="2704" w:type="dxa"/>
            <w:shd w:val="clear" w:color="auto" w:fill="005677"/>
          </w:tcPr>
          <w:p w14:paraId="5774E6CF" w14:textId="77777777" w:rsidR="00A46B58" w:rsidRPr="008850E5" w:rsidRDefault="00A46B58" w:rsidP="003D02DA">
            <w:pPr>
              <w:spacing w:before="60" w:after="60"/>
              <w:rPr>
                <w:rFonts w:cs="Arial"/>
                <w:b/>
                <w:color w:val="FFFFFF" w:themeColor="background1"/>
              </w:rPr>
            </w:pPr>
            <w:r w:rsidRPr="008850E5">
              <w:rPr>
                <w:rFonts w:cs="Arial"/>
                <w:b/>
                <w:color w:val="FFFFFF" w:themeColor="background1"/>
              </w:rPr>
              <w:t>Mechanism</w:t>
            </w:r>
          </w:p>
        </w:tc>
        <w:tc>
          <w:tcPr>
            <w:tcW w:w="3612" w:type="dxa"/>
            <w:shd w:val="clear" w:color="auto" w:fill="005677"/>
          </w:tcPr>
          <w:p w14:paraId="3AC764A6" w14:textId="068AFF74" w:rsidR="00A46B58" w:rsidRPr="008850E5" w:rsidRDefault="00A46B58" w:rsidP="003D02DA">
            <w:pPr>
              <w:spacing w:before="60" w:after="60"/>
              <w:rPr>
                <w:rFonts w:cs="Arial"/>
                <w:b/>
                <w:color w:val="FFFFFF" w:themeColor="background1"/>
              </w:rPr>
            </w:pPr>
            <w:r w:rsidRPr="008850E5">
              <w:rPr>
                <w:rFonts w:cs="Arial"/>
                <w:b/>
                <w:color w:val="FFFFFF" w:themeColor="background1"/>
              </w:rPr>
              <w:t>Cost</w:t>
            </w:r>
          </w:p>
        </w:tc>
        <w:tc>
          <w:tcPr>
            <w:tcW w:w="6029" w:type="dxa"/>
            <w:shd w:val="clear" w:color="auto" w:fill="005677"/>
          </w:tcPr>
          <w:p w14:paraId="0E6CF8CB" w14:textId="77777777" w:rsidR="00A46B58" w:rsidRPr="008850E5" w:rsidRDefault="00A46B58" w:rsidP="003D02DA">
            <w:pPr>
              <w:spacing w:before="60" w:after="60"/>
              <w:rPr>
                <w:rFonts w:cs="Arial"/>
                <w:b/>
                <w:color w:val="FFFFFF" w:themeColor="background1"/>
              </w:rPr>
            </w:pPr>
            <w:r w:rsidRPr="008850E5">
              <w:rPr>
                <w:rFonts w:cs="Arial"/>
                <w:b/>
                <w:color w:val="FFFFFF" w:themeColor="background1"/>
              </w:rPr>
              <w:t>Impact</w:t>
            </w:r>
          </w:p>
        </w:tc>
        <w:tc>
          <w:tcPr>
            <w:tcW w:w="3390" w:type="dxa"/>
            <w:shd w:val="clear" w:color="auto" w:fill="005677"/>
          </w:tcPr>
          <w:p w14:paraId="059137FA" w14:textId="77777777" w:rsidR="00A46B58" w:rsidRPr="008850E5" w:rsidRDefault="00A46B58" w:rsidP="003D02DA">
            <w:pPr>
              <w:spacing w:before="60" w:after="60"/>
              <w:rPr>
                <w:rFonts w:cs="Arial"/>
                <w:b/>
                <w:color w:val="FFFFFF" w:themeColor="background1"/>
              </w:rPr>
            </w:pPr>
            <w:r w:rsidRPr="008850E5">
              <w:rPr>
                <w:rFonts w:cs="Arial"/>
                <w:b/>
                <w:color w:val="FFFFFF" w:themeColor="background1"/>
              </w:rPr>
              <w:t>Benefit</w:t>
            </w:r>
          </w:p>
        </w:tc>
      </w:tr>
      <w:tr w:rsidR="00CA7241" w:rsidRPr="004D47B9" w14:paraId="7F8F3F60" w14:textId="77777777" w:rsidTr="004B25E6">
        <w:tc>
          <w:tcPr>
            <w:tcW w:w="15735" w:type="dxa"/>
            <w:gridSpan w:val="4"/>
            <w:shd w:val="clear" w:color="auto" w:fill="56B4E9"/>
          </w:tcPr>
          <w:p w14:paraId="2F197AF8" w14:textId="5119DA03" w:rsidR="00CA7241" w:rsidRPr="004B25E6" w:rsidRDefault="00FC7632">
            <w:pPr>
              <w:spacing w:before="60" w:after="60"/>
              <w:rPr>
                <w:rFonts w:cs="Arial"/>
                <w:b/>
                <w:color w:val="56B4E9"/>
              </w:rPr>
            </w:pPr>
            <w:r>
              <w:rPr>
                <w:rFonts w:cs="Arial"/>
                <w:b/>
              </w:rPr>
              <w:t>Minimum Stockholding Obligation</w:t>
            </w:r>
          </w:p>
        </w:tc>
      </w:tr>
      <w:tr w:rsidR="005000D5" w:rsidRPr="004D47B9" w14:paraId="4DCDD28B" w14:textId="77777777" w:rsidTr="0061480B">
        <w:tc>
          <w:tcPr>
            <w:tcW w:w="2704" w:type="dxa"/>
          </w:tcPr>
          <w:p w14:paraId="7414DCAF" w14:textId="22D3F1B1" w:rsidR="005000D5" w:rsidRPr="00823356" w:rsidRDefault="005000D5" w:rsidP="007D1616">
            <w:pPr>
              <w:spacing w:before="60" w:after="60"/>
              <w:rPr>
                <w:rFonts w:cs="Arial"/>
                <w:b/>
              </w:rPr>
            </w:pPr>
            <w:r w:rsidRPr="00823356">
              <w:rPr>
                <w:rFonts w:cs="Arial"/>
                <w:b/>
              </w:rPr>
              <w:t>MSO Metric Options</w:t>
            </w:r>
            <w:r w:rsidR="002C5530">
              <w:rPr>
                <w:rFonts w:cs="Arial"/>
                <w:b/>
              </w:rPr>
              <w:t>:</w:t>
            </w:r>
          </w:p>
          <w:p w14:paraId="1B6E4426" w14:textId="77777777" w:rsidR="005000D5" w:rsidRPr="00580CEF" w:rsidRDefault="005000D5" w:rsidP="00B86109">
            <w:pPr>
              <w:pStyle w:val="ListParagraph"/>
              <w:numPr>
                <w:ilvl w:val="0"/>
                <w:numId w:val="32"/>
              </w:numPr>
              <w:spacing w:before="60" w:after="60"/>
              <w:ind w:left="454"/>
              <w:rPr>
                <w:rFonts w:ascii="Arial" w:hAnsi="Arial" w:cs="Arial"/>
              </w:rPr>
            </w:pPr>
            <w:r w:rsidRPr="00580CEF">
              <w:rPr>
                <w:rFonts w:ascii="Arial" w:hAnsi="Arial" w:cs="Arial"/>
              </w:rPr>
              <w:t>Net import days</w:t>
            </w:r>
          </w:p>
          <w:p w14:paraId="1354C81D" w14:textId="4962299D" w:rsidR="00570FA6" w:rsidRPr="00580CEF" w:rsidRDefault="00570FA6" w:rsidP="001A283B">
            <w:pPr>
              <w:pStyle w:val="ListParagraph"/>
              <w:spacing w:before="60" w:after="60"/>
              <w:ind w:left="454" w:firstLine="0"/>
              <w:rPr>
                <w:rFonts w:ascii="Arial" w:hAnsi="Arial" w:cs="Arial"/>
              </w:rPr>
            </w:pPr>
          </w:p>
          <w:p w14:paraId="1DE3DB56" w14:textId="77777777" w:rsidR="00570FA6" w:rsidRPr="00580CEF" w:rsidRDefault="00570FA6" w:rsidP="001A283B">
            <w:pPr>
              <w:pStyle w:val="ListParagraph"/>
              <w:spacing w:before="60" w:after="60"/>
              <w:ind w:left="454" w:firstLine="0"/>
              <w:rPr>
                <w:rFonts w:ascii="Arial" w:hAnsi="Arial" w:cs="Arial"/>
              </w:rPr>
            </w:pPr>
          </w:p>
          <w:p w14:paraId="5B99B929" w14:textId="611A294A" w:rsidR="005000D5" w:rsidRPr="00580CEF" w:rsidRDefault="005000D5" w:rsidP="00B86109">
            <w:pPr>
              <w:pStyle w:val="ListParagraph"/>
              <w:numPr>
                <w:ilvl w:val="0"/>
                <w:numId w:val="32"/>
              </w:numPr>
              <w:spacing w:before="60" w:after="60"/>
              <w:ind w:left="454"/>
              <w:rPr>
                <w:rFonts w:ascii="Arial" w:hAnsi="Arial" w:cs="Arial"/>
              </w:rPr>
            </w:pPr>
            <w:r w:rsidRPr="00580CEF">
              <w:rPr>
                <w:rFonts w:ascii="Arial" w:hAnsi="Arial" w:cs="Arial"/>
              </w:rPr>
              <w:t>Consumption cover days</w:t>
            </w:r>
            <w:r w:rsidR="008C6B94" w:rsidRPr="00580CEF">
              <w:rPr>
                <w:rFonts w:ascii="Arial" w:hAnsi="Arial" w:cs="Arial"/>
              </w:rPr>
              <w:t xml:space="preserve"> (CCD’s)</w:t>
            </w:r>
          </w:p>
          <w:p w14:paraId="4DDD3F3F" w14:textId="06ACCFD5" w:rsidR="00570FA6" w:rsidRPr="00580CEF" w:rsidRDefault="00570FA6" w:rsidP="001A283B">
            <w:pPr>
              <w:pStyle w:val="ListParagraph"/>
              <w:spacing w:before="60" w:after="60"/>
              <w:ind w:left="454" w:firstLine="0"/>
              <w:rPr>
                <w:rFonts w:ascii="Arial" w:hAnsi="Arial" w:cs="Arial"/>
              </w:rPr>
            </w:pPr>
          </w:p>
          <w:p w14:paraId="6143F221" w14:textId="77777777" w:rsidR="00570FA6" w:rsidRPr="00580CEF" w:rsidRDefault="00570FA6" w:rsidP="001A283B">
            <w:pPr>
              <w:pStyle w:val="ListParagraph"/>
              <w:spacing w:before="60" w:after="60"/>
              <w:ind w:left="454" w:firstLine="0"/>
              <w:rPr>
                <w:rFonts w:ascii="Arial" w:hAnsi="Arial" w:cs="Arial"/>
              </w:rPr>
            </w:pPr>
          </w:p>
          <w:p w14:paraId="5B87CBDD" w14:textId="34F32EFC" w:rsidR="005000D5" w:rsidRPr="00580CEF" w:rsidRDefault="005000D5" w:rsidP="00B86109">
            <w:pPr>
              <w:pStyle w:val="ListParagraph"/>
              <w:numPr>
                <w:ilvl w:val="0"/>
                <w:numId w:val="32"/>
              </w:numPr>
              <w:spacing w:before="60" w:after="60"/>
              <w:ind w:left="454"/>
              <w:rPr>
                <w:rFonts w:ascii="Arial" w:hAnsi="Arial" w:cs="Arial"/>
              </w:rPr>
            </w:pPr>
            <w:r w:rsidRPr="00580CEF">
              <w:rPr>
                <w:rFonts w:ascii="Arial" w:hAnsi="Arial" w:cs="Arial"/>
              </w:rPr>
              <w:t>Absolute volumes</w:t>
            </w:r>
          </w:p>
        </w:tc>
        <w:tc>
          <w:tcPr>
            <w:tcW w:w="3612" w:type="dxa"/>
          </w:tcPr>
          <w:p w14:paraId="636E11F9" w14:textId="43CAE0A1" w:rsidR="005000D5" w:rsidRPr="00580CEF" w:rsidRDefault="001D3552" w:rsidP="00B86109">
            <w:pPr>
              <w:pStyle w:val="ListParagraph"/>
              <w:numPr>
                <w:ilvl w:val="0"/>
                <w:numId w:val="40"/>
              </w:numPr>
              <w:spacing w:before="60" w:after="60"/>
              <w:rPr>
                <w:rFonts w:ascii="Arial" w:hAnsi="Arial" w:cs="Arial"/>
              </w:rPr>
            </w:pPr>
            <w:r w:rsidRPr="00580CEF">
              <w:rPr>
                <w:rFonts w:ascii="Arial" w:hAnsi="Arial" w:cs="Arial"/>
              </w:rPr>
              <w:t>Disproportionately impacts importers over refiners and is more appropriate for the full upstream and downstream oil/petroleum sector.</w:t>
            </w:r>
          </w:p>
          <w:p w14:paraId="3EA30393" w14:textId="77777777" w:rsidR="00A7449B" w:rsidRPr="00580CEF" w:rsidRDefault="00A7449B" w:rsidP="0026318D">
            <w:pPr>
              <w:pStyle w:val="ListParagraph"/>
              <w:spacing w:before="60" w:after="60"/>
              <w:ind w:left="420" w:firstLine="0"/>
              <w:rPr>
                <w:rFonts w:ascii="Arial" w:hAnsi="Arial" w:cs="Arial"/>
              </w:rPr>
            </w:pPr>
          </w:p>
          <w:p w14:paraId="11A774A5" w14:textId="1308F259" w:rsidR="00A7449B" w:rsidRPr="00580CEF" w:rsidRDefault="001C0434" w:rsidP="00B86109">
            <w:pPr>
              <w:pStyle w:val="ListParagraph"/>
              <w:numPr>
                <w:ilvl w:val="0"/>
                <w:numId w:val="40"/>
              </w:numPr>
              <w:spacing w:before="60" w:after="60"/>
              <w:rPr>
                <w:rFonts w:ascii="Arial" w:hAnsi="Arial" w:cs="Arial"/>
              </w:rPr>
            </w:pPr>
            <w:r w:rsidRPr="00580CEF">
              <w:rPr>
                <w:rFonts w:ascii="Arial" w:hAnsi="Arial" w:cs="Arial"/>
              </w:rPr>
              <w:t>Lower cost than option 3 as the national requirement level set would remain appropriate even if aggregate fuel demand changes.</w:t>
            </w:r>
          </w:p>
          <w:p w14:paraId="60CF2EF4" w14:textId="77777777" w:rsidR="00A7449B" w:rsidRPr="00580CEF" w:rsidRDefault="00A7449B" w:rsidP="00A7449B">
            <w:pPr>
              <w:pStyle w:val="ListParagraph"/>
              <w:spacing w:before="60" w:after="60"/>
              <w:ind w:left="420" w:firstLine="0"/>
              <w:rPr>
                <w:rFonts w:ascii="Arial" w:hAnsi="Arial" w:cs="Arial"/>
              </w:rPr>
            </w:pPr>
          </w:p>
          <w:p w14:paraId="03A4D001" w14:textId="5CB45202" w:rsidR="00A7449B" w:rsidRPr="00580CEF" w:rsidRDefault="001C0434" w:rsidP="00B86109">
            <w:pPr>
              <w:pStyle w:val="ListParagraph"/>
              <w:numPr>
                <w:ilvl w:val="0"/>
                <w:numId w:val="40"/>
              </w:numPr>
              <w:spacing w:before="60" w:after="60"/>
              <w:rPr>
                <w:rFonts w:ascii="Arial" w:hAnsi="Arial" w:cs="Arial"/>
              </w:rPr>
            </w:pPr>
            <w:r w:rsidRPr="00580CEF">
              <w:rPr>
                <w:rFonts w:ascii="Arial" w:hAnsi="Arial" w:cs="Arial"/>
              </w:rPr>
              <w:t>Higher costs due to annual resetting of the aggregate requirement due to national level fuel demand changes.</w:t>
            </w:r>
          </w:p>
        </w:tc>
        <w:tc>
          <w:tcPr>
            <w:tcW w:w="6029" w:type="dxa"/>
          </w:tcPr>
          <w:p w14:paraId="06439524" w14:textId="5271511A" w:rsidR="00CA216D" w:rsidRDefault="00CA216D" w:rsidP="00B86109">
            <w:pPr>
              <w:pStyle w:val="ListParagraph"/>
              <w:numPr>
                <w:ilvl w:val="0"/>
                <w:numId w:val="41"/>
              </w:numPr>
              <w:spacing w:before="60" w:after="60"/>
              <w:ind w:left="459"/>
              <w:rPr>
                <w:rFonts w:ascii="Arial" w:hAnsi="Arial" w:cs="Arial"/>
              </w:rPr>
            </w:pPr>
            <w:r w:rsidRPr="00580CEF">
              <w:rPr>
                <w:rFonts w:ascii="Arial" w:hAnsi="Arial" w:cs="Arial"/>
              </w:rPr>
              <w:t xml:space="preserve">The net import day option, which aligns with the International Energy Program Treaty metric, is not a suitable approach for measuring domestic fuel security but is rather an indicator </w:t>
            </w:r>
            <w:r w:rsidR="00F62534" w:rsidRPr="00580CEF">
              <w:rPr>
                <w:rFonts w:ascii="Arial" w:hAnsi="Arial" w:cs="Arial"/>
              </w:rPr>
              <w:t>o</w:t>
            </w:r>
            <w:r w:rsidRPr="00580CEF">
              <w:rPr>
                <w:rFonts w:ascii="Arial" w:hAnsi="Arial" w:cs="Arial"/>
              </w:rPr>
              <w:t>f import dependence (imports minus exports).</w:t>
            </w:r>
          </w:p>
          <w:p w14:paraId="37BF8212" w14:textId="77777777" w:rsidR="009861DC" w:rsidRPr="00E65733" w:rsidRDefault="009861DC" w:rsidP="00823356">
            <w:pPr>
              <w:spacing w:before="60" w:after="60"/>
              <w:rPr>
                <w:rFonts w:cs="Arial"/>
              </w:rPr>
            </w:pPr>
          </w:p>
          <w:p w14:paraId="3F09C26B" w14:textId="655C8A90" w:rsidR="005000D5" w:rsidRDefault="00CA216D" w:rsidP="00B86109">
            <w:pPr>
              <w:pStyle w:val="ListParagraph"/>
              <w:numPr>
                <w:ilvl w:val="0"/>
                <w:numId w:val="41"/>
              </w:numPr>
              <w:spacing w:before="60" w:after="60"/>
              <w:ind w:left="459"/>
              <w:rPr>
                <w:rFonts w:ascii="Arial" w:hAnsi="Arial" w:cs="Arial"/>
              </w:rPr>
            </w:pPr>
            <w:r w:rsidRPr="00580CEF">
              <w:rPr>
                <w:rFonts w:ascii="Arial" w:hAnsi="Arial" w:cs="Arial"/>
              </w:rPr>
              <w:t>Consumption cover days are an indicator of how long fuels would last under norm</w:t>
            </w:r>
            <w:r w:rsidR="00B5260D" w:rsidRPr="00580CEF">
              <w:rPr>
                <w:rFonts w:ascii="Arial" w:hAnsi="Arial" w:cs="Arial"/>
              </w:rPr>
              <w:t xml:space="preserve">al demand. Can be modified to suit entity level stock minimums and is a measure that can be set in legislation </w:t>
            </w:r>
            <w:r w:rsidR="007365B8" w:rsidRPr="00580CEF">
              <w:rPr>
                <w:rFonts w:ascii="Arial" w:hAnsi="Arial" w:cs="Arial"/>
              </w:rPr>
              <w:t>that does</w:t>
            </w:r>
            <w:r w:rsidR="00B5260D" w:rsidRPr="00580CEF">
              <w:rPr>
                <w:rFonts w:ascii="Arial" w:hAnsi="Arial" w:cs="Arial"/>
              </w:rPr>
              <w:t xml:space="preserve"> not need to be changed when there are changes in aggregate fuel demand. This measure also scales well to different sized entities and compliance costs are proportional to the entity size.</w:t>
            </w:r>
          </w:p>
          <w:p w14:paraId="5C4D8882" w14:textId="02BA94C2" w:rsidR="009861DC" w:rsidRPr="00823356" w:rsidRDefault="009861DC" w:rsidP="0061480B">
            <w:pPr>
              <w:pStyle w:val="ListParagraph"/>
              <w:spacing w:before="60" w:after="60"/>
              <w:rPr>
                <w:rFonts w:ascii="Arial" w:hAnsi="Arial" w:cs="Arial"/>
              </w:rPr>
            </w:pPr>
          </w:p>
          <w:p w14:paraId="64CC6D5C" w14:textId="2A3CB1A5" w:rsidR="009166EC" w:rsidRPr="00580CEF" w:rsidRDefault="009166EC" w:rsidP="00B86109">
            <w:pPr>
              <w:pStyle w:val="ListParagraph"/>
              <w:numPr>
                <w:ilvl w:val="0"/>
                <w:numId w:val="41"/>
              </w:numPr>
              <w:spacing w:before="60" w:after="60"/>
              <w:ind w:left="459"/>
              <w:rPr>
                <w:rFonts w:ascii="Arial" w:hAnsi="Arial" w:cs="Arial"/>
              </w:rPr>
            </w:pPr>
            <w:r w:rsidRPr="00580CEF">
              <w:rPr>
                <w:rFonts w:ascii="Arial" w:hAnsi="Arial" w:cs="Arial"/>
              </w:rPr>
              <w:t>Setting absolute volume requirements on regulated entities would initially deliver the same outcome as option 2 however the volume set may not remain appropriate if aggregate demand changes or an entity significantly loses or gains market share. The regulated quantity per entity and nationally would need to be changed frequently in subordinate legislation to maintain scale.</w:t>
            </w:r>
          </w:p>
        </w:tc>
        <w:tc>
          <w:tcPr>
            <w:tcW w:w="3390" w:type="dxa"/>
          </w:tcPr>
          <w:p w14:paraId="08AAA2B4" w14:textId="792457D9" w:rsidR="009861DC" w:rsidRDefault="00D91303" w:rsidP="00B86109">
            <w:pPr>
              <w:pStyle w:val="ListParagraph"/>
              <w:numPr>
                <w:ilvl w:val="0"/>
                <w:numId w:val="42"/>
              </w:numPr>
              <w:spacing w:before="60" w:after="60"/>
              <w:ind w:left="459"/>
              <w:rPr>
                <w:rFonts w:ascii="Arial" w:hAnsi="Arial" w:cs="Arial"/>
              </w:rPr>
            </w:pPr>
            <w:r w:rsidRPr="00580CEF">
              <w:rPr>
                <w:rFonts w:ascii="Arial" w:hAnsi="Arial" w:cs="Arial"/>
              </w:rPr>
              <w:t>Limited and not quantified</w:t>
            </w:r>
            <w:r w:rsidR="002F0A46" w:rsidRPr="00580CEF">
              <w:rPr>
                <w:rFonts w:ascii="Arial" w:hAnsi="Arial" w:cs="Arial"/>
              </w:rPr>
              <w:t>.</w:t>
            </w:r>
          </w:p>
          <w:p w14:paraId="7A9CB8DE" w14:textId="77777777" w:rsidR="009861DC" w:rsidRPr="00E65733" w:rsidRDefault="009861DC" w:rsidP="00823356">
            <w:pPr>
              <w:spacing w:before="60" w:after="60"/>
              <w:rPr>
                <w:rFonts w:cs="Arial"/>
              </w:rPr>
            </w:pPr>
          </w:p>
          <w:p w14:paraId="20C0F329" w14:textId="7577E007" w:rsidR="005000D5" w:rsidRDefault="002F0A46" w:rsidP="00B86109">
            <w:pPr>
              <w:pStyle w:val="ListParagraph"/>
              <w:numPr>
                <w:ilvl w:val="0"/>
                <w:numId w:val="42"/>
              </w:numPr>
              <w:spacing w:before="60" w:after="60"/>
              <w:ind w:left="459"/>
              <w:rPr>
                <w:rFonts w:ascii="Arial" w:hAnsi="Arial" w:cs="Arial"/>
              </w:rPr>
            </w:pPr>
            <w:r w:rsidRPr="00580CEF">
              <w:rPr>
                <w:rFonts w:ascii="Arial" w:hAnsi="Arial" w:cs="Arial"/>
              </w:rPr>
              <w:t>Metric based on fuel consumption/supply and easily relatable to maintaining fuel supply security. Could be applied to any entity in the supply chain proportionally to volume supplied to the market. Minimum consumption day target figure remains relevant even if aggregate demand of one or more fuels changes.</w:t>
            </w:r>
          </w:p>
          <w:p w14:paraId="7A3DBA8B" w14:textId="433298CB" w:rsidR="009861DC" w:rsidRPr="00823356" w:rsidRDefault="009861DC" w:rsidP="0061480B">
            <w:pPr>
              <w:pStyle w:val="ListParagraph"/>
              <w:spacing w:before="60" w:after="60"/>
              <w:rPr>
                <w:rFonts w:ascii="Arial" w:hAnsi="Arial" w:cs="Arial"/>
              </w:rPr>
            </w:pPr>
          </w:p>
          <w:p w14:paraId="0BE2F8CD" w14:textId="77777777" w:rsidR="00A7449B" w:rsidRDefault="00A7449B" w:rsidP="003F6CB3">
            <w:pPr>
              <w:pStyle w:val="ListParagraph"/>
              <w:numPr>
                <w:ilvl w:val="0"/>
                <w:numId w:val="42"/>
              </w:numPr>
              <w:spacing w:before="60" w:after="60"/>
              <w:ind w:left="459"/>
              <w:rPr>
                <w:rFonts w:ascii="Arial" w:hAnsi="Arial" w:cs="Arial"/>
              </w:rPr>
            </w:pPr>
            <w:r w:rsidRPr="00580CEF">
              <w:rPr>
                <w:rFonts w:ascii="Arial" w:hAnsi="Arial" w:cs="Arial"/>
              </w:rPr>
              <w:t xml:space="preserve">Limited and inflexible in application to entities and would require </w:t>
            </w:r>
            <w:r w:rsidR="003F6CB3" w:rsidRPr="00580CEF">
              <w:rPr>
                <w:rFonts w:ascii="Arial" w:hAnsi="Arial" w:cs="Arial"/>
              </w:rPr>
              <w:t>annual</w:t>
            </w:r>
            <w:r w:rsidRPr="00580CEF">
              <w:rPr>
                <w:rFonts w:ascii="Arial" w:hAnsi="Arial" w:cs="Arial"/>
              </w:rPr>
              <w:t xml:space="preserve"> adjustment to scale with aggregate demand changes.</w:t>
            </w:r>
          </w:p>
          <w:p w14:paraId="118C48B4" w14:textId="6630D4FB" w:rsidR="009861DC" w:rsidRPr="00580CEF" w:rsidRDefault="009861DC" w:rsidP="0061480B">
            <w:pPr>
              <w:pStyle w:val="ListParagraph"/>
              <w:spacing w:before="60" w:after="60"/>
              <w:rPr>
                <w:rFonts w:ascii="Arial" w:hAnsi="Arial" w:cs="Arial"/>
              </w:rPr>
            </w:pPr>
          </w:p>
        </w:tc>
      </w:tr>
      <w:tr w:rsidR="005000D5" w:rsidRPr="004D47B9" w14:paraId="4BBBBE83" w14:textId="77777777" w:rsidTr="0061480B">
        <w:tc>
          <w:tcPr>
            <w:tcW w:w="2704" w:type="dxa"/>
          </w:tcPr>
          <w:p w14:paraId="705E48E5" w14:textId="1530928F" w:rsidR="005000D5" w:rsidRPr="00823356" w:rsidRDefault="005000D5" w:rsidP="007D1616">
            <w:pPr>
              <w:spacing w:before="60" w:after="60"/>
              <w:rPr>
                <w:rFonts w:cs="Arial"/>
                <w:b/>
              </w:rPr>
            </w:pPr>
            <w:r w:rsidRPr="00823356">
              <w:rPr>
                <w:rFonts w:cs="Arial"/>
                <w:b/>
              </w:rPr>
              <w:t>Target Level Setting:</w:t>
            </w:r>
          </w:p>
          <w:p w14:paraId="79C900C6" w14:textId="4256B46E" w:rsidR="005000D5" w:rsidRDefault="005000D5" w:rsidP="00B86109">
            <w:pPr>
              <w:pStyle w:val="ListParagraph"/>
              <w:numPr>
                <w:ilvl w:val="0"/>
                <w:numId w:val="33"/>
              </w:numPr>
              <w:spacing w:before="60" w:after="60"/>
              <w:ind w:left="454"/>
              <w:rPr>
                <w:rFonts w:ascii="Arial" w:hAnsi="Arial" w:cs="Arial"/>
              </w:rPr>
            </w:pPr>
            <w:r w:rsidRPr="00580CEF">
              <w:rPr>
                <w:rFonts w:ascii="Arial" w:hAnsi="Arial" w:cs="Arial"/>
              </w:rPr>
              <w:t>External regulation benchmarks</w:t>
            </w:r>
            <w:r w:rsidR="00570FA6" w:rsidRPr="00580CEF">
              <w:rPr>
                <w:rFonts w:ascii="Arial" w:hAnsi="Arial" w:cs="Arial"/>
              </w:rPr>
              <w:t xml:space="preserve"> e.g. IEA or EU.</w:t>
            </w:r>
          </w:p>
          <w:p w14:paraId="13F27CC7" w14:textId="77777777" w:rsidR="002C5530" w:rsidRPr="00580CEF" w:rsidRDefault="002C5530" w:rsidP="00823356">
            <w:pPr>
              <w:pStyle w:val="ListParagraph"/>
              <w:spacing w:before="60" w:after="60"/>
              <w:ind w:left="454" w:firstLine="0"/>
              <w:rPr>
                <w:rFonts w:ascii="Arial" w:hAnsi="Arial" w:cs="Arial"/>
              </w:rPr>
            </w:pPr>
          </w:p>
          <w:p w14:paraId="4FD209CB" w14:textId="77777777" w:rsidR="005000D5" w:rsidRDefault="005000D5" w:rsidP="00B86109">
            <w:pPr>
              <w:pStyle w:val="ListParagraph"/>
              <w:numPr>
                <w:ilvl w:val="0"/>
                <w:numId w:val="33"/>
              </w:numPr>
              <w:spacing w:before="60" w:after="60"/>
              <w:ind w:left="454"/>
              <w:rPr>
                <w:rFonts w:ascii="Arial" w:hAnsi="Arial" w:cs="Arial"/>
              </w:rPr>
            </w:pPr>
            <w:r w:rsidRPr="00580CEF">
              <w:rPr>
                <w:rFonts w:ascii="Arial" w:hAnsi="Arial" w:cs="Arial"/>
              </w:rPr>
              <w:t>Historical consumption cover stocks</w:t>
            </w:r>
          </w:p>
          <w:p w14:paraId="5212CE9D" w14:textId="074081E4" w:rsidR="002C5530" w:rsidRPr="00823356" w:rsidRDefault="002C5530" w:rsidP="0061480B">
            <w:pPr>
              <w:pStyle w:val="ListParagraph"/>
              <w:spacing w:before="60" w:after="60"/>
              <w:rPr>
                <w:rFonts w:ascii="Arial" w:hAnsi="Arial" w:cs="Arial"/>
              </w:rPr>
            </w:pPr>
          </w:p>
          <w:p w14:paraId="038A3F08" w14:textId="589C1A31" w:rsidR="005000D5" w:rsidRPr="00580CEF" w:rsidRDefault="005000D5" w:rsidP="00B86109">
            <w:pPr>
              <w:pStyle w:val="ListParagraph"/>
              <w:numPr>
                <w:ilvl w:val="0"/>
                <w:numId w:val="33"/>
              </w:numPr>
              <w:spacing w:before="60" w:after="60"/>
              <w:ind w:left="454"/>
              <w:rPr>
                <w:rFonts w:ascii="Arial" w:hAnsi="Arial" w:cs="Arial"/>
              </w:rPr>
            </w:pPr>
            <w:r w:rsidRPr="00580CEF">
              <w:rPr>
                <w:rFonts w:ascii="Arial" w:hAnsi="Arial" w:cs="Arial"/>
              </w:rPr>
              <w:lastRenderedPageBreak/>
              <w:t>Dynamic based on market conditions and risk assessments</w:t>
            </w:r>
          </w:p>
        </w:tc>
        <w:tc>
          <w:tcPr>
            <w:tcW w:w="3612" w:type="dxa"/>
          </w:tcPr>
          <w:p w14:paraId="0C25D996" w14:textId="764E55FB" w:rsidR="007131B7" w:rsidRPr="00580CEF" w:rsidRDefault="000A1954" w:rsidP="007131B7">
            <w:pPr>
              <w:pStyle w:val="ListParagraph"/>
              <w:numPr>
                <w:ilvl w:val="0"/>
                <w:numId w:val="43"/>
              </w:numPr>
              <w:spacing w:before="60" w:after="60"/>
              <w:ind w:left="411"/>
              <w:rPr>
                <w:rFonts w:ascii="Arial" w:hAnsi="Arial" w:cs="Arial"/>
              </w:rPr>
            </w:pPr>
            <w:r w:rsidRPr="00580CEF">
              <w:rPr>
                <w:rFonts w:ascii="Arial" w:hAnsi="Arial" w:cs="Arial"/>
              </w:rPr>
              <w:lastRenderedPageBreak/>
              <w:t>Much</w:t>
            </w:r>
            <w:r w:rsidR="004773CC" w:rsidRPr="00580CEF">
              <w:rPr>
                <w:rFonts w:ascii="Arial" w:hAnsi="Arial" w:cs="Arial"/>
              </w:rPr>
              <w:t xml:space="preserve"> higher </w:t>
            </w:r>
            <w:r w:rsidRPr="00580CEF">
              <w:rPr>
                <w:rFonts w:ascii="Arial" w:hAnsi="Arial" w:cs="Arial"/>
              </w:rPr>
              <w:t>cost</w:t>
            </w:r>
            <w:r w:rsidR="004773CC" w:rsidRPr="00580CEF">
              <w:rPr>
                <w:rFonts w:ascii="Arial" w:hAnsi="Arial" w:cs="Arial"/>
              </w:rPr>
              <w:t xml:space="preserve"> than needed </w:t>
            </w:r>
            <w:r w:rsidRPr="00580CEF">
              <w:rPr>
                <w:rFonts w:ascii="Arial" w:hAnsi="Arial" w:cs="Arial"/>
              </w:rPr>
              <w:t>for</w:t>
            </w:r>
            <w:r w:rsidR="004773CC" w:rsidRPr="00580CEF">
              <w:rPr>
                <w:rFonts w:ascii="Arial" w:hAnsi="Arial" w:cs="Arial"/>
              </w:rPr>
              <w:t xml:space="preserve"> the Australian contex</w:t>
            </w:r>
            <w:r w:rsidR="00AA5EB3" w:rsidRPr="00580CEF">
              <w:rPr>
                <w:rFonts w:ascii="Arial" w:hAnsi="Arial" w:cs="Arial"/>
              </w:rPr>
              <w:t>t.</w:t>
            </w:r>
            <w:r w:rsidRPr="00580CEF">
              <w:rPr>
                <w:rFonts w:ascii="Arial" w:hAnsi="Arial" w:cs="Arial"/>
              </w:rPr>
              <w:t xml:space="preserve"> 90 net import days or 61 </w:t>
            </w:r>
            <w:r w:rsidR="00557263" w:rsidRPr="00580CEF">
              <w:rPr>
                <w:rFonts w:ascii="Arial" w:hAnsi="Arial" w:cs="Arial"/>
              </w:rPr>
              <w:t>days of inland consumption.</w:t>
            </w:r>
          </w:p>
          <w:p w14:paraId="38A39315" w14:textId="77777777" w:rsidR="0026318D" w:rsidRPr="00580CEF" w:rsidRDefault="0026318D" w:rsidP="0026318D">
            <w:pPr>
              <w:pStyle w:val="ListParagraph"/>
              <w:spacing w:before="60" w:after="60"/>
              <w:ind w:left="411" w:firstLine="0"/>
              <w:rPr>
                <w:rFonts w:ascii="Arial" w:hAnsi="Arial" w:cs="Arial"/>
              </w:rPr>
            </w:pPr>
          </w:p>
          <w:p w14:paraId="490B27F4" w14:textId="4429E1AE" w:rsidR="007131B7" w:rsidRPr="00580CEF" w:rsidRDefault="00650308" w:rsidP="0026318D">
            <w:pPr>
              <w:pStyle w:val="ListParagraph"/>
              <w:numPr>
                <w:ilvl w:val="0"/>
                <w:numId w:val="43"/>
              </w:numPr>
              <w:spacing w:before="60" w:after="60"/>
              <w:ind w:left="411"/>
              <w:rPr>
                <w:rFonts w:ascii="Arial" w:hAnsi="Arial" w:cs="Arial"/>
              </w:rPr>
            </w:pPr>
            <w:r w:rsidRPr="00580CEF">
              <w:rPr>
                <w:rFonts w:ascii="Arial" w:hAnsi="Arial" w:cs="Arial"/>
              </w:rPr>
              <w:t xml:space="preserve">Considers historical consumption cover representing normal commercial levels then adjusted to deliver necessary fuel security </w:t>
            </w:r>
            <w:r w:rsidRPr="00580CEF">
              <w:rPr>
                <w:rFonts w:ascii="Arial" w:hAnsi="Arial" w:cs="Arial"/>
              </w:rPr>
              <w:lastRenderedPageBreak/>
              <w:t>enhancement</w:t>
            </w:r>
            <w:r w:rsidR="004C71D0" w:rsidRPr="00580CEF">
              <w:rPr>
                <w:rFonts w:ascii="Arial" w:hAnsi="Arial" w:cs="Arial"/>
              </w:rPr>
              <w:t xml:space="preserve"> to keep costs commensurate with objectives</w:t>
            </w:r>
            <w:r w:rsidR="002C5530">
              <w:rPr>
                <w:rFonts w:ascii="Arial" w:hAnsi="Arial" w:cs="Arial"/>
              </w:rPr>
              <w:t>.</w:t>
            </w:r>
          </w:p>
          <w:p w14:paraId="303DFFBF" w14:textId="77777777" w:rsidR="0026318D" w:rsidRPr="00580CEF" w:rsidRDefault="0026318D" w:rsidP="0026318D">
            <w:pPr>
              <w:spacing w:before="60" w:after="60"/>
              <w:rPr>
                <w:rFonts w:cs="Arial"/>
              </w:rPr>
            </w:pPr>
          </w:p>
          <w:p w14:paraId="69A0B91F" w14:textId="12DA6BA0" w:rsidR="005000D5" w:rsidRPr="00580CEF" w:rsidRDefault="004C71D0" w:rsidP="00B86109">
            <w:pPr>
              <w:pStyle w:val="ListParagraph"/>
              <w:numPr>
                <w:ilvl w:val="0"/>
                <w:numId w:val="43"/>
              </w:numPr>
              <w:spacing w:before="60" w:after="60"/>
              <w:ind w:left="411"/>
              <w:rPr>
                <w:rFonts w:ascii="Arial" w:hAnsi="Arial" w:cs="Arial"/>
              </w:rPr>
            </w:pPr>
            <w:r w:rsidRPr="00580CEF">
              <w:rPr>
                <w:rFonts w:ascii="Arial" w:hAnsi="Arial" w:cs="Arial"/>
              </w:rPr>
              <w:t>Similar to option 2 in that dynamic target level setting would likely become a pseudo historical consumption cover approach noting that significant time is needed to build new storage.</w:t>
            </w:r>
            <w:r w:rsidRPr="00580CEF" w:rsidDel="002C5530">
              <w:rPr>
                <w:rFonts w:ascii="Arial" w:hAnsi="Arial" w:cs="Arial"/>
              </w:rPr>
              <w:t xml:space="preserve"> </w:t>
            </w:r>
            <w:r w:rsidRPr="00580CEF">
              <w:rPr>
                <w:rFonts w:ascii="Arial" w:hAnsi="Arial" w:cs="Arial"/>
              </w:rPr>
              <w:t>This means that stock levels to meet the most recent dynamic analyses would not be met for 1-2 years if new storage is needed</w:t>
            </w:r>
            <w:r w:rsidR="007131B7" w:rsidRPr="00580CEF">
              <w:rPr>
                <w:rFonts w:ascii="Arial" w:hAnsi="Arial" w:cs="Arial"/>
              </w:rPr>
              <w:t>.</w:t>
            </w:r>
          </w:p>
        </w:tc>
        <w:tc>
          <w:tcPr>
            <w:tcW w:w="6029" w:type="dxa"/>
          </w:tcPr>
          <w:p w14:paraId="2967851B" w14:textId="67CD9900" w:rsidR="004D3915" w:rsidRDefault="008C6B94" w:rsidP="00B86109">
            <w:pPr>
              <w:pStyle w:val="ListParagraph"/>
              <w:numPr>
                <w:ilvl w:val="0"/>
                <w:numId w:val="46"/>
              </w:numPr>
              <w:spacing w:before="60" w:after="60"/>
              <w:ind w:left="459"/>
              <w:rPr>
                <w:rFonts w:ascii="Arial" w:hAnsi="Arial" w:cs="Arial"/>
              </w:rPr>
            </w:pPr>
            <w:r w:rsidRPr="00580CEF">
              <w:rPr>
                <w:rFonts w:ascii="Arial" w:hAnsi="Arial" w:cs="Arial"/>
              </w:rPr>
              <w:lastRenderedPageBreak/>
              <w:t>The most appropriate MSO metric option (CCD’s) identified above aligns with the European Union’s oil stockholding directive. The quantum of the EU directive is significant and reflects the risk analysis and risk appetite of its members.</w:t>
            </w:r>
            <w:r w:rsidR="004D3915" w:rsidRPr="00580CEF">
              <w:rPr>
                <w:rFonts w:ascii="Arial" w:hAnsi="Arial" w:cs="Arial"/>
              </w:rPr>
              <w:t xml:space="preserve">  Mirroring this benchmark is not appropriate based on analysis by the </w:t>
            </w:r>
            <w:r w:rsidR="00710325">
              <w:rPr>
                <w:rFonts w:ascii="Arial" w:hAnsi="Arial" w:cs="Arial"/>
              </w:rPr>
              <w:t>G</w:t>
            </w:r>
            <w:r w:rsidR="004D3915" w:rsidRPr="00580CEF">
              <w:rPr>
                <w:rFonts w:ascii="Arial" w:hAnsi="Arial" w:cs="Arial"/>
              </w:rPr>
              <w:t xml:space="preserve">overnment undertaken </w:t>
            </w:r>
            <w:r w:rsidR="00550A63" w:rsidRPr="00580CEF">
              <w:rPr>
                <w:rFonts w:ascii="Arial" w:hAnsi="Arial" w:cs="Arial"/>
              </w:rPr>
              <w:t>between</w:t>
            </w:r>
            <w:r w:rsidR="004D3915" w:rsidRPr="00580CEF">
              <w:rPr>
                <w:rFonts w:ascii="Arial" w:hAnsi="Arial" w:cs="Arial"/>
              </w:rPr>
              <w:t xml:space="preserve"> 2018 and 2020.</w:t>
            </w:r>
          </w:p>
          <w:p w14:paraId="411299DA" w14:textId="77777777" w:rsidR="002C5530" w:rsidRPr="00580CEF" w:rsidRDefault="002C5530" w:rsidP="00823356">
            <w:pPr>
              <w:pStyle w:val="ListParagraph"/>
              <w:spacing w:before="60" w:after="60"/>
              <w:ind w:left="459" w:firstLine="0"/>
              <w:rPr>
                <w:rFonts w:ascii="Arial" w:hAnsi="Arial" w:cs="Arial"/>
              </w:rPr>
            </w:pPr>
          </w:p>
          <w:p w14:paraId="4F5E8D4C" w14:textId="4CFDBD7A" w:rsidR="004D3915" w:rsidRDefault="004D3915" w:rsidP="00B86109">
            <w:pPr>
              <w:pStyle w:val="ListParagraph"/>
              <w:numPr>
                <w:ilvl w:val="0"/>
                <w:numId w:val="46"/>
              </w:numPr>
              <w:spacing w:before="60" w:after="60"/>
              <w:ind w:left="459"/>
              <w:rPr>
                <w:rFonts w:ascii="Arial" w:hAnsi="Arial" w:cs="Arial"/>
              </w:rPr>
            </w:pPr>
            <w:r w:rsidRPr="00580CEF">
              <w:rPr>
                <w:rFonts w:ascii="Arial" w:hAnsi="Arial" w:cs="Arial"/>
              </w:rPr>
              <w:t xml:space="preserve">Basing the quantum of minimum stocks with reference to historical Australian CCD’s for key fuels and calibrating from </w:t>
            </w:r>
            <w:r w:rsidRPr="00580CEF">
              <w:rPr>
                <w:rFonts w:ascii="Arial" w:hAnsi="Arial" w:cs="Arial"/>
              </w:rPr>
              <w:lastRenderedPageBreak/>
              <w:t>there to risk analyses and appetite in the Australian context means the balance between fuel security improvements and compliance costs can be weighed.</w:t>
            </w:r>
            <w:r w:rsidRPr="00580CEF" w:rsidDel="002C5530">
              <w:rPr>
                <w:rFonts w:ascii="Arial" w:hAnsi="Arial" w:cs="Arial"/>
              </w:rPr>
              <w:t xml:space="preserve"> </w:t>
            </w:r>
            <w:r w:rsidRPr="00580CEF">
              <w:rPr>
                <w:rFonts w:ascii="Arial" w:hAnsi="Arial" w:cs="Arial"/>
              </w:rPr>
              <w:t>Historical average fuel stocks across the 2018 and 2019 calendar years (normal demand patterns prior to the impacts of the COVID-19 pandemic) were used as the starting point.</w:t>
            </w:r>
          </w:p>
          <w:p w14:paraId="4AFD5B02" w14:textId="743B14C4" w:rsidR="002C5530" w:rsidRPr="00823356" w:rsidRDefault="002C5530" w:rsidP="0061480B">
            <w:pPr>
              <w:pStyle w:val="ListParagraph"/>
              <w:spacing w:before="60" w:after="60"/>
              <w:rPr>
                <w:rFonts w:ascii="Arial" w:hAnsi="Arial" w:cs="Arial"/>
              </w:rPr>
            </w:pPr>
          </w:p>
          <w:p w14:paraId="3A586445" w14:textId="625B5118" w:rsidR="005000D5" w:rsidRDefault="004D3915" w:rsidP="00B86109">
            <w:pPr>
              <w:pStyle w:val="ListParagraph"/>
              <w:numPr>
                <w:ilvl w:val="0"/>
                <w:numId w:val="46"/>
              </w:numPr>
              <w:spacing w:before="60" w:after="60"/>
              <w:ind w:left="459"/>
              <w:rPr>
                <w:rFonts w:ascii="Arial" w:hAnsi="Arial" w:cs="Arial"/>
              </w:rPr>
            </w:pPr>
            <w:r w:rsidRPr="00580CEF">
              <w:rPr>
                <w:rFonts w:ascii="Arial" w:hAnsi="Arial" w:cs="Arial"/>
              </w:rPr>
              <w:t>The impact of a dynamic target level – i.e. one that could go up or down in magnitude, introduces uncertainty for regulated entities that increase costs and could present as a barrier to new entrants.</w:t>
            </w:r>
            <w:r w:rsidRPr="00580CEF" w:rsidDel="002C5530">
              <w:rPr>
                <w:rFonts w:ascii="Arial" w:hAnsi="Arial" w:cs="Arial"/>
              </w:rPr>
              <w:t xml:space="preserve"> </w:t>
            </w:r>
            <w:r w:rsidRPr="00580CEF">
              <w:rPr>
                <w:rFonts w:ascii="Arial" w:hAnsi="Arial" w:cs="Arial"/>
              </w:rPr>
              <w:t>Planning and construction of new storage capacity takes a significant period of time</w:t>
            </w:r>
            <w:r w:rsidR="001A34FA" w:rsidRPr="00580CEF">
              <w:rPr>
                <w:rFonts w:ascii="Arial" w:hAnsi="Arial" w:cs="Arial"/>
              </w:rPr>
              <w:t xml:space="preserve"> and variable targets would disrupt investment decisions and could lead to speculation about upward or downward movements in the target. This could see an underinvestment in stocks and storage when it is needed.</w:t>
            </w:r>
            <w:r w:rsidRPr="00580CEF">
              <w:rPr>
                <w:rFonts w:ascii="Arial" w:hAnsi="Arial" w:cs="Arial"/>
              </w:rPr>
              <w:t xml:space="preserve">  Dynamic MSO target</w:t>
            </w:r>
            <w:r w:rsidR="009F604B" w:rsidRPr="00580CEF">
              <w:rPr>
                <w:rFonts w:ascii="Arial" w:hAnsi="Arial" w:cs="Arial"/>
              </w:rPr>
              <w:t xml:space="preserve">s could </w:t>
            </w:r>
            <w:r w:rsidR="001A34FA" w:rsidRPr="00580CEF">
              <w:rPr>
                <w:rFonts w:ascii="Arial" w:hAnsi="Arial" w:cs="Arial"/>
              </w:rPr>
              <w:t>lead to more efficient fuel stock holding costs.</w:t>
            </w:r>
          </w:p>
          <w:p w14:paraId="55EAC256" w14:textId="5A7F298C" w:rsidR="002C5530" w:rsidRPr="00823356" w:rsidRDefault="002C5530" w:rsidP="0061480B">
            <w:pPr>
              <w:pStyle w:val="ListParagraph"/>
              <w:spacing w:before="60" w:after="60"/>
              <w:rPr>
                <w:rFonts w:ascii="Arial" w:hAnsi="Arial" w:cs="Arial"/>
              </w:rPr>
            </w:pPr>
          </w:p>
        </w:tc>
        <w:tc>
          <w:tcPr>
            <w:tcW w:w="3390" w:type="dxa"/>
          </w:tcPr>
          <w:p w14:paraId="22250975" w14:textId="7FF28F64" w:rsidR="004773CC" w:rsidRDefault="004773CC" w:rsidP="00B86109">
            <w:pPr>
              <w:pStyle w:val="ListParagraph"/>
              <w:numPr>
                <w:ilvl w:val="0"/>
                <w:numId w:val="47"/>
              </w:numPr>
              <w:spacing w:before="60" w:after="60"/>
              <w:ind w:left="459"/>
              <w:rPr>
                <w:rFonts w:ascii="Arial" w:hAnsi="Arial" w:cs="Arial"/>
              </w:rPr>
            </w:pPr>
            <w:r w:rsidRPr="00580CEF">
              <w:rPr>
                <w:rFonts w:ascii="Arial" w:hAnsi="Arial" w:cs="Arial"/>
              </w:rPr>
              <w:lastRenderedPageBreak/>
              <w:t>Using an external benchmark beyond using the same metric does not necessarily lead to a net benefit</w:t>
            </w:r>
            <w:r w:rsidR="005263D2" w:rsidRPr="00580CEF">
              <w:rPr>
                <w:rFonts w:ascii="Arial" w:hAnsi="Arial" w:cs="Arial"/>
              </w:rPr>
              <w:t xml:space="preserve"> and could result in over insuring against identified risks unnecessarily increasing compliance costs</w:t>
            </w:r>
            <w:r w:rsidRPr="00580CEF">
              <w:rPr>
                <w:rFonts w:ascii="Arial" w:hAnsi="Arial" w:cs="Arial"/>
              </w:rPr>
              <w:t>.</w:t>
            </w:r>
          </w:p>
          <w:p w14:paraId="7356E677" w14:textId="77777777" w:rsidR="002C5530" w:rsidRPr="00580CEF" w:rsidRDefault="002C5530" w:rsidP="00823356">
            <w:pPr>
              <w:pStyle w:val="ListParagraph"/>
              <w:spacing w:before="60" w:after="60"/>
              <w:ind w:left="459" w:firstLine="0"/>
              <w:rPr>
                <w:rFonts w:ascii="Arial" w:hAnsi="Arial" w:cs="Arial"/>
              </w:rPr>
            </w:pPr>
          </w:p>
          <w:p w14:paraId="760006B5" w14:textId="4E2CDDB1" w:rsidR="005000D5" w:rsidRDefault="004773CC" w:rsidP="009314A3">
            <w:pPr>
              <w:pStyle w:val="ListParagraph"/>
              <w:numPr>
                <w:ilvl w:val="0"/>
                <w:numId w:val="47"/>
              </w:numPr>
              <w:spacing w:before="60" w:after="60"/>
              <w:ind w:left="459"/>
              <w:rPr>
                <w:rFonts w:ascii="Arial" w:hAnsi="Arial" w:cs="Arial"/>
              </w:rPr>
            </w:pPr>
            <w:r w:rsidRPr="00580CEF">
              <w:rPr>
                <w:rFonts w:ascii="Arial" w:hAnsi="Arial" w:cs="Arial"/>
              </w:rPr>
              <w:t xml:space="preserve">Basing the target MSO quantities </w:t>
            </w:r>
            <w:r w:rsidR="005263D2" w:rsidRPr="00580CEF">
              <w:rPr>
                <w:rFonts w:ascii="Arial" w:hAnsi="Arial" w:cs="Arial"/>
              </w:rPr>
              <w:t>on the</w:t>
            </w:r>
            <w:r w:rsidR="00710325">
              <w:rPr>
                <w:rFonts w:ascii="Arial" w:hAnsi="Arial" w:cs="Arial"/>
              </w:rPr>
              <w:t xml:space="preserve"> </w:t>
            </w:r>
            <w:r w:rsidR="005263D2" w:rsidRPr="00580CEF">
              <w:rPr>
                <w:rFonts w:ascii="Arial" w:hAnsi="Arial" w:cs="Arial"/>
              </w:rPr>
              <w:lastRenderedPageBreak/>
              <w:t xml:space="preserve">Government’s risk analysis keeps compliance costs lower than using an </w:t>
            </w:r>
            <w:r w:rsidR="009314A3" w:rsidRPr="00580CEF">
              <w:rPr>
                <w:rFonts w:ascii="Arial" w:hAnsi="Arial" w:cs="Arial"/>
              </w:rPr>
              <w:t>international benchmark target.</w:t>
            </w:r>
          </w:p>
          <w:p w14:paraId="35A72E87" w14:textId="72703664" w:rsidR="002C5530" w:rsidRPr="00823356" w:rsidRDefault="002C5530" w:rsidP="0061480B">
            <w:pPr>
              <w:pStyle w:val="ListParagraph"/>
              <w:spacing w:before="60" w:after="60"/>
              <w:rPr>
                <w:rFonts w:ascii="Arial" w:hAnsi="Arial" w:cs="Arial"/>
              </w:rPr>
            </w:pPr>
          </w:p>
          <w:p w14:paraId="2A2E428C" w14:textId="5F20A69E" w:rsidR="005000D5" w:rsidRPr="00580CEF" w:rsidRDefault="001F08BE" w:rsidP="00B86109">
            <w:pPr>
              <w:pStyle w:val="ListParagraph"/>
              <w:numPr>
                <w:ilvl w:val="0"/>
                <w:numId w:val="47"/>
              </w:numPr>
              <w:spacing w:before="60" w:after="60"/>
              <w:ind w:left="459"/>
              <w:rPr>
                <w:rFonts w:ascii="Arial" w:hAnsi="Arial" w:cs="Arial"/>
              </w:rPr>
            </w:pPr>
            <w:r w:rsidRPr="00580CEF">
              <w:rPr>
                <w:rFonts w:ascii="Arial" w:hAnsi="Arial" w:cs="Arial"/>
              </w:rPr>
              <w:t xml:space="preserve">This approach is impractical as </w:t>
            </w:r>
            <w:r w:rsidR="00B75653" w:rsidRPr="00580CEF">
              <w:rPr>
                <w:rFonts w:ascii="Arial" w:hAnsi="Arial" w:cs="Arial"/>
              </w:rPr>
              <w:t xml:space="preserve">storage and stocks take time to bring online </w:t>
            </w:r>
            <w:r w:rsidR="00926A22" w:rsidRPr="00580CEF">
              <w:rPr>
                <w:rFonts w:ascii="Arial" w:hAnsi="Arial" w:cs="Arial"/>
              </w:rPr>
              <w:t>but is</w:t>
            </w:r>
            <w:r w:rsidR="00B75653" w:rsidRPr="00580CEF">
              <w:rPr>
                <w:rFonts w:ascii="Arial" w:hAnsi="Arial" w:cs="Arial"/>
              </w:rPr>
              <w:t xml:space="preserve"> similar to option 2.</w:t>
            </w:r>
          </w:p>
        </w:tc>
      </w:tr>
      <w:tr w:rsidR="005000D5" w:rsidRPr="004D47B9" w14:paraId="38014383" w14:textId="77777777" w:rsidTr="0061480B">
        <w:tc>
          <w:tcPr>
            <w:tcW w:w="2704" w:type="dxa"/>
          </w:tcPr>
          <w:p w14:paraId="77A5A2D0" w14:textId="0EBC00C9" w:rsidR="005000D5" w:rsidRPr="00823356" w:rsidRDefault="005000D5" w:rsidP="007D1616">
            <w:pPr>
              <w:spacing w:before="60" w:after="60"/>
              <w:rPr>
                <w:rFonts w:cs="Arial"/>
                <w:b/>
              </w:rPr>
            </w:pPr>
            <w:r w:rsidRPr="00823356">
              <w:rPr>
                <w:rFonts w:cs="Arial"/>
                <w:b/>
              </w:rPr>
              <w:lastRenderedPageBreak/>
              <w:t xml:space="preserve">Fuels to </w:t>
            </w:r>
            <w:r w:rsidR="002A4E4C" w:rsidRPr="00823356">
              <w:rPr>
                <w:rFonts w:cs="Arial"/>
                <w:b/>
              </w:rPr>
              <w:t xml:space="preserve">be </w:t>
            </w:r>
            <w:r w:rsidRPr="00823356">
              <w:rPr>
                <w:rFonts w:cs="Arial"/>
                <w:b/>
              </w:rPr>
              <w:t>regulated</w:t>
            </w:r>
            <w:r w:rsidR="002C5530">
              <w:rPr>
                <w:rFonts w:cs="Arial"/>
                <w:b/>
              </w:rPr>
              <w:t>:</w:t>
            </w:r>
          </w:p>
          <w:p w14:paraId="69F847DF" w14:textId="77777777" w:rsidR="005000D5" w:rsidRDefault="005000D5" w:rsidP="0061480B">
            <w:pPr>
              <w:pStyle w:val="ListParagraph"/>
              <w:numPr>
                <w:ilvl w:val="0"/>
                <w:numId w:val="68"/>
              </w:numPr>
              <w:spacing w:before="60" w:after="60"/>
              <w:rPr>
                <w:rFonts w:ascii="Arial" w:hAnsi="Arial" w:cs="Arial"/>
              </w:rPr>
            </w:pPr>
            <w:r w:rsidRPr="00580CEF">
              <w:rPr>
                <w:rFonts w:ascii="Arial" w:hAnsi="Arial" w:cs="Arial"/>
              </w:rPr>
              <w:t>Major fuels consumed by critical services</w:t>
            </w:r>
          </w:p>
          <w:p w14:paraId="2370557B" w14:textId="77777777" w:rsidR="002C5530" w:rsidRPr="00580CEF" w:rsidRDefault="002C5530" w:rsidP="0061480B">
            <w:pPr>
              <w:pStyle w:val="ListParagraph"/>
              <w:spacing w:before="60" w:after="60"/>
              <w:ind w:left="454" w:firstLine="0"/>
              <w:rPr>
                <w:rFonts w:ascii="Arial" w:hAnsi="Arial" w:cs="Arial"/>
              </w:rPr>
            </w:pPr>
          </w:p>
          <w:p w14:paraId="48CE2993" w14:textId="6442FA3B" w:rsidR="005000D5" w:rsidRPr="00580CEF" w:rsidRDefault="002C5530" w:rsidP="0061480B">
            <w:pPr>
              <w:pStyle w:val="ListParagraph"/>
              <w:numPr>
                <w:ilvl w:val="0"/>
                <w:numId w:val="68"/>
              </w:numPr>
              <w:spacing w:before="60" w:after="60"/>
              <w:rPr>
                <w:rFonts w:ascii="Arial" w:hAnsi="Arial" w:cs="Arial"/>
              </w:rPr>
            </w:pPr>
            <w:r>
              <w:rPr>
                <w:rFonts w:ascii="Arial" w:hAnsi="Arial" w:cs="Arial"/>
              </w:rPr>
              <w:t>Option 1</w:t>
            </w:r>
            <w:r w:rsidR="005000D5" w:rsidRPr="00580CEF">
              <w:rPr>
                <w:rFonts w:ascii="Arial" w:hAnsi="Arial" w:cs="Arial"/>
              </w:rPr>
              <w:t xml:space="preserve"> plus crude oil</w:t>
            </w:r>
          </w:p>
        </w:tc>
        <w:tc>
          <w:tcPr>
            <w:tcW w:w="3612" w:type="dxa"/>
          </w:tcPr>
          <w:p w14:paraId="58F0A024" w14:textId="77777777" w:rsidR="000B17CA" w:rsidRDefault="000B17CA" w:rsidP="000B17CA">
            <w:pPr>
              <w:pStyle w:val="ListParagraph"/>
              <w:numPr>
                <w:ilvl w:val="0"/>
                <w:numId w:val="48"/>
              </w:numPr>
              <w:spacing w:before="60" w:after="60"/>
              <w:ind w:left="411"/>
              <w:rPr>
                <w:rFonts w:ascii="Arial" w:hAnsi="Arial" w:cs="Arial"/>
              </w:rPr>
            </w:pPr>
            <w:r w:rsidRPr="00580CEF">
              <w:rPr>
                <w:rFonts w:ascii="Arial" w:hAnsi="Arial" w:cs="Arial"/>
              </w:rPr>
              <w:t>Limits costs to securing the key fuels used in the Australian economy. Avoids unnecessary regulatory intervention in commercial decisions on less important fuels.</w:t>
            </w:r>
          </w:p>
          <w:p w14:paraId="7E7BFCA8" w14:textId="77777777" w:rsidR="002C5530" w:rsidRPr="00580CEF" w:rsidRDefault="002C5530" w:rsidP="00823356">
            <w:pPr>
              <w:pStyle w:val="ListParagraph"/>
              <w:spacing w:before="60" w:after="60"/>
              <w:ind w:left="411" w:firstLine="0"/>
              <w:rPr>
                <w:rFonts w:ascii="Arial" w:hAnsi="Arial" w:cs="Arial"/>
              </w:rPr>
            </w:pPr>
          </w:p>
          <w:p w14:paraId="5D0A4655" w14:textId="78869494" w:rsidR="005000D5" w:rsidRDefault="000B17CA" w:rsidP="000B17CA">
            <w:pPr>
              <w:pStyle w:val="ListParagraph"/>
              <w:numPr>
                <w:ilvl w:val="0"/>
                <w:numId w:val="48"/>
              </w:numPr>
              <w:spacing w:before="60" w:after="60"/>
              <w:ind w:left="411"/>
              <w:rPr>
                <w:rFonts w:ascii="Arial" w:hAnsi="Arial" w:cs="Arial"/>
              </w:rPr>
            </w:pPr>
            <w:r w:rsidRPr="00580CEF">
              <w:rPr>
                <w:rFonts w:ascii="Arial" w:hAnsi="Arial" w:cs="Arial"/>
              </w:rPr>
              <w:t xml:space="preserve">Regulating crude oil stocks in addition to finished fuels would increase costs to refiners disproportionately to importers of fuel. Regulating finished products will have an indirect effect on securing crude stock levels without the need to regulate directly. </w:t>
            </w:r>
          </w:p>
          <w:p w14:paraId="281DC38C" w14:textId="31A4FE74" w:rsidR="002C5530" w:rsidRPr="00823356" w:rsidRDefault="002C5530" w:rsidP="0061480B">
            <w:pPr>
              <w:pStyle w:val="ListParagraph"/>
              <w:spacing w:before="60" w:after="60"/>
              <w:rPr>
                <w:rFonts w:ascii="Arial" w:hAnsi="Arial" w:cs="Arial"/>
              </w:rPr>
            </w:pPr>
          </w:p>
        </w:tc>
        <w:tc>
          <w:tcPr>
            <w:tcW w:w="6029" w:type="dxa"/>
          </w:tcPr>
          <w:p w14:paraId="3C9AA95C" w14:textId="348F756A" w:rsidR="008F3743" w:rsidRDefault="008F3743" w:rsidP="00132C4C">
            <w:pPr>
              <w:pStyle w:val="ListParagraph"/>
              <w:numPr>
                <w:ilvl w:val="0"/>
                <w:numId w:val="49"/>
              </w:numPr>
              <w:spacing w:before="60" w:after="60"/>
              <w:ind w:left="459"/>
              <w:rPr>
                <w:rFonts w:ascii="Arial" w:hAnsi="Arial" w:cs="Arial"/>
              </w:rPr>
            </w:pPr>
            <w:r w:rsidRPr="00580CEF">
              <w:rPr>
                <w:rFonts w:ascii="Arial" w:hAnsi="Arial" w:cs="Arial"/>
              </w:rPr>
              <w:t xml:space="preserve">Regulating minimum stocks of </w:t>
            </w:r>
            <w:r w:rsidR="00CF06DF">
              <w:rPr>
                <w:rFonts w:ascii="Arial" w:hAnsi="Arial" w:cs="Arial"/>
              </w:rPr>
              <w:t xml:space="preserve">petrol </w:t>
            </w:r>
            <w:r w:rsidRPr="00580CEF">
              <w:rPr>
                <w:rFonts w:ascii="Arial" w:hAnsi="Arial" w:cs="Arial"/>
              </w:rPr>
              <w:t xml:space="preserve">(aggregate of all grades), diesel and jet fuel will provide certainty of stocks of these fuels at any point in time in Australia.  These fuels are vital to maintaining </w:t>
            </w:r>
            <w:r w:rsidR="000527B1">
              <w:rPr>
                <w:rFonts w:ascii="Arial" w:hAnsi="Arial" w:cs="Arial"/>
              </w:rPr>
              <w:t>critical</w:t>
            </w:r>
            <w:r w:rsidR="000527B1" w:rsidRPr="00580CEF">
              <w:rPr>
                <w:rFonts w:ascii="Arial" w:hAnsi="Arial" w:cs="Arial"/>
              </w:rPr>
              <w:t xml:space="preserve"> </w:t>
            </w:r>
            <w:r w:rsidRPr="00580CEF">
              <w:rPr>
                <w:rFonts w:ascii="Arial" w:hAnsi="Arial" w:cs="Arial"/>
              </w:rPr>
              <w:t xml:space="preserve">services and </w:t>
            </w:r>
            <w:r w:rsidR="003930C1" w:rsidRPr="00580CEF">
              <w:rPr>
                <w:rFonts w:ascii="Arial" w:hAnsi="Arial" w:cs="Arial"/>
              </w:rPr>
              <w:t>the economy</w:t>
            </w:r>
            <w:r w:rsidRPr="00580CEF">
              <w:rPr>
                <w:rFonts w:ascii="Arial" w:hAnsi="Arial" w:cs="Arial"/>
              </w:rPr>
              <w:t xml:space="preserve"> in the event of an extended fuel supply disruption.</w:t>
            </w:r>
          </w:p>
          <w:p w14:paraId="3B5459C7" w14:textId="77777777" w:rsidR="002C5530" w:rsidRPr="00580CEF" w:rsidRDefault="002C5530" w:rsidP="00823356">
            <w:pPr>
              <w:pStyle w:val="ListParagraph"/>
              <w:spacing w:before="60" w:after="60"/>
              <w:ind w:left="459" w:firstLine="0"/>
              <w:rPr>
                <w:rFonts w:ascii="Arial" w:hAnsi="Arial" w:cs="Arial"/>
              </w:rPr>
            </w:pPr>
          </w:p>
          <w:p w14:paraId="18E38EDB" w14:textId="3BEDBAAD" w:rsidR="005000D5" w:rsidRPr="00580CEF" w:rsidRDefault="008F3743" w:rsidP="00132C4C">
            <w:pPr>
              <w:pStyle w:val="ListParagraph"/>
              <w:numPr>
                <w:ilvl w:val="0"/>
                <w:numId w:val="49"/>
              </w:numPr>
              <w:spacing w:before="60" w:after="60"/>
              <w:ind w:left="459"/>
              <w:rPr>
                <w:rFonts w:ascii="Arial" w:hAnsi="Arial" w:cs="Arial"/>
              </w:rPr>
            </w:pPr>
            <w:r w:rsidRPr="00580CEF">
              <w:rPr>
                <w:rFonts w:ascii="Arial" w:hAnsi="Arial" w:cs="Arial"/>
              </w:rPr>
              <w:t>Adding crude oil to the list of regulated fuels does not provide any additional security unless there is refining capacity in Australia. Refiners will be regulated as part of the MSO to hold finished products. To produce these products refiners need feedstocks.</w:t>
            </w:r>
            <w:r w:rsidRPr="00580CEF" w:rsidDel="002C5530">
              <w:rPr>
                <w:rFonts w:ascii="Arial" w:hAnsi="Arial" w:cs="Arial"/>
              </w:rPr>
              <w:t xml:space="preserve"> </w:t>
            </w:r>
            <w:r w:rsidRPr="00580CEF">
              <w:rPr>
                <w:rFonts w:ascii="Arial" w:hAnsi="Arial" w:cs="Arial"/>
              </w:rPr>
              <w:t xml:space="preserve">Regulating </w:t>
            </w:r>
            <w:r w:rsidR="00463674" w:rsidRPr="00580CEF">
              <w:rPr>
                <w:rFonts w:ascii="Arial" w:hAnsi="Arial" w:cs="Arial"/>
              </w:rPr>
              <w:t>crude oil as well is unnecessary.</w:t>
            </w:r>
          </w:p>
        </w:tc>
        <w:tc>
          <w:tcPr>
            <w:tcW w:w="3390" w:type="dxa"/>
          </w:tcPr>
          <w:p w14:paraId="4DD38C88" w14:textId="7E9832C7" w:rsidR="006A3694" w:rsidRDefault="006A3694" w:rsidP="006A3694">
            <w:pPr>
              <w:pStyle w:val="ListParagraph"/>
              <w:numPr>
                <w:ilvl w:val="0"/>
                <w:numId w:val="50"/>
              </w:numPr>
              <w:spacing w:before="60" w:after="60"/>
              <w:ind w:left="459"/>
              <w:rPr>
                <w:rFonts w:ascii="Arial" w:hAnsi="Arial" w:cs="Arial"/>
              </w:rPr>
            </w:pPr>
            <w:r w:rsidRPr="00580CEF">
              <w:rPr>
                <w:rFonts w:ascii="Arial" w:hAnsi="Arial" w:cs="Arial"/>
              </w:rPr>
              <w:t xml:space="preserve">Targets the key fuel to maintain </w:t>
            </w:r>
            <w:r w:rsidR="001F3CBD">
              <w:rPr>
                <w:rFonts w:ascii="Arial" w:hAnsi="Arial" w:cs="Arial"/>
              </w:rPr>
              <w:t>critical</w:t>
            </w:r>
            <w:r w:rsidR="001F3CBD" w:rsidRPr="00580CEF">
              <w:rPr>
                <w:rFonts w:ascii="Arial" w:hAnsi="Arial" w:cs="Arial"/>
              </w:rPr>
              <w:t xml:space="preserve"> </w:t>
            </w:r>
            <w:r w:rsidRPr="00580CEF">
              <w:rPr>
                <w:rFonts w:ascii="Arial" w:hAnsi="Arial" w:cs="Arial"/>
              </w:rPr>
              <w:t>services and supplies for an extended period of time – particularly diesel.</w:t>
            </w:r>
          </w:p>
          <w:p w14:paraId="6B6338BF" w14:textId="77777777" w:rsidR="002C5530" w:rsidRPr="00580CEF" w:rsidRDefault="002C5530" w:rsidP="00823356">
            <w:pPr>
              <w:pStyle w:val="ListParagraph"/>
              <w:spacing w:before="60" w:after="60"/>
              <w:ind w:left="459" w:firstLine="0"/>
              <w:rPr>
                <w:rFonts w:ascii="Arial" w:hAnsi="Arial" w:cs="Arial"/>
              </w:rPr>
            </w:pPr>
          </w:p>
          <w:p w14:paraId="6CEC157D" w14:textId="2159773E" w:rsidR="005000D5" w:rsidRPr="00580CEF" w:rsidRDefault="006A3694" w:rsidP="006A3694">
            <w:pPr>
              <w:pStyle w:val="ListParagraph"/>
              <w:numPr>
                <w:ilvl w:val="0"/>
                <w:numId w:val="50"/>
              </w:numPr>
              <w:spacing w:before="60" w:after="60"/>
              <w:ind w:left="459"/>
              <w:rPr>
                <w:rFonts w:ascii="Arial" w:hAnsi="Arial" w:cs="Arial"/>
              </w:rPr>
            </w:pPr>
            <w:r w:rsidRPr="00580CEF">
              <w:rPr>
                <w:rFonts w:ascii="Arial" w:hAnsi="Arial" w:cs="Arial"/>
              </w:rPr>
              <w:t>No additional benefit to option 1 but higher regulatory burden and compliance costs – hence lower net benefit.</w:t>
            </w:r>
          </w:p>
        </w:tc>
      </w:tr>
      <w:tr w:rsidR="005000D5" w:rsidRPr="004D47B9" w14:paraId="66A2D0E3" w14:textId="77777777" w:rsidTr="0061480B">
        <w:tc>
          <w:tcPr>
            <w:tcW w:w="2704" w:type="dxa"/>
          </w:tcPr>
          <w:p w14:paraId="52D6C2DD" w14:textId="59E16BB6" w:rsidR="005000D5" w:rsidRPr="00823356" w:rsidRDefault="005000D5" w:rsidP="007D1616">
            <w:pPr>
              <w:spacing w:before="60" w:after="60"/>
              <w:rPr>
                <w:rFonts w:cs="Arial"/>
                <w:b/>
              </w:rPr>
            </w:pPr>
            <w:r w:rsidRPr="00823356">
              <w:rPr>
                <w:rFonts w:cs="Arial"/>
                <w:b/>
              </w:rPr>
              <w:lastRenderedPageBreak/>
              <w:t>Geographic granularity of MSO</w:t>
            </w:r>
            <w:r w:rsidR="002C5530">
              <w:rPr>
                <w:rFonts w:cs="Arial"/>
                <w:b/>
              </w:rPr>
              <w:t>:</w:t>
            </w:r>
          </w:p>
          <w:p w14:paraId="0A66ADCC" w14:textId="44DC5347" w:rsidR="005000D5" w:rsidRDefault="005000D5" w:rsidP="0061480B">
            <w:pPr>
              <w:pStyle w:val="ListParagraph"/>
              <w:numPr>
                <w:ilvl w:val="0"/>
                <w:numId w:val="35"/>
              </w:numPr>
              <w:spacing w:before="60" w:after="60"/>
              <w:ind w:left="360"/>
              <w:rPr>
                <w:rFonts w:ascii="Arial" w:hAnsi="Arial" w:cs="Arial"/>
              </w:rPr>
            </w:pPr>
            <w:r w:rsidRPr="00580CEF">
              <w:rPr>
                <w:rFonts w:ascii="Arial" w:hAnsi="Arial" w:cs="Arial"/>
              </w:rPr>
              <w:t>National</w:t>
            </w:r>
          </w:p>
          <w:p w14:paraId="12EEFF42" w14:textId="77777777" w:rsidR="002C5530" w:rsidRPr="00580CEF" w:rsidRDefault="002C5530" w:rsidP="0061480B">
            <w:pPr>
              <w:pStyle w:val="ListParagraph"/>
              <w:spacing w:before="60" w:after="60"/>
              <w:ind w:left="360" w:firstLine="0"/>
              <w:rPr>
                <w:rFonts w:ascii="Arial" w:hAnsi="Arial" w:cs="Arial"/>
              </w:rPr>
            </w:pPr>
          </w:p>
          <w:p w14:paraId="66022733" w14:textId="380E4529" w:rsidR="005000D5" w:rsidRPr="00580CEF" w:rsidRDefault="005000D5" w:rsidP="0061480B">
            <w:pPr>
              <w:pStyle w:val="ListParagraph"/>
              <w:numPr>
                <w:ilvl w:val="0"/>
                <w:numId w:val="35"/>
              </w:numPr>
              <w:spacing w:before="60" w:after="60"/>
              <w:ind w:left="360"/>
              <w:rPr>
                <w:rFonts w:ascii="Arial" w:hAnsi="Arial" w:cs="Arial"/>
              </w:rPr>
            </w:pPr>
            <w:r w:rsidRPr="00580CEF">
              <w:rPr>
                <w:rFonts w:ascii="Arial" w:hAnsi="Arial" w:cs="Arial"/>
              </w:rPr>
              <w:t>Subnational</w:t>
            </w:r>
          </w:p>
        </w:tc>
        <w:tc>
          <w:tcPr>
            <w:tcW w:w="3612" w:type="dxa"/>
          </w:tcPr>
          <w:p w14:paraId="0F28F687" w14:textId="609A18A0" w:rsidR="002C5530" w:rsidRDefault="003011FA">
            <w:pPr>
              <w:pStyle w:val="ListParagraph"/>
              <w:numPr>
                <w:ilvl w:val="0"/>
                <w:numId w:val="51"/>
              </w:numPr>
              <w:spacing w:before="60" w:after="60"/>
              <w:ind w:left="411"/>
              <w:rPr>
                <w:rFonts w:ascii="Arial" w:hAnsi="Arial" w:cs="Arial"/>
              </w:rPr>
            </w:pPr>
            <w:r w:rsidRPr="00580CEF">
              <w:rPr>
                <w:rFonts w:ascii="Arial" w:hAnsi="Arial" w:cs="Arial"/>
              </w:rPr>
              <w:t>Lower cost, lower regulatory burden than option 2.</w:t>
            </w:r>
          </w:p>
          <w:p w14:paraId="7652C69B" w14:textId="77777777" w:rsidR="002C5530" w:rsidRPr="008D6DCB" w:rsidRDefault="002C5530" w:rsidP="00823356">
            <w:pPr>
              <w:spacing w:before="60" w:after="60"/>
              <w:rPr>
                <w:rFonts w:cs="Arial"/>
              </w:rPr>
            </w:pPr>
          </w:p>
          <w:p w14:paraId="7BA6B1C1" w14:textId="594AFAAD" w:rsidR="005000D5" w:rsidRPr="00580CEF" w:rsidRDefault="003011FA" w:rsidP="003011FA">
            <w:pPr>
              <w:pStyle w:val="ListParagraph"/>
              <w:numPr>
                <w:ilvl w:val="0"/>
                <w:numId w:val="51"/>
              </w:numPr>
              <w:spacing w:before="60" w:after="60"/>
              <w:ind w:left="411"/>
              <w:rPr>
                <w:rFonts w:ascii="Arial" w:hAnsi="Arial" w:cs="Arial"/>
              </w:rPr>
            </w:pPr>
            <w:r w:rsidRPr="00580CEF">
              <w:rPr>
                <w:rFonts w:ascii="Arial" w:hAnsi="Arial" w:cs="Arial"/>
              </w:rPr>
              <w:t>Higher cost and regulatory burden than option 1 due to greater prescriptiveness of this approach.</w:t>
            </w:r>
          </w:p>
        </w:tc>
        <w:tc>
          <w:tcPr>
            <w:tcW w:w="6029" w:type="dxa"/>
          </w:tcPr>
          <w:p w14:paraId="58DAAC3A" w14:textId="77777777" w:rsidR="009F10C2" w:rsidRDefault="009F10C2" w:rsidP="003011FA">
            <w:pPr>
              <w:pStyle w:val="ListParagraph"/>
              <w:numPr>
                <w:ilvl w:val="0"/>
                <w:numId w:val="52"/>
              </w:numPr>
              <w:spacing w:before="60" w:after="60"/>
              <w:ind w:left="459"/>
              <w:rPr>
                <w:rFonts w:ascii="Arial" w:hAnsi="Arial" w:cs="Arial"/>
              </w:rPr>
            </w:pPr>
            <w:r w:rsidRPr="00580CEF">
              <w:rPr>
                <w:rFonts w:ascii="Arial" w:hAnsi="Arial" w:cs="Arial"/>
              </w:rPr>
              <w:t>Allows regulated entities to acquit their fuel stockholding obligation anywhere in Australia.</w:t>
            </w:r>
          </w:p>
          <w:p w14:paraId="46936FC6" w14:textId="77777777" w:rsidR="002C5530" w:rsidRPr="008D6DCB" w:rsidRDefault="002C5530" w:rsidP="00823356">
            <w:pPr>
              <w:spacing w:before="60" w:after="60"/>
              <w:ind w:left="99"/>
              <w:rPr>
                <w:rFonts w:cs="Arial"/>
              </w:rPr>
            </w:pPr>
          </w:p>
          <w:p w14:paraId="44FE3E56" w14:textId="2FE1033D" w:rsidR="005000D5" w:rsidRPr="00580CEF" w:rsidRDefault="009F10C2">
            <w:pPr>
              <w:pStyle w:val="ListParagraph"/>
              <w:numPr>
                <w:ilvl w:val="0"/>
                <w:numId w:val="52"/>
              </w:numPr>
              <w:spacing w:before="60" w:after="60"/>
              <w:ind w:left="459"/>
              <w:rPr>
                <w:rFonts w:ascii="Arial" w:hAnsi="Arial" w:cs="Arial"/>
              </w:rPr>
            </w:pPr>
            <w:r w:rsidRPr="00580CEF">
              <w:rPr>
                <w:rFonts w:ascii="Arial" w:hAnsi="Arial" w:cs="Arial"/>
              </w:rPr>
              <w:t xml:space="preserve">Would require regulated entities to meet </w:t>
            </w:r>
            <w:r w:rsidR="00FD6151">
              <w:rPr>
                <w:rFonts w:ascii="Arial" w:hAnsi="Arial" w:cs="Arial"/>
              </w:rPr>
              <w:t>MSOs</w:t>
            </w:r>
            <w:r w:rsidRPr="00580CEF">
              <w:rPr>
                <w:rFonts w:ascii="Arial" w:hAnsi="Arial" w:cs="Arial"/>
              </w:rPr>
              <w:t xml:space="preserve"> in defined geographical regions e.g. state and territory level.</w:t>
            </w:r>
            <w:r w:rsidRPr="00580CEF" w:rsidDel="002C5530">
              <w:rPr>
                <w:rFonts w:ascii="Arial" w:hAnsi="Arial" w:cs="Arial"/>
              </w:rPr>
              <w:t xml:space="preserve"> </w:t>
            </w:r>
            <w:r w:rsidRPr="00580CEF">
              <w:rPr>
                <w:rFonts w:ascii="Arial" w:hAnsi="Arial" w:cs="Arial"/>
              </w:rPr>
              <w:t>This would potentially create a barrier to businesses expanding into new marketing areas or the entrance of new fuel supply businesses.</w:t>
            </w:r>
          </w:p>
        </w:tc>
        <w:tc>
          <w:tcPr>
            <w:tcW w:w="3390" w:type="dxa"/>
          </w:tcPr>
          <w:p w14:paraId="47A5B0B7" w14:textId="1C06D84B" w:rsidR="002B7477" w:rsidRDefault="004A7E0A" w:rsidP="004A7E0A">
            <w:pPr>
              <w:pStyle w:val="ListParagraph"/>
              <w:numPr>
                <w:ilvl w:val="0"/>
                <w:numId w:val="53"/>
              </w:numPr>
              <w:spacing w:before="60" w:after="60"/>
              <w:ind w:left="459"/>
              <w:rPr>
                <w:rFonts w:ascii="Arial" w:hAnsi="Arial" w:cs="Arial"/>
              </w:rPr>
            </w:pPr>
            <w:r w:rsidRPr="00580CEF">
              <w:rPr>
                <w:rFonts w:ascii="Arial" w:hAnsi="Arial" w:cs="Arial"/>
              </w:rPr>
              <w:t xml:space="preserve">This approach would enable entities to make commercially driven decisions to keep costs to a minimum or to augment </w:t>
            </w:r>
            <w:r w:rsidR="002B7477" w:rsidRPr="00580CEF">
              <w:rPr>
                <w:rFonts w:ascii="Arial" w:hAnsi="Arial" w:cs="Arial"/>
              </w:rPr>
              <w:t>their own supply chains as may be beneficial to their operations.</w:t>
            </w:r>
            <w:r w:rsidR="000A45D8" w:rsidRPr="00580CEF" w:rsidDel="002C5530">
              <w:rPr>
                <w:rFonts w:ascii="Arial" w:hAnsi="Arial" w:cs="Arial"/>
              </w:rPr>
              <w:t xml:space="preserve"> </w:t>
            </w:r>
            <w:r w:rsidR="000A45D8" w:rsidRPr="00580CEF">
              <w:rPr>
                <w:rFonts w:ascii="Arial" w:hAnsi="Arial" w:cs="Arial"/>
              </w:rPr>
              <w:t>Allows potential economies of scale to be captured</w:t>
            </w:r>
            <w:r w:rsidR="002C5530">
              <w:rPr>
                <w:rFonts w:ascii="Arial" w:hAnsi="Arial" w:cs="Arial"/>
              </w:rPr>
              <w:t>, and r</w:t>
            </w:r>
            <w:r w:rsidR="000A45D8" w:rsidRPr="00580CEF">
              <w:rPr>
                <w:rFonts w:ascii="Arial" w:hAnsi="Arial" w:cs="Arial"/>
              </w:rPr>
              <w:t>educes the risk of barriers to entry and reduced competition.</w:t>
            </w:r>
          </w:p>
          <w:p w14:paraId="2EB003CA" w14:textId="77777777" w:rsidR="002C5530" w:rsidRPr="00580CEF" w:rsidRDefault="002C5530" w:rsidP="00823356">
            <w:pPr>
              <w:pStyle w:val="ListParagraph"/>
              <w:spacing w:before="60" w:after="60"/>
              <w:ind w:left="459" w:firstLine="0"/>
              <w:rPr>
                <w:rFonts w:ascii="Arial" w:hAnsi="Arial" w:cs="Arial"/>
              </w:rPr>
            </w:pPr>
          </w:p>
          <w:p w14:paraId="1143E20C" w14:textId="77777777" w:rsidR="005000D5" w:rsidRDefault="00E21D64" w:rsidP="00D27B2A">
            <w:pPr>
              <w:pStyle w:val="ListParagraph"/>
              <w:numPr>
                <w:ilvl w:val="0"/>
                <w:numId w:val="53"/>
              </w:numPr>
              <w:spacing w:before="60" w:after="60"/>
              <w:ind w:left="459"/>
              <w:rPr>
                <w:rFonts w:ascii="Arial" w:hAnsi="Arial" w:cs="Arial"/>
              </w:rPr>
            </w:pPr>
            <w:r w:rsidRPr="00580CEF">
              <w:rPr>
                <w:rFonts w:ascii="Arial" w:hAnsi="Arial" w:cs="Arial"/>
              </w:rPr>
              <w:t>A subnational approach could see standardisation of stock levels in each defined region leading to theoretically equal fuel security distribution</w:t>
            </w:r>
            <w:r w:rsidR="002D33AF" w:rsidRPr="00580CEF">
              <w:rPr>
                <w:rFonts w:ascii="Arial" w:hAnsi="Arial" w:cs="Arial"/>
              </w:rPr>
              <w:t xml:space="preserve"> across the country.</w:t>
            </w:r>
          </w:p>
          <w:p w14:paraId="68AA4195" w14:textId="408EEA09" w:rsidR="002C5530" w:rsidRPr="00823356" w:rsidRDefault="002C5530" w:rsidP="0061480B">
            <w:pPr>
              <w:pStyle w:val="ListParagraph"/>
              <w:spacing w:before="60" w:after="60"/>
              <w:rPr>
                <w:rFonts w:ascii="Arial" w:hAnsi="Arial" w:cs="Arial"/>
              </w:rPr>
            </w:pPr>
          </w:p>
        </w:tc>
      </w:tr>
      <w:tr w:rsidR="005000D5" w:rsidRPr="004D47B9" w14:paraId="7E912EB7" w14:textId="77777777" w:rsidTr="0061480B">
        <w:tc>
          <w:tcPr>
            <w:tcW w:w="2704" w:type="dxa"/>
          </w:tcPr>
          <w:p w14:paraId="16801116" w14:textId="21E575D2" w:rsidR="005000D5" w:rsidRPr="00823356" w:rsidRDefault="005000D5" w:rsidP="007D1616">
            <w:pPr>
              <w:spacing w:before="60" w:after="60"/>
              <w:rPr>
                <w:rFonts w:cs="Arial"/>
                <w:b/>
              </w:rPr>
            </w:pPr>
            <w:r w:rsidRPr="00823356">
              <w:rPr>
                <w:rFonts w:cs="Arial"/>
                <w:b/>
              </w:rPr>
              <w:t>Point in value chain to be regulated</w:t>
            </w:r>
            <w:r w:rsidR="002C5530">
              <w:rPr>
                <w:rFonts w:cs="Arial"/>
                <w:b/>
              </w:rPr>
              <w:t>:</w:t>
            </w:r>
          </w:p>
          <w:p w14:paraId="7DB248F9" w14:textId="77777777" w:rsidR="005000D5" w:rsidRDefault="005000D5" w:rsidP="00B86109">
            <w:pPr>
              <w:pStyle w:val="ListParagraph"/>
              <w:numPr>
                <w:ilvl w:val="0"/>
                <w:numId w:val="36"/>
              </w:numPr>
              <w:spacing w:before="60" w:after="60"/>
              <w:rPr>
                <w:rFonts w:ascii="Arial" w:hAnsi="Arial" w:cs="Arial"/>
              </w:rPr>
            </w:pPr>
            <w:r w:rsidRPr="00580CEF">
              <w:rPr>
                <w:rFonts w:ascii="Arial" w:hAnsi="Arial" w:cs="Arial"/>
              </w:rPr>
              <w:t>Refiner and Importer</w:t>
            </w:r>
          </w:p>
          <w:p w14:paraId="3B7619A4" w14:textId="77777777" w:rsidR="002C5530" w:rsidRPr="00580CEF" w:rsidRDefault="002C5530" w:rsidP="00823356">
            <w:pPr>
              <w:pStyle w:val="ListParagraph"/>
              <w:spacing w:before="60" w:after="60"/>
              <w:ind w:left="720" w:firstLine="0"/>
              <w:rPr>
                <w:rFonts w:ascii="Arial" w:hAnsi="Arial" w:cs="Arial"/>
              </w:rPr>
            </w:pPr>
          </w:p>
          <w:p w14:paraId="796D5FCC" w14:textId="77777777" w:rsidR="005000D5" w:rsidRDefault="005000D5" w:rsidP="00B86109">
            <w:pPr>
              <w:pStyle w:val="ListParagraph"/>
              <w:numPr>
                <w:ilvl w:val="0"/>
                <w:numId w:val="36"/>
              </w:numPr>
              <w:spacing w:before="60" w:after="60"/>
              <w:rPr>
                <w:rFonts w:ascii="Arial" w:hAnsi="Arial" w:cs="Arial"/>
              </w:rPr>
            </w:pPr>
            <w:r w:rsidRPr="00580CEF">
              <w:rPr>
                <w:rFonts w:ascii="Arial" w:hAnsi="Arial" w:cs="Arial"/>
              </w:rPr>
              <w:t>Wholesaler</w:t>
            </w:r>
          </w:p>
          <w:p w14:paraId="312A2072" w14:textId="519F5E2C" w:rsidR="002C5530" w:rsidRPr="00823356" w:rsidRDefault="002C5530" w:rsidP="0061480B">
            <w:pPr>
              <w:pStyle w:val="ListParagraph"/>
              <w:spacing w:before="60" w:after="60"/>
              <w:rPr>
                <w:rFonts w:ascii="Arial" w:hAnsi="Arial" w:cs="Arial"/>
              </w:rPr>
            </w:pPr>
          </w:p>
          <w:p w14:paraId="792934D3" w14:textId="41E13C6A" w:rsidR="005000D5" w:rsidRPr="00580CEF" w:rsidRDefault="005000D5" w:rsidP="00B86109">
            <w:pPr>
              <w:pStyle w:val="ListParagraph"/>
              <w:numPr>
                <w:ilvl w:val="0"/>
                <w:numId w:val="36"/>
              </w:numPr>
              <w:spacing w:before="60" w:after="60"/>
              <w:rPr>
                <w:rFonts w:ascii="Arial" w:hAnsi="Arial" w:cs="Arial"/>
              </w:rPr>
            </w:pPr>
            <w:r w:rsidRPr="00580CEF">
              <w:rPr>
                <w:rFonts w:ascii="Arial" w:hAnsi="Arial" w:cs="Arial"/>
              </w:rPr>
              <w:t>Retailer</w:t>
            </w:r>
          </w:p>
        </w:tc>
        <w:tc>
          <w:tcPr>
            <w:tcW w:w="3612" w:type="dxa"/>
          </w:tcPr>
          <w:p w14:paraId="225A5445" w14:textId="26D7768B" w:rsidR="005000D5" w:rsidRDefault="00766297" w:rsidP="00511B60">
            <w:pPr>
              <w:pStyle w:val="ListParagraph"/>
              <w:numPr>
                <w:ilvl w:val="0"/>
                <w:numId w:val="54"/>
              </w:numPr>
              <w:spacing w:before="60" w:after="60"/>
              <w:ind w:left="411"/>
              <w:rPr>
                <w:rFonts w:ascii="Arial" w:hAnsi="Arial" w:cs="Arial"/>
              </w:rPr>
            </w:pPr>
            <w:r w:rsidRPr="00580CEF">
              <w:rPr>
                <w:rFonts w:ascii="Arial" w:hAnsi="Arial" w:cs="Arial"/>
              </w:rPr>
              <w:t xml:space="preserve">Costs </w:t>
            </w:r>
            <w:r w:rsidR="00727C43" w:rsidRPr="00580CEF">
              <w:rPr>
                <w:rFonts w:ascii="Arial" w:hAnsi="Arial" w:cs="Arial"/>
              </w:rPr>
              <w:t>would be</w:t>
            </w:r>
            <w:r w:rsidRPr="00580CEF">
              <w:rPr>
                <w:rFonts w:ascii="Arial" w:hAnsi="Arial" w:cs="Arial"/>
              </w:rPr>
              <w:t xml:space="preserve"> incurred by the largest businesses in the fuel supply chain and those with the greatest storage capacity owned or leased.</w:t>
            </w:r>
            <w:r w:rsidR="00727C43" w:rsidRPr="00580CEF">
              <w:rPr>
                <w:rFonts w:ascii="Arial" w:hAnsi="Arial" w:cs="Arial"/>
              </w:rPr>
              <w:t xml:space="preserve"> </w:t>
            </w:r>
          </w:p>
          <w:p w14:paraId="7F45D758" w14:textId="77777777" w:rsidR="002C5530" w:rsidRPr="00580CEF" w:rsidRDefault="002C5530" w:rsidP="00823356">
            <w:pPr>
              <w:pStyle w:val="ListParagraph"/>
              <w:spacing w:before="60" w:after="60"/>
              <w:ind w:left="411" w:firstLine="0"/>
              <w:rPr>
                <w:rFonts w:ascii="Arial" w:hAnsi="Arial" w:cs="Arial"/>
              </w:rPr>
            </w:pPr>
          </w:p>
          <w:p w14:paraId="630DFAB5" w14:textId="3AA52C99" w:rsidR="00E87E58" w:rsidRDefault="00E87E58" w:rsidP="00E87E58">
            <w:pPr>
              <w:pStyle w:val="ListParagraph"/>
              <w:numPr>
                <w:ilvl w:val="0"/>
                <w:numId w:val="54"/>
              </w:numPr>
              <w:spacing w:before="60" w:after="60"/>
              <w:ind w:left="411"/>
              <w:rPr>
                <w:rFonts w:ascii="Arial" w:hAnsi="Arial" w:cs="Arial"/>
              </w:rPr>
            </w:pPr>
            <w:r w:rsidRPr="00580CEF">
              <w:rPr>
                <w:rFonts w:ascii="Arial" w:hAnsi="Arial" w:cs="Arial"/>
              </w:rPr>
              <w:t xml:space="preserve">MSO regulation would lie </w:t>
            </w:r>
            <w:r w:rsidR="00535C80" w:rsidRPr="00580CEF">
              <w:rPr>
                <w:rFonts w:ascii="Arial" w:hAnsi="Arial" w:cs="Arial"/>
              </w:rPr>
              <w:t>on one side of</w:t>
            </w:r>
            <w:r w:rsidRPr="00580CEF">
              <w:rPr>
                <w:rFonts w:ascii="Arial" w:hAnsi="Arial" w:cs="Arial"/>
              </w:rPr>
              <w:t xml:space="preserve"> the point of fuel excise being payable. Depending on whether the obligation lies before or </w:t>
            </w:r>
            <w:r w:rsidR="00535C80" w:rsidRPr="00580CEF">
              <w:rPr>
                <w:rFonts w:ascii="Arial" w:hAnsi="Arial" w:cs="Arial"/>
              </w:rPr>
              <w:t>after</w:t>
            </w:r>
            <w:r w:rsidRPr="00580CEF">
              <w:rPr>
                <w:rFonts w:ascii="Arial" w:hAnsi="Arial" w:cs="Arial"/>
              </w:rPr>
              <w:t xml:space="preserve"> the point of excise will impact the number </w:t>
            </w:r>
            <w:r w:rsidR="00370E79" w:rsidRPr="00580CEF">
              <w:rPr>
                <w:rFonts w:ascii="Arial" w:hAnsi="Arial" w:cs="Arial"/>
              </w:rPr>
              <w:t>a</w:t>
            </w:r>
            <w:r w:rsidRPr="00580CEF">
              <w:rPr>
                <w:rFonts w:ascii="Arial" w:hAnsi="Arial" w:cs="Arial"/>
              </w:rPr>
              <w:t xml:space="preserve">nd size of the entities regulated. If </w:t>
            </w:r>
            <w:r w:rsidR="00AF5528">
              <w:rPr>
                <w:rFonts w:ascii="Arial" w:hAnsi="Arial" w:cs="Arial"/>
              </w:rPr>
              <w:t>there are</w:t>
            </w:r>
            <w:r w:rsidRPr="00580CEF">
              <w:rPr>
                <w:rFonts w:ascii="Arial" w:hAnsi="Arial" w:cs="Arial"/>
              </w:rPr>
              <w:t xml:space="preserve"> a large number of regulated entities then economies of scale may not be achieved and higher </w:t>
            </w:r>
            <w:r w:rsidRPr="00580CEF">
              <w:rPr>
                <w:rFonts w:ascii="Arial" w:hAnsi="Arial" w:cs="Arial"/>
              </w:rPr>
              <w:lastRenderedPageBreak/>
              <w:t xml:space="preserve">compliance costs </w:t>
            </w:r>
            <w:r w:rsidR="00AF5528">
              <w:rPr>
                <w:rFonts w:ascii="Arial" w:hAnsi="Arial" w:cs="Arial"/>
              </w:rPr>
              <w:t xml:space="preserve">may be </w:t>
            </w:r>
            <w:r w:rsidRPr="00580CEF">
              <w:rPr>
                <w:rFonts w:ascii="Arial" w:hAnsi="Arial" w:cs="Arial"/>
              </w:rPr>
              <w:t xml:space="preserve">incurred than </w:t>
            </w:r>
            <w:r w:rsidR="00AF5528">
              <w:rPr>
                <w:rFonts w:ascii="Arial" w:hAnsi="Arial" w:cs="Arial"/>
              </w:rPr>
              <w:t xml:space="preserve">under </w:t>
            </w:r>
            <w:r w:rsidRPr="00580CEF">
              <w:rPr>
                <w:rFonts w:ascii="Arial" w:hAnsi="Arial" w:cs="Arial"/>
              </w:rPr>
              <w:t>option 1.</w:t>
            </w:r>
          </w:p>
          <w:p w14:paraId="43DF0727" w14:textId="49EBA14E" w:rsidR="002C5530" w:rsidRPr="00823356" w:rsidRDefault="002C5530" w:rsidP="0061480B">
            <w:pPr>
              <w:pStyle w:val="ListParagraph"/>
              <w:spacing w:before="60" w:after="60"/>
              <w:rPr>
                <w:rFonts w:ascii="Arial" w:hAnsi="Arial" w:cs="Arial"/>
              </w:rPr>
            </w:pPr>
          </w:p>
          <w:p w14:paraId="3CDC7811" w14:textId="18EB8B3C" w:rsidR="005000D5" w:rsidRPr="00580CEF" w:rsidRDefault="00E87E58" w:rsidP="00E87E58">
            <w:pPr>
              <w:pStyle w:val="ListParagraph"/>
              <w:numPr>
                <w:ilvl w:val="0"/>
                <w:numId w:val="54"/>
              </w:numPr>
              <w:spacing w:before="60" w:after="60"/>
              <w:ind w:left="411"/>
              <w:rPr>
                <w:rFonts w:ascii="Arial" w:hAnsi="Arial" w:cs="Arial"/>
              </w:rPr>
            </w:pPr>
            <w:r w:rsidRPr="00580CEF">
              <w:rPr>
                <w:rFonts w:ascii="Arial" w:hAnsi="Arial" w:cs="Arial"/>
              </w:rPr>
              <w:t>Large number of retailers ranging from large chains to individual independent retail sites. These are generally high turnover low storage businesses relying on frequent deliveries</w:t>
            </w:r>
            <w:r w:rsidR="00AF5528">
              <w:rPr>
                <w:rFonts w:ascii="Arial" w:hAnsi="Arial" w:cs="Arial"/>
              </w:rPr>
              <w:t xml:space="preserve">, and </w:t>
            </w:r>
            <w:r w:rsidRPr="00580CEF">
              <w:rPr>
                <w:rFonts w:ascii="Arial" w:hAnsi="Arial" w:cs="Arial"/>
              </w:rPr>
              <w:t>not bulk storage</w:t>
            </w:r>
            <w:r w:rsidR="00AF5528">
              <w:rPr>
                <w:rFonts w:ascii="Arial" w:hAnsi="Arial" w:cs="Arial"/>
              </w:rPr>
              <w:t>,</w:t>
            </w:r>
            <w:r w:rsidRPr="00580CEF">
              <w:rPr>
                <w:rFonts w:ascii="Arial" w:hAnsi="Arial" w:cs="Arial"/>
              </w:rPr>
              <w:t xml:space="preserve"> to meet demand.  Potentially very high cost to comply, particularly for small businesses.</w:t>
            </w:r>
          </w:p>
        </w:tc>
        <w:tc>
          <w:tcPr>
            <w:tcW w:w="6029" w:type="dxa"/>
          </w:tcPr>
          <w:p w14:paraId="16293F47" w14:textId="1F4941F5" w:rsidR="005000D5" w:rsidRDefault="008A4FF9" w:rsidP="00766297">
            <w:pPr>
              <w:pStyle w:val="ListParagraph"/>
              <w:numPr>
                <w:ilvl w:val="0"/>
                <w:numId w:val="55"/>
              </w:numPr>
              <w:spacing w:before="60" w:after="60"/>
              <w:ind w:left="459"/>
              <w:rPr>
                <w:rFonts w:ascii="Arial" w:hAnsi="Arial" w:cs="Arial"/>
              </w:rPr>
            </w:pPr>
            <w:r w:rsidRPr="00580CEF">
              <w:rPr>
                <w:rFonts w:ascii="Arial" w:hAnsi="Arial" w:cs="Arial"/>
              </w:rPr>
              <w:lastRenderedPageBreak/>
              <w:t xml:space="preserve">These businesses </w:t>
            </w:r>
            <w:r w:rsidR="00727C43" w:rsidRPr="00580CEF">
              <w:rPr>
                <w:rFonts w:ascii="Arial" w:hAnsi="Arial" w:cs="Arial"/>
              </w:rPr>
              <w:t>represent</w:t>
            </w:r>
            <w:r w:rsidRPr="00580CEF">
              <w:rPr>
                <w:rFonts w:ascii="Arial" w:hAnsi="Arial" w:cs="Arial"/>
              </w:rPr>
              <w:t xml:space="preserve"> the </w:t>
            </w:r>
            <w:r w:rsidR="00727C43" w:rsidRPr="00580CEF">
              <w:rPr>
                <w:rFonts w:ascii="Arial" w:hAnsi="Arial" w:cs="Arial"/>
              </w:rPr>
              <w:t>entry</w:t>
            </w:r>
            <w:r w:rsidRPr="00580CEF">
              <w:rPr>
                <w:rFonts w:ascii="Arial" w:hAnsi="Arial" w:cs="Arial"/>
              </w:rPr>
              <w:t xml:space="preserve"> point for the supply of fuel in</w:t>
            </w:r>
            <w:r w:rsidR="002C5530">
              <w:rPr>
                <w:rFonts w:ascii="Arial" w:hAnsi="Arial" w:cs="Arial"/>
              </w:rPr>
              <w:t>to</w:t>
            </w:r>
            <w:r w:rsidRPr="00580CEF">
              <w:rPr>
                <w:rFonts w:ascii="Arial" w:hAnsi="Arial" w:cs="Arial"/>
              </w:rPr>
              <w:t xml:space="preserve"> Australia.</w:t>
            </w:r>
            <w:r w:rsidRPr="00580CEF" w:rsidDel="002C5530">
              <w:rPr>
                <w:rFonts w:ascii="Arial" w:hAnsi="Arial" w:cs="Arial"/>
              </w:rPr>
              <w:t xml:space="preserve"> </w:t>
            </w:r>
            <w:r w:rsidRPr="00580CEF">
              <w:rPr>
                <w:rFonts w:ascii="Arial" w:hAnsi="Arial" w:cs="Arial"/>
              </w:rPr>
              <w:t>This ensures that all fuel supplied to the market is accounted for (without double counting</w:t>
            </w:r>
            <w:r w:rsidR="00727C43" w:rsidRPr="00580CEF">
              <w:rPr>
                <w:rFonts w:ascii="Arial" w:hAnsi="Arial" w:cs="Arial"/>
              </w:rPr>
              <w:t xml:space="preserve"> input</w:t>
            </w:r>
            <w:r w:rsidRPr="00580CEF">
              <w:rPr>
                <w:rFonts w:ascii="Arial" w:hAnsi="Arial" w:cs="Arial"/>
              </w:rPr>
              <w:t>) and with the least number of regulated (directly impacted) entities.</w:t>
            </w:r>
          </w:p>
          <w:p w14:paraId="7340741B" w14:textId="77777777" w:rsidR="002C5530" w:rsidRPr="00580CEF" w:rsidRDefault="002C5530" w:rsidP="00823356">
            <w:pPr>
              <w:pStyle w:val="ListParagraph"/>
              <w:spacing w:before="60" w:after="60"/>
              <w:ind w:left="459" w:firstLine="0"/>
              <w:rPr>
                <w:rFonts w:ascii="Arial" w:hAnsi="Arial" w:cs="Arial"/>
              </w:rPr>
            </w:pPr>
          </w:p>
          <w:p w14:paraId="5C808BA5" w14:textId="3C5DCCD2" w:rsidR="00AD5B48" w:rsidRDefault="00727C43" w:rsidP="00727C43">
            <w:pPr>
              <w:pStyle w:val="ListParagraph"/>
              <w:numPr>
                <w:ilvl w:val="0"/>
                <w:numId w:val="55"/>
              </w:numPr>
              <w:spacing w:before="60" w:after="60"/>
              <w:ind w:left="459"/>
              <w:rPr>
                <w:rFonts w:ascii="Arial" w:hAnsi="Arial" w:cs="Arial"/>
              </w:rPr>
            </w:pPr>
            <w:r w:rsidRPr="00580CEF">
              <w:rPr>
                <w:rFonts w:ascii="Arial" w:hAnsi="Arial" w:cs="Arial"/>
              </w:rPr>
              <w:t xml:space="preserve">The point of excise represents a single point in the supply of excisable and excise equivalent fuels into the market which is different to that in option 1. This would again avoid double counting of throughput of fuel in the system to ensure the MSO reflects </w:t>
            </w:r>
            <w:r w:rsidR="003609EF" w:rsidRPr="00580CEF">
              <w:rPr>
                <w:rFonts w:ascii="Arial" w:hAnsi="Arial" w:cs="Arial"/>
              </w:rPr>
              <w:t xml:space="preserve">a level of fuel security relative to </w:t>
            </w:r>
            <w:r w:rsidRPr="00580CEF">
              <w:rPr>
                <w:rFonts w:ascii="Arial" w:hAnsi="Arial" w:cs="Arial"/>
              </w:rPr>
              <w:t>demand.</w:t>
            </w:r>
            <w:r w:rsidR="003609EF" w:rsidRPr="00580CEF">
              <w:rPr>
                <w:rFonts w:ascii="Arial" w:hAnsi="Arial" w:cs="Arial"/>
              </w:rPr>
              <w:t xml:space="preserve"> A potentially larger number of regulated entities (compared to option 1) fall in</w:t>
            </w:r>
            <w:r w:rsidR="00AF5528">
              <w:rPr>
                <w:rFonts w:ascii="Arial" w:hAnsi="Arial" w:cs="Arial"/>
              </w:rPr>
              <w:t>to</w:t>
            </w:r>
            <w:r w:rsidR="003609EF" w:rsidRPr="00580CEF">
              <w:rPr>
                <w:rFonts w:ascii="Arial" w:hAnsi="Arial" w:cs="Arial"/>
              </w:rPr>
              <w:t xml:space="preserve"> this category. Some of these may be smaller distribution companies which have limited storage and stocks and could face the need to significantly increase their stocks and storage. There is potential to negatively </w:t>
            </w:r>
            <w:r w:rsidR="003609EF" w:rsidRPr="00580CEF">
              <w:rPr>
                <w:rFonts w:ascii="Arial" w:hAnsi="Arial" w:cs="Arial"/>
              </w:rPr>
              <w:lastRenderedPageBreak/>
              <w:t>impact these smaller entities to the point where they could be forced out of the market – reducing competition.</w:t>
            </w:r>
          </w:p>
          <w:p w14:paraId="1032F917" w14:textId="26AC63EC" w:rsidR="002C5530" w:rsidRPr="00823356" w:rsidRDefault="002C5530" w:rsidP="0061480B">
            <w:pPr>
              <w:pStyle w:val="ListParagraph"/>
              <w:spacing w:before="60" w:after="60"/>
              <w:rPr>
                <w:rFonts w:ascii="Arial" w:hAnsi="Arial" w:cs="Arial"/>
              </w:rPr>
            </w:pPr>
          </w:p>
          <w:p w14:paraId="1645C091" w14:textId="04B0C3B0" w:rsidR="003C790F" w:rsidRPr="00580CEF" w:rsidRDefault="00115E33" w:rsidP="00727C43">
            <w:pPr>
              <w:pStyle w:val="ListParagraph"/>
              <w:numPr>
                <w:ilvl w:val="0"/>
                <w:numId w:val="55"/>
              </w:numPr>
              <w:spacing w:before="60" w:after="60"/>
              <w:ind w:left="459"/>
              <w:rPr>
                <w:rFonts w:ascii="Arial" w:hAnsi="Arial" w:cs="Arial"/>
              </w:rPr>
            </w:pPr>
            <w:r w:rsidRPr="00580CEF">
              <w:rPr>
                <w:rFonts w:ascii="Arial" w:hAnsi="Arial" w:cs="Arial"/>
              </w:rPr>
              <w:t>Other than the major fuel companies who are vertically integrated, the impacts of a</w:t>
            </w:r>
            <w:r w:rsidR="00AF5528">
              <w:rPr>
                <w:rFonts w:ascii="Arial" w:hAnsi="Arial" w:cs="Arial"/>
              </w:rPr>
              <w:t>n</w:t>
            </w:r>
            <w:r w:rsidRPr="00580CEF">
              <w:rPr>
                <w:rFonts w:ascii="Arial" w:hAnsi="Arial" w:cs="Arial"/>
              </w:rPr>
              <w:t xml:space="preserve"> MSO on retailers would be significant in terms of costs and in terms of stock management operations. The retail segment of the market do</w:t>
            </w:r>
            <w:r w:rsidR="00AF5528">
              <w:rPr>
                <w:rFonts w:ascii="Arial" w:hAnsi="Arial" w:cs="Arial"/>
              </w:rPr>
              <w:t>es</w:t>
            </w:r>
            <w:r w:rsidRPr="00580CEF">
              <w:rPr>
                <w:rFonts w:ascii="Arial" w:hAnsi="Arial" w:cs="Arial"/>
              </w:rPr>
              <w:t xml:space="preserve"> not hold bulk stocks or have access to storage to build stocks to the levels expected </w:t>
            </w:r>
            <w:r w:rsidR="00AF5528">
              <w:rPr>
                <w:rFonts w:ascii="Arial" w:hAnsi="Arial" w:cs="Arial"/>
              </w:rPr>
              <w:t>under</w:t>
            </w:r>
            <w:r w:rsidR="00AF5528" w:rsidRPr="00580CEF">
              <w:rPr>
                <w:rFonts w:ascii="Arial" w:hAnsi="Arial" w:cs="Arial"/>
              </w:rPr>
              <w:t xml:space="preserve"> </w:t>
            </w:r>
            <w:r w:rsidRPr="00580CEF">
              <w:rPr>
                <w:rFonts w:ascii="Arial" w:hAnsi="Arial" w:cs="Arial"/>
              </w:rPr>
              <w:t>the MSO.</w:t>
            </w:r>
          </w:p>
          <w:p w14:paraId="53915683" w14:textId="77777777" w:rsidR="003C790F" w:rsidRPr="00580CEF" w:rsidRDefault="003C790F" w:rsidP="003C790F">
            <w:pPr>
              <w:spacing w:before="60" w:after="60"/>
              <w:rPr>
                <w:rFonts w:cs="Arial"/>
              </w:rPr>
            </w:pPr>
          </w:p>
          <w:p w14:paraId="21158202" w14:textId="5C3F9775" w:rsidR="005000D5" w:rsidRDefault="003C790F" w:rsidP="003C790F">
            <w:pPr>
              <w:spacing w:before="60" w:after="60"/>
              <w:rPr>
                <w:rFonts w:cs="Arial"/>
              </w:rPr>
            </w:pPr>
            <w:r w:rsidRPr="00580CEF">
              <w:rPr>
                <w:rFonts w:cs="Arial"/>
              </w:rPr>
              <w:t xml:space="preserve">NOTE:  A number of businesses operate in all these market segments. </w:t>
            </w:r>
            <w:r w:rsidR="00AF5528">
              <w:rPr>
                <w:rFonts w:cs="Arial"/>
              </w:rPr>
              <w:t>Under</w:t>
            </w:r>
            <w:r w:rsidRPr="00580CEF">
              <w:rPr>
                <w:rFonts w:cs="Arial"/>
              </w:rPr>
              <w:t xml:space="preserve"> a national obligation applied at the company level, a large company that is vertically integrated could hold stocks in any part of their supply chain against the obligation regardless of the </w:t>
            </w:r>
            <w:r w:rsidR="00B8716A" w:rsidRPr="00580CEF">
              <w:rPr>
                <w:rFonts w:cs="Arial"/>
              </w:rPr>
              <w:t xml:space="preserve">specific </w:t>
            </w:r>
            <w:r w:rsidRPr="00580CEF">
              <w:rPr>
                <w:rFonts w:cs="Arial"/>
              </w:rPr>
              <w:t>segment regulated.</w:t>
            </w:r>
          </w:p>
          <w:p w14:paraId="70F6EFED" w14:textId="2C4752F9" w:rsidR="002C5530" w:rsidRPr="00580CEF" w:rsidRDefault="002C5530" w:rsidP="003C790F">
            <w:pPr>
              <w:spacing w:before="60" w:after="60"/>
              <w:rPr>
                <w:rFonts w:cs="Arial"/>
              </w:rPr>
            </w:pPr>
          </w:p>
        </w:tc>
        <w:tc>
          <w:tcPr>
            <w:tcW w:w="3390" w:type="dxa"/>
          </w:tcPr>
          <w:p w14:paraId="15B5A115" w14:textId="77777777" w:rsidR="005000D5" w:rsidRDefault="00E87E58" w:rsidP="00E87E58">
            <w:pPr>
              <w:pStyle w:val="ListParagraph"/>
              <w:numPr>
                <w:ilvl w:val="0"/>
                <w:numId w:val="56"/>
              </w:numPr>
              <w:spacing w:before="60" w:after="60"/>
              <w:ind w:left="459"/>
              <w:rPr>
                <w:rFonts w:ascii="Arial" w:hAnsi="Arial" w:cs="Arial"/>
              </w:rPr>
            </w:pPr>
            <w:r w:rsidRPr="00580CEF">
              <w:rPr>
                <w:rFonts w:ascii="Arial" w:hAnsi="Arial" w:cs="Arial"/>
              </w:rPr>
              <w:lastRenderedPageBreak/>
              <w:t xml:space="preserve">Least number of regulated entities who are the largest owners of stocks and storage in the Australian fuel market.  Core business relies on </w:t>
            </w:r>
            <w:r w:rsidR="00367322" w:rsidRPr="00580CEF">
              <w:rPr>
                <w:rFonts w:ascii="Arial" w:hAnsi="Arial" w:cs="Arial"/>
              </w:rPr>
              <w:t xml:space="preserve">bulk </w:t>
            </w:r>
            <w:r w:rsidRPr="00580CEF">
              <w:rPr>
                <w:rFonts w:ascii="Arial" w:hAnsi="Arial" w:cs="Arial"/>
              </w:rPr>
              <w:t>stock and storage management.</w:t>
            </w:r>
          </w:p>
          <w:p w14:paraId="11419402" w14:textId="77777777" w:rsidR="002C5530" w:rsidRPr="00580CEF" w:rsidRDefault="002C5530" w:rsidP="00823356">
            <w:pPr>
              <w:pStyle w:val="ListParagraph"/>
              <w:spacing w:before="60" w:after="60"/>
              <w:ind w:left="459" w:firstLine="0"/>
              <w:rPr>
                <w:rFonts w:ascii="Arial" w:hAnsi="Arial" w:cs="Arial"/>
              </w:rPr>
            </w:pPr>
          </w:p>
          <w:p w14:paraId="78B75F1F" w14:textId="55F702B9" w:rsidR="002D5640" w:rsidRDefault="002D5640" w:rsidP="002D5640">
            <w:pPr>
              <w:pStyle w:val="ListParagraph"/>
              <w:numPr>
                <w:ilvl w:val="0"/>
                <w:numId w:val="56"/>
              </w:numPr>
              <w:spacing w:before="60" w:after="60"/>
              <w:ind w:left="459"/>
              <w:rPr>
                <w:rFonts w:ascii="Arial" w:hAnsi="Arial" w:cs="Arial"/>
              </w:rPr>
            </w:pPr>
            <w:r w:rsidRPr="00580CEF">
              <w:rPr>
                <w:rFonts w:ascii="Arial" w:hAnsi="Arial" w:cs="Arial"/>
              </w:rPr>
              <w:t>The main benefit of this approach is that excise is a single point in the supply chain against which the MSO could be anchored</w:t>
            </w:r>
            <w:r w:rsidR="00B2311C" w:rsidRPr="00580CEF">
              <w:rPr>
                <w:rFonts w:ascii="Arial" w:hAnsi="Arial" w:cs="Arial"/>
              </w:rPr>
              <w:t>, and the excise system is familiar to fuel market participants</w:t>
            </w:r>
            <w:r w:rsidRPr="00580CEF">
              <w:rPr>
                <w:rFonts w:ascii="Arial" w:hAnsi="Arial" w:cs="Arial"/>
              </w:rPr>
              <w:t xml:space="preserve">. This is </w:t>
            </w:r>
            <w:r w:rsidR="00AF5528">
              <w:rPr>
                <w:rFonts w:ascii="Arial" w:hAnsi="Arial" w:cs="Arial"/>
              </w:rPr>
              <w:t xml:space="preserve">also </w:t>
            </w:r>
            <w:r w:rsidRPr="00580CEF">
              <w:rPr>
                <w:rFonts w:ascii="Arial" w:hAnsi="Arial" w:cs="Arial"/>
              </w:rPr>
              <w:t xml:space="preserve">possible </w:t>
            </w:r>
            <w:r w:rsidR="00AF5528">
              <w:rPr>
                <w:rFonts w:ascii="Arial" w:hAnsi="Arial" w:cs="Arial"/>
              </w:rPr>
              <w:t>under</w:t>
            </w:r>
            <w:r w:rsidR="00AF5528" w:rsidRPr="00580CEF">
              <w:rPr>
                <w:rFonts w:ascii="Arial" w:hAnsi="Arial" w:cs="Arial"/>
              </w:rPr>
              <w:t xml:space="preserve"> </w:t>
            </w:r>
            <w:r w:rsidRPr="00580CEF">
              <w:rPr>
                <w:rFonts w:ascii="Arial" w:hAnsi="Arial" w:cs="Arial"/>
              </w:rPr>
              <w:t xml:space="preserve">option </w:t>
            </w:r>
            <w:r w:rsidRPr="00580CEF">
              <w:rPr>
                <w:rFonts w:ascii="Arial" w:hAnsi="Arial" w:cs="Arial"/>
              </w:rPr>
              <w:lastRenderedPageBreak/>
              <w:t>1</w:t>
            </w:r>
            <w:r w:rsidR="00AF5528">
              <w:rPr>
                <w:rFonts w:ascii="Arial" w:hAnsi="Arial" w:cs="Arial"/>
              </w:rPr>
              <w:t xml:space="preserve">, </w:t>
            </w:r>
            <w:r w:rsidRPr="00580CEF">
              <w:rPr>
                <w:rFonts w:ascii="Arial" w:hAnsi="Arial" w:cs="Arial"/>
              </w:rPr>
              <w:t>however option 1 has additional benefits.</w:t>
            </w:r>
          </w:p>
          <w:p w14:paraId="41AF0BB3" w14:textId="10489BB7" w:rsidR="002C5530" w:rsidRPr="00823356" w:rsidRDefault="002C5530" w:rsidP="0061480B">
            <w:pPr>
              <w:pStyle w:val="ListParagraph"/>
              <w:spacing w:before="60" w:after="60"/>
              <w:rPr>
                <w:rFonts w:ascii="Arial" w:hAnsi="Arial" w:cs="Arial"/>
              </w:rPr>
            </w:pPr>
          </w:p>
          <w:p w14:paraId="4C5F4970" w14:textId="66461A3E" w:rsidR="005000D5" w:rsidRPr="00580CEF" w:rsidRDefault="00E9516B" w:rsidP="00E87E58">
            <w:pPr>
              <w:pStyle w:val="ListParagraph"/>
              <w:numPr>
                <w:ilvl w:val="0"/>
                <w:numId w:val="56"/>
              </w:numPr>
              <w:spacing w:before="60" w:after="60"/>
              <w:ind w:left="459"/>
              <w:rPr>
                <w:rFonts w:ascii="Arial" w:hAnsi="Arial" w:cs="Arial"/>
              </w:rPr>
            </w:pPr>
            <w:r w:rsidRPr="00580CEF">
              <w:rPr>
                <w:rFonts w:ascii="Arial" w:hAnsi="Arial" w:cs="Arial"/>
              </w:rPr>
              <w:t>There are no clear benefits to this option over options 1 and 2</w:t>
            </w:r>
            <w:r w:rsidR="00A303C7">
              <w:rPr>
                <w:rFonts w:ascii="Arial" w:hAnsi="Arial" w:cs="Arial"/>
              </w:rPr>
              <w:t>.</w:t>
            </w:r>
          </w:p>
        </w:tc>
      </w:tr>
      <w:tr w:rsidR="005000D5" w:rsidRPr="004D47B9" w14:paraId="58CD201F" w14:textId="77777777" w:rsidTr="0061480B">
        <w:tc>
          <w:tcPr>
            <w:tcW w:w="2704" w:type="dxa"/>
          </w:tcPr>
          <w:p w14:paraId="78D777EF" w14:textId="01BFA1F6" w:rsidR="005000D5" w:rsidRPr="00823356" w:rsidRDefault="00AF5528" w:rsidP="007D1616">
            <w:pPr>
              <w:spacing w:before="60" w:after="60"/>
              <w:rPr>
                <w:rFonts w:cs="Arial"/>
                <w:b/>
              </w:rPr>
            </w:pPr>
            <w:r>
              <w:rPr>
                <w:rFonts w:cs="Arial"/>
                <w:b/>
              </w:rPr>
              <w:lastRenderedPageBreak/>
              <w:t>Included st</w:t>
            </w:r>
            <w:r w:rsidR="005000D5" w:rsidRPr="00823356">
              <w:rPr>
                <w:rFonts w:cs="Arial"/>
                <w:b/>
              </w:rPr>
              <w:t>ock locations</w:t>
            </w:r>
            <w:r w:rsidR="002C5530">
              <w:rPr>
                <w:rFonts w:cs="Arial"/>
                <w:b/>
              </w:rPr>
              <w:t>:</w:t>
            </w:r>
          </w:p>
          <w:p w14:paraId="19D8460C" w14:textId="38849612" w:rsidR="005000D5" w:rsidRPr="00521C60" w:rsidRDefault="005000D5" w:rsidP="00B86109">
            <w:pPr>
              <w:pStyle w:val="ListParagraph"/>
              <w:numPr>
                <w:ilvl w:val="0"/>
                <w:numId w:val="37"/>
              </w:numPr>
              <w:spacing w:before="60" w:after="60"/>
              <w:rPr>
                <w:rFonts w:ascii="Arial" w:hAnsi="Arial" w:cs="Arial"/>
              </w:rPr>
            </w:pPr>
            <w:r w:rsidRPr="00521C60">
              <w:rPr>
                <w:rFonts w:ascii="Arial" w:hAnsi="Arial" w:cs="Arial"/>
              </w:rPr>
              <w:t>On land in Australia (based on stock locations currently reported under POFR)</w:t>
            </w:r>
            <w:r w:rsidR="00E125F8" w:rsidRPr="00521C60">
              <w:rPr>
                <w:rFonts w:ascii="Arial" w:hAnsi="Arial" w:cs="Arial"/>
              </w:rPr>
              <w:t>. This includes intercoastal shipping of stocks that have arrived to an Australian port previously.</w:t>
            </w:r>
          </w:p>
          <w:p w14:paraId="1AA0B7E5" w14:textId="77777777" w:rsidR="00AF5528" w:rsidRPr="00521C60" w:rsidRDefault="00AF5528" w:rsidP="00823356">
            <w:pPr>
              <w:pStyle w:val="ListParagraph"/>
              <w:spacing w:before="60" w:after="60"/>
              <w:ind w:left="720" w:firstLine="0"/>
              <w:rPr>
                <w:rFonts w:ascii="Arial" w:hAnsi="Arial" w:cs="Arial"/>
              </w:rPr>
            </w:pPr>
          </w:p>
          <w:p w14:paraId="30A01519" w14:textId="51C3D36A" w:rsidR="005000D5" w:rsidRPr="00521C60" w:rsidRDefault="00AF5528" w:rsidP="00B86109">
            <w:pPr>
              <w:pStyle w:val="ListParagraph"/>
              <w:numPr>
                <w:ilvl w:val="0"/>
                <w:numId w:val="37"/>
              </w:numPr>
              <w:spacing w:before="60" w:after="60"/>
              <w:rPr>
                <w:rFonts w:ascii="Arial" w:hAnsi="Arial" w:cs="Arial"/>
              </w:rPr>
            </w:pPr>
            <w:r>
              <w:rPr>
                <w:rFonts w:ascii="Arial" w:hAnsi="Arial" w:cs="Arial"/>
              </w:rPr>
              <w:t xml:space="preserve">Option </w:t>
            </w:r>
            <w:r w:rsidR="005000D5" w:rsidRPr="00521C60">
              <w:rPr>
                <w:rFonts w:ascii="Arial" w:hAnsi="Arial" w:cs="Arial"/>
              </w:rPr>
              <w:t xml:space="preserve">1 </w:t>
            </w:r>
            <w:r>
              <w:rPr>
                <w:rFonts w:ascii="Arial" w:hAnsi="Arial" w:cs="Arial"/>
              </w:rPr>
              <w:t xml:space="preserve">with the inclusion of </w:t>
            </w:r>
            <w:r w:rsidR="005000D5" w:rsidRPr="00521C60">
              <w:rPr>
                <w:rFonts w:ascii="Arial" w:hAnsi="Arial" w:cs="Arial"/>
              </w:rPr>
              <w:t xml:space="preserve">stocks on incoming tankers within Australia’s </w:t>
            </w:r>
            <w:r w:rsidRPr="00521C60">
              <w:rPr>
                <w:rFonts w:ascii="Arial" w:hAnsi="Arial" w:cs="Arial"/>
              </w:rPr>
              <w:t>exclusive economic zone (</w:t>
            </w:r>
            <w:r w:rsidR="005000D5" w:rsidRPr="00521C60">
              <w:rPr>
                <w:rFonts w:ascii="Arial" w:hAnsi="Arial" w:cs="Arial"/>
              </w:rPr>
              <w:t>EEZ</w:t>
            </w:r>
            <w:r w:rsidRPr="00521C60">
              <w:rPr>
                <w:rFonts w:ascii="Arial" w:hAnsi="Arial" w:cs="Arial"/>
              </w:rPr>
              <w:t>)</w:t>
            </w:r>
            <w:r>
              <w:rPr>
                <w:rFonts w:ascii="Arial" w:hAnsi="Arial" w:cs="Arial"/>
              </w:rPr>
              <w:t>.</w:t>
            </w:r>
          </w:p>
        </w:tc>
        <w:tc>
          <w:tcPr>
            <w:tcW w:w="3612" w:type="dxa"/>
          </w:tcPr>
          <w:p w14:paraId="09DE3E95" w14:textId="2A69A99F" w:rsidR="00AC2008" w:rsidRPr="00521C60" w:rsidRDefault="00AC2008" w:rsidP="00AC2008">
            <w:pPr>
              <w:pStyle w:val="ListParagraph"/>
              <w:numPr>
                <w:ilvl w:val="0"/>
                <w:numId w:val="57"/>
              </w:numPr>
              <w:spacing w:before="60" w:after="60"/>
              <w:ind w:left="411"/>
              <w:rPr>
                <w:rFonts w:ascii="Arial" w:hAnsi="Arial" w:cs="Arial"/>
              </w:rPr>
            </w:pPr>
            <w:r w:rsidRPr="00521C60">
              <w:rPr>
                <w:rFonts w:ascii="Arial" w:hAnsi="Arial" w:cs="Arial"/>
              </w:rPr>
              <w:t xml:space="preserve">Limited costs with this option.  Existing fuel stock reporting arrangements through the POFR scheme mean that likely regulated entities are already required to report this information to </w:t>
            </w:r>
            <w:r w:rsidR="00710325">
              <w:rPr>
                <w:rFonts w:ascii="Arial" w:hAnsi="Arial" w:cs="Arial"/>
              </w:rPr>
              <w:t>G</w:t>
            </w:r>
            <w:r w:rsidRPr="00521C60">
              <w:rPr>
                <w:rFonts w:ascii="Arial" w:hAnsi="Arial" w:cs="Arial"/>
              </w:rPr>
              <w:t>overnment.</w:t>
            </w:r>
          </w:p>
          <w:p w14:paraId="660DB2EE" w14:textId="77777777" w:rsidR="00AF5528" w:rsidRPr="00521C60" w:rsidRDefault="00AF5528" w:rsidP="00823356">
            <w:pPr>
              <w:pStyle w:val="ListParagraph"/>
              <w:spacing w:before="60" w:after="60"/>
              <w:ind w:left="411" w:firstLine="0"/>
              <w:rPr>
                <w:rFonts w:ascii="Arial" w:hAnsi="Arial" w:cs="Arial"/>
              </w:rPr>
            </w:pPr>
          </w:p>
          <w:p w14:paraId="08563AF9" w14:textId="36666625" w:rsidR="005000D5" w:rsidRPr="00521C60" w:rsidRDefault="00AC2008" w:rsidP="00C716DD">
            <w:pPr>
              <w:pStyle w:val="ListParagraph"/>
              <w:numPr>
                <w:ilvl w:val="0"/>
                <w:numId w:val="57"/>
              </w:numPr>
              <w:spacing w:before="60" w:after="60"/>
              <w:ind w:left="411"/>
              <w:rPr>
                <w:rFonts w:ascii="Arial" w:hAnsi="Arial" w:cs="Arial"/>
              </w:rPr>
            </w:pPr>
            <w:r w:rsidRPr="00521C60">
              <w:rPr>
                <w:rFonts w:ascii="Arial" w:hAnsi="Arial" w:cs="Arial"/>
              </w:rPr>
              <w:t xml:space="preserve">Some </w:t>
            </w:r>
            <w:r w:rsidR="00551729">
              <w:rPr>
                <w:rFonts w:ascii="Arial" w:hAnsi="Arial" w:cs="Arial"/>
              </w:rPr>
              <w:t xml:space="preserve">marginal </w:t>
            </w:r>
            <w:r w:rsidRPr="00521C60">
              <w:rPr>
                <w:rFonts w:ascii="Arial" w:hAnsi="Arial" w:cs="Arial"/>
              </w:rPr>
              <w:t xml:space="preserve">additional costs with this option </w:t>
            </w:r>
            <w:r w:rsidR="00551729">
              <w:rPr>
                <w:rFonts w:ascii="Arial" w:hAnsi="Arial" w:cs="Arial"/>
              </w:rPr>
              <w:t>for companies</w:t>
            </w:r>
            <w:r w:rsidRPr="00521C60">
              <w:rPr>
                <w:rFonts w:ascii="Arial" w:hAnsi="Arial" w:cs="Arial"/>
              </w:rPr>
              <w:t xml:space="preserve"> to increase rigour of existing reporting of stocks on water</w:t>
            </w:r>
            <w:r w:rsidR="00551729">
              <w:rPr>
                <w:rFonts w:ascii="Arial" w:hAnsi="Arial" w:cs="Arial"/>
              </w:rPr>
              <w:t>.</w:t>
            </w:r>
          </w:p>
        </w:tc>
        <w:tc>
          <w:tcPr>
            <w:tcW w:w="6029" w:type="dxa"/>
          </w:tcPr>
          <w:p w14:paraId="7E66C1AB" w14:textId="4BD192CB" w:rsidR="00AC2008" w:rsidRPr="00521C60" w:rsidRDefault="00AC2008" w:rsidP="00AC2008">
            <w:pPr>
              <w:pStyle w:val="ListParagraph"/>
              <w:numPr>
                <w:ilvl w:val="0"/>
                <w:numId w:val="58"/>
              </w:numPr>
              <w:spacing w:before="60" w:after="60"/>
              <w:ind w:left="459"/>
              <w:rPr>
                <w:rFonts w:ascii="Arial" w:hAnsi="Arial" w:cs="Arial"/>
              </w:rPr>
            </w:pPr>
            <w:r w:rsidRPr="00521C60">
              <w:rPr>
                <w:rFonts w:ascii="Arial" w:hAnsi="Arial" w:cs="Arial"/>
              </w:rPr>
              <w:t xml:space="preserve">The Government has a long time series of historical data of fuel stocks held by potentially regulated entities and at the national level. The basis of the MSO national average stocks of </w:t>
            </w:r>
            <w:r w:rsidR="00CF06DF">
              <w:rPr>
                <w:rFonts w:ascii="Arial" w:hAnsi="Arial" w:cs="Arial"/>
              </w:rPr>
              <w:t>petrol</w:t>
            </w:r>
            <w:r w:rsidRPr="00521C60">
              <w:rPr>
                <w:rFonts w:ascii="Arial" w:hAnsi="Arial" w:cs="Arial"/>
              </w:rPr>
              <w:t xml:space="preserve">, diesel and jet fuel uses this historical data for stocks on land (and in intercoastal shipping). Using the same basis will ensure that the MSO for </w:t>
            </w:r>
            <w:r w:rsidR="00CF06DF">
              <w:rPr>
                <w:rFonts w:ascii="Arial" w:hAnsi="Arial" w:cs="Arial"/>
              </w:rPr>
              <w:t>petrol</w:t>
            </w:r>
            <w:r w:rsidRPr="00521C60">
              <w:rPr>
                <w:rFonts w:ascii="Arial" w:hAnsi="Arial" w:cs="Arial"/>
              </w:rPr>
              <w:t>, diesel and jet will be relevant to these well understood fuel stock locations.</w:t>
            </w:r>
          </w:p>
          <w:p w14:paraId="121D9C34" w14:textId="77777777" w:rsidR="00AF5528" w:rsidRPr="00521C60" w:rsidRDefault="00AF5528" w:rsidP="00823356">
            <w:pPr>
              <w:pStyle w:val="ListParagraph"/>
              <w:spacing w:before="60" w:after="60"/>
              <w:ind w:left="459" w:firstLine="0"/>
              <w:rPr>
                <w:rFonts w:ascii="Arial" w:hAnsi="Arial" w:cs="Arial"/>
              </w:rPr>
            </w:pPr>
          </w:p>
          <w:p w14:paraId="6F212298" w14:textId="18888344" w:rsidR="005000D5" w:rsidRPr="00521C60" w:rsidRDefault="00AC2008" w:rsidP="00AC2008">
            <w:pPr>
              <w:pStyle w:val="ListParagraph"/>
              <w:numPr>
                <w:ilvl w:val="0"/>
                <w:numId w:val="58"/>
              </w:numPr>
              <w:spacing w:before="60" w:after="60"/>
              <w:ind w:left="459"/>
              <w:rPr>
                <w:rFonts w:ascii="Arial" w:hAnsi="Arial" w:cs="Arial"/>
              </w:rPr>
            </w:pPr>
            <w:r w:rsidRPr="00521C60">
              <w:rPr>
                <w:rFonts w:ascii="Arial" w:hAnsi="Arial" w:cs="Arial"/>
              </w:rPr>
              <w:t>The time series of data on fuel stocks in tankers within Australia’s EEZ relates to only the last few years and the early data from 2018 and 2019 is somewhat patchy. Expanding the MSO to include stocks in the EEZ would not necessarily increase or reduce compliance costs, but the actual MSO targets would need to encapsulate this larger “boundary” within which stocks can be counted. As a result</w:t>
            </w:r>
            <w:r w:rsidR="00AF5528">
              <w:rPr>
                <w:rFonts w:ascii="Arial" w:hAnsi="Arial" w:cs="Arial"/>
              </w:rPr>
              <w:t>,</w:t>
            </w:r>
            <w:r w:rsidRPr="00521C60">
              <w:rPr>
                <w:rFonts w:ascii="Arial" w:hAnsi="Arial" w:cs="Arial"/>
              </w:rPr>
              <w:t xml:space="preserve"> the MSO targets would be commensurately higher.</w:t>
            </w:r>
          </w:p>
        </w:tc>
        <w:tc>
          <w:tcPr>
            <w:tcW w:w="3390" w:type="dxa"/>
          </w:tcPr>
          <w:p w14:paraId="35B472F4" w14:textId="48209734" w:rsidR="005000D5" w:rsidRPr="00521C60" w:rsidRDefault="008251B6" w:rsidP="008251B6">
            <w:pPr>
              <w:pStyle w:val="ListParagraph"/>
              <w:numPr>
                <w:ilvl w:val="0"/>
                <w:numId w:val="59"/>
              </w:numPr>
              <w:spacing w:before="60" w:after="60"/>
              <w:ind w:left="459"/>
              <w:rPr>
                <w:rFonts w:ascii="Arial" w:hAnsi="Arial" w:cs="Arial"/>
              </w:rPr>
            </w:pPr>
            <w:r w:rsidRPr="00521C60">
              <w:rPr>
                <w:rFonts w:ascii="Arial" w:hAnsi="Arial" w:cs="Arial"/>
              </w:rPr>
              <w:t>Encompasses stock locations and quantities that are well understood and are consistent with long term fuel stock reporting. Align</w:t>
            </w:r>
            <w:r w:rsidR="00AF5528">
              <w:rPr>
                <w:rFonts w:ascii="Arial" w:hAnsi="Arial" w:cs="Arial"/>
              </w:rPr>
              <w:t>s</w:t>
            </w:r>
            <w:r w:rsidRPr="00521C60">
              <w:rPr>
                <w:rFonts w:ascii="Arial" w:hAnsi="Arial" w:cs="Arial"/>
              </w:rPr>
              <w:t xml:space="preserve"> with long term historical consumption cover and net import stock statistics.</w:t>
            </w:r>
          </w:p>
          <w:p w14:paraId="4D33D4EE" w14:textId="77777777" w:rsidR="00AF5528" w:rsidRPr="00521C60" w:rsidRDefault="00AF5528" w:rsidP="00823356">
            <w:pPr>
              <w:pStyle w:val="ListParagraph"/>
              <w:spacing w:before="60" w:after="60"/>
              <w:ind w:left="459" w:firstLine="0"/>
              <w:rPr>
                <w:rFonts w:ascii="Arial" w:hAnsi="Arial" w:cs="Arial"/>
              </w:rPr>
            </w:pPr>
          </w:p>
          <w:p w14:paraId="1254CE6D" w14:textId="1F72BF56" w:rsidR="005000D5" w:rsidRDefault="00395DD3" w:rsidP="00395DD3">
            <w:pPr>
              <w:pStyle w:val="ListParagraph"/>
              <w:numPr>
                <w:ilvl w:val="0"/>
                <w:numId w:val="59"/>
              </w:numPr>
              <w:spacing w:before="60" w:after="60"/>
              <w:ind w:left="459"/>
              <w:rPr>
                <w:rFonts w:ascii="Arial" w:hAnsi="Arial" w:cs="Arial"/>
              </w:rPr>
            </w:pPr>
            <w:r w:rsidRPr="00521C60">
              <w:rPr>
                <w:rFonts w:ascii="Arial" w:hAnsi="Arial" w:cs="Arial"/>
              </w:rPr>
              <w:t xml:space="preserve">For the purposes of the MSO, there is limited additional, if any, benefit to including stocks on tankers with Australia’s EEZ. The actual minimum stocks to be held by regulated entities would need </w:t>
            </w:r>
            <w:r w:rsidR="00F506B4" w:rsidRPr="00521C60">
              <w:rPr>
                <w:rFonts w:ascii="Arial" w:hAnsi="Arial" w:cs="Arial"/>
              </w:rPr>
              <w:t xml:space="preserve">to </w:t>
            </w:r>
            <w:r w:rsidRPr="00521C60">
              <w:rPr>
                <w:rFonts w:ascii="Arial" w:hAnsi="Arial" w:cs="Arial"/>
              </w:rPr>
              <w:t xml:space="preserve">increase to offset the larger eligible boundary for stocks.  This could be beneficial for </w:t>
            </w:r>
            <w:r w:rsidRPr="00521C60">
              <w:rPr>
                <w:rFonts w:ascii="Arial" w:hAnsi="Arial" w:cs="Arial"/>
              </w:rPr>
              <w:lastRenderedPageBreak/>
              <w:t>some regulated entities but detrimental to others.</w:t>
            </w:r>
          </w:p>
          <w:p w14:paraId="65390DA3" w14:textId="6B45AB50" w:rsidR="005000D5" w:rsidRPr="00AF5528" w:rsidRDefault="005000D5" w:rsidP="0061480B">
            <w:pPr>
              <w:pStyle w:val="ListParagraph"/>
              <w:spacing w:before="60" w:after="60"/>
              <w:rPr>
                <w:rFonts w:ascii="Arial" w:hAnsi="Arial" w:cs="Arial"/>
              </w:rPr>
            </w:pPr>
          </w:p>
        </w:tc>
      </w:tr>
      <w:tr w:rsidR="005000D5" w:rsidRPr="004D47B9" w14:paraId="33FB2203" w14:textId="77777777" w:rsidTr="0061480B">
        <w:tc>
          <w:tcPr>
            <w:tcW w:w="2704" w:type="dxa"/>
          </w:tcPr>
          <w:p w14:paraId="7C3B68CB" w14:textId="0BF4F2F1" w:rsidR="002A4E4C" w:rsidRPr="00823356" w:rsidRDefault="005000D5" w:rsidP="007D1616">
            <w:pPr>
              <w:spacing w:before="60" w:after="60"/>
              <w:rPr>
                <w:rFonts w:cs="Arial"/>
                <w:b/>
              </w:rPr>
            </w:pPr>
            <w:r w:rsidRPr="00823356">
              <w:rPr>
                <w:rFonts w:cs="Arial"/>
                <w:b/>
              </w:rPr>
              <w:lastRenderedPageBreak/>
              <w:t>Administration model</w:t>
            </w:r>
            <w:r w:rsidR="002C5530">
              <w:rPr>
                <w:rFonts w:cs="Arial"/>
                <w:b/>
              </w:rPr>
              <w:t>:</w:t>
            </w:r>
          </w:p>
          <w:p w14:paraId="67DB7CEB" w14:textId="77777777" w:rsidR="002A4E4C" w:rsidRPr="00580CEF" w:rsidRDefault="002A4E4C" w:rsidP="0061480B">
            <w:pPr>
              <w:pStyle w:val="ListParagraph"/>
              <w:numPr>
                <w:ilvl w:val="0"/>
                <w:numId w:val="38"/>
              </w:numPr>
              <w:spacing w:before="60" w:after="60"/>
              <w:ind w:left="360"/>
              <w:rPr>
                <w:rFonts w:ascii="Arial" w:hAnsi="Arial" w:cs="Arial"/>
              </w:rPr>
            </w:pPr>
            <w:r w:rsidRPr="00580CEF">
              <w:rPr>
                <w:rFonts w:ascii="Arial" w:hAnsi="Arial" w:cs="Arial"/>
              </w:rPr>
              <w:t>Government Department/Agency</w:t>
            </w:r>
          </w:p>
          <w:p w14:paraId="52E5D6B8" w14:textId="77777777" w:rsidR="00AF5528" w:rsidRPr="00580CEF" w:rsidRDefault="00AF5528" w:rsidP="0061480B">
            <w:pPr>
              <w:pStyle w:val="ListParagraph"/>
              <w:spacing w:before="60" w:after="60"/>
              <w:ind w:left="360" w:firstLine="0"/>
              <w:rPr>
                <w:rFonts w:ascii="Arial" w:hAnsi="Arial" w:cs="Arial"/>
              </w:rPr>
            </w:pPr>
          </w:p>
          <w:p w14:paraId="386D0CBB" w14:textId="77777777" w:rsidR="002A4E4C" w:rsidRPr="00580CEF" w:rsidRDefault="002A4E4C" w:rsidP="0061480B">
            <w:pPr>
              <w:pStyle w:val="ListParagraph"/>
              <w:numPr>
                <w:ilvl w:val="0"/>
                <w:numId w:val="38"/>
              </w:numPr>
              <w:spacing w:before="60" w:after="60"/>
              <w:ind w:left="360"/>
              <w:rPr>
                <w:rFonts w:ascii="Arial" w:hAnsi="Arial" w:cs="Arial"/>
              </w:rPr>
            </w:pPr>
            <w:r w:rsidRPr="00580CEF">
              <w:rPr>
                <w:rFonts w:ascii="Arial" w:hAnsi="Arial" w:cs="Arial"/>
              </w:rPr>
              <w:t>Independent Market Operator</w:t>
            </w:r>
          </w:p>
          <w:p w14:paraId="03C41DFA" w14:textId="3ACDA72B" w:rsidR="00AF5528" w:rsidRPr="00823356" w:rsidRDefault="00AF5528" w:rsidP="0061480B">
            <w:pPr>
              <w:pStyle w:val="ListParagraph"/>
              <w:spacing w:before="60" w:after="60"/>
              <w:ind w:left="0"/>
              <w:rPr>
                <w:rFonts w:ascii="Arial" w:hAnsi="Arial" w:cs="Arial"/>
              </w:rPr>
            </w:pPr>
          </w:p>
          <w:p w14:paraId="347E1EE7" w14:textId="49F77660" w:rsidR="005000D5" w:rsidRPr="00580CEF" w:rsidRDefault="002A4E4C" w:rsidP="0061480B">
            <w:pPr>
              <w:pStyle w:val="ListParagraph"/>
              <w:numPr>
                <w:ilvl w:val="0"/>
                <w:numId w:val="38"/>
              </w:numPr>
              <w:spacing w:before="60" w:after="60"/>
              <w:ind w:left="360"/>
              <w:rPr>
                <w:rFonts w:ascii="Arial" w:hAnsi="Arial" w:cs="Arial"/>
              </w:rPr>
            </w:pPr>
            <w:r w:rsidRPr="00580CEF">
              <w:rPr>
                <w:rFonts w:ascii="Arial" w:hAnsi="Arial" w:cs="Arial"/>
              </w:rPr>
              <w:t>Private industry body</w:t>
            </w:r>
          </w:p>
        </w:tc>
        <w:tc>
          <w:tcPr>
            <w:tcW w:w="3612" w:type="dxa"/>
          </w:tcPr>
          <w:p w14:paraId="62AA5B46" w14:textId="10230543" w:rsidR="00251F93" w:rsidRPr="00580CEF" w:rsidRDefault="00251F93" w:rsidP="00251F93">
            <w:pPr>
              <w:spacing w:before="60" w:after="60"/>
              <w:rPr>
                <w:rFonts w:cs="Arial"/>
              </w:rPr>
            </w:pPr>
            <w:r w:rsidRPr="00580CEF">
              <w:rPr>
                <w:rFonts w:cs="Arial"/>
              </w:rPr>
              <w:t>The most appropriate administrative model will vary depending on other policy settings, particularly the intermediary market model</w:t>
            </w:r>
            <w:r w:rsidR="00B701C2" w:rsidRPr="00580CEF">
              <w:rPr>
                <w:rFonts w:cs="Arial"/>
              </w:rPr>
              <w:t xml:space="preserve"> </w:t>
            </w:r>
            <w:r w:rsidR="00AF5528">
              <w:rPr>
                <w:rFonts w:cs="Arial"/>
              </w:rPr>
              <w:t>(</w:t>
            </w:r>
            <w:r w:rsidR="00B701C2" w:rsidRPr="00580CEF">
              <w:rPr>
                <w:rFonts w:cs="Arial"/>
              </w:rPr>
              <w:t>see next row for details</w:t>
            </w:r>
            <w:r w:rsidR="00AF5528">
              <w:rPr>
                <w:rFonts w:cs="Arial"/>
              </w:rPr>
              <w:t>)</w:t>
            </w:r>
            <w:r w:rsidRPr="00580CEF">
              <w:rPr>
                <w:rFonts w:cs="Arial"/>
              </w:rPr>
              <w:t>.</w:t>
            </w:r>
          </w:p>
          <w:p w14:paraId="19115F6D" w14:textId="4BE75296" w:rsidR="005000D5" w:rsidRPr="00580CEF" w:rsidRDefault="00251F93" w:rsidP="00CA5739">
            <w:pPr>
              <w:pStyle w:val="ListParagraph"/>
              <w:numPr>
                <w:ilvl w:val="0"/>
                <w:numId w:val="60"/>
              </w:numPr>
              <w:spacing w:before="60" w:after="60"/>
              <w:ind w:left="411"/>
              <w:rPr>
                <w:rFonts w:ascii="Arial" w:hAnsi="Arial" w:cs="Arial"/>
              </w:rPr>
            </w:pPr>
            <w:r w:rsidRPr="00580CEF">
              <w:rPr>
                <w:rFonts w:ascii="Arial" w:hAnsi="Arial" w:cs="Arial"/>
              </w:rPr>
              <w:t xml:space="preserve">Least cost </w:t>
            </w:r>
            <w:r w:rsidR="006A3472" w:rsidRPr="00580CEF">
              <w:rPr>
                <w:rFonts w:ascii="Arial" w:hAnsi="Arial" w:cs="Arial"/>
              </w:rPr>
              <w:t xml:space="preserve">administratively </w:t>
            </w:r>
            <w:r w:rsidRPr="00580CEF">
              <w:rPr>
                <w:rFonts w:ascii="Arial" w:hAnsi="Arial" w:cs="Arial"/>
              </w:rPr>
              <w:t>to government and regulated entities</w:t>
            </w:r>
            <w:r w:rsidR="006A3472" w:rsidRPr="00580CEF">
              <w:rPr>
                <w:rFonts w:ascii="Arial" w:hAnsi="Arial" w:cs="Arial"/>
              </w:rPr>
              <w:t xml:space="preserve"> -</w:t>
            </w:r>
            <w:r w:rsidRPr="00580CEF">
              <w:rPr>
                <w:rFonts w:ascii="Arial" w:hAnsi="Arial" w:cs="Arial"/>
              </w:rPr>
              <w:t xml:space="preserve"> appropriate for a di</w:t>
            </w:r>
            <w:r w:rsidR="00437826" w:rsidRPr="00580CEF">
              <w:rPr>
                <w:rFonts w:ascii="Arial" w:hAnsi="Arial" w:cs="Arial"/>
              </w:rPr>
              <w:t>rect contracting model.</w:t>
            </w:r>
          </w:p>
          <w:p w14:paraId="47138F8E" w14:textId="77777777" w:rsidR="00AF5528" w:rsidRPr="00580CEF" w:rsidRDefault="00AF5528" w:rsidP="00823356">
            <w:pPr>
              <w:pStyle w:val="ListParagraph"/>
              <w:spacing w:before="60" w:after="60"/>
              <w:ind w:left="411" w:firstLine="0"/>
              <w:rPr>
                <w:rFonts w:ascii="Arial" w:hAnsi="Arial" w:cs="Arial"/>
              </w:rPr>
            </w:pPr>
          </w:p>
          <w:p w14:paraId="4DF64FA1" w14:textId="77777777" w:rsidR="00437826" w:rsidRPr="00580CEF" w:rsidRDefault="00437826" w:rsidP="00CA5739">
            <w:pPr>
              <w:pStyle w:val="ListParagraph"/>
              <w:numPr>
                <w:ilvl w:val="0"/>
                <w:numId w:val="60"/>
              </w:numPr>
              <w:spacing w:before="60" w:after="60"/>
              <w:ind w:left="411"/>
              <w:rPr>
                <w:rFonts w:ascii="Arial" w:hAnsi="Arial" w:cs="Arial"/>
              </w:rPr>
            </w:pPr>
            <w:r w:rsidRPr="00580CEF">
              <w:rPr>
                <w:rFonts w:ascii="Arial" w:hAnsi="Arial" w:cs="Arial"/>
              </w:rPr>
              <w:t>Higher administrative cost to government and industry as new systems need to be set up by both parties – appropriate for a certificate or central balancing book system.</w:t>
            </w:r>
          </w:p>
          <w:p w14:paraId="7B62A20D" w14:textId="6D5A3484" w:rsidR="00AF5528" w:rsidRPr="00823356" w:rsidRDefault="00AF5528" w:rsidP="0061480B">
            <w:pPr>
              <w:pStyle w:val="ListParagraph"/>
              <w:spacing w:before="60" w:after="60"/>
              <w:rPr>
                <w:rFonts w:ascii="Arial" w:hAnsi="Arial" w:cs="Arial"/>
              </w:rPr>
            </w:pPr>
          </w:p>
          <w:p w14:paraId="4E02D474" w14:textId="2A8D859A" w:rsidR="005000D5" w:rsidRDefault="00552777" w:rsidP="00CA5739">
            <w:pPr>
              <w:pStyle w:val="ListParagraph"/>
              <w:numPr>
                <w:ilvl w:val="0"/>
                <w:numId w:val="60"/>
              </w:numPr>
              <w:spacing w:before="60" w:after="60"/>
              <w:ind w:left="411"/>
              <w:rPr>
                <w:rFonts w:ascii="Arial" w:hAnsi="Arial" w:cs="Arial"/>
              </w:rPr>
            </w:pPr>
            <w:r w:rsidRPr="00580CEF">
              <w:rPr>
                <w:rFonts w:ascii="Arial" w:hAnsi="Arial" w:cs="Arial"/>
              </w:rPr>
              <w:t>Most appropriate for a central stockholding agency which is industry funded. Costs of the body are funded by industry to build and maintain strategic fuel stocks.</w:t>
            </w:r>
          </w:p>
          <w:p w14:paraId="65745E5B" w14:textId="79845AE7" w:rsidR="005000D5" w:rsidRPr="00AF5528" w:rsidRDefault="005000D5" w:rsidP="0061480B">
            <w:pPr>
              <w:pStyle w:val="ListParagraph"/>
              <w:spacing w:before="60" w:after="60"/>
              <w:rPr>
                <w:rFonts w:ascii="Arial" w:hAnsi="Arial" w:cs="Arial"/>
              </w:rPr>
            </w:pPr>
          </w:p>
        </w:tc>
        <w:tc>
          <w:tcPr>
            <w:tcW w:w="6029" w:type="dxa"/>
          </w:tcPr>
          <w:p w14:paraId="5A169452" w14:textId="41F95787" w:rsidR="005000D5" w:rsidRPr="00580CEF" w:rsidRDefault="003F4688" w:rsidP="00CA5739">
            <w:pPr>
              <w:pStyle w:val="ListParagraph"/>
              <w:numPr>
                <w:ilvl w:val="0"/>
                <w:numId w:val="61"/>
              </w:numPr>
              <w:spacing w:before="60" w:after="60"/>
              <w:ind w:left="459"/>
              <w:rPr>
                <w:rFonts w:ascii="Arial" w:hAnsi="Arial" w:cs="Arial"/>
              </w:rPr>
            </w:pPr>
            <w:r w:rsidRPr="00580CEF">
              <w:rPr>
                <w:rFonts w:ascii="Arial" w:hAnsi="Arial" w:cs="Arial"/>
              </w:rPr>
              <w:t>Fuel market participants facilitate all actions to achieve compliance with the M</w:t>
            </w:r>
            <w:r w:rsidR="00EB5AAC" w:rsidRPr="00580CEF">
              <w:rPr>
                <w:rFonts w:ascii="Arial" w:hAnsi="Arial" w:cs="Arial"/>
              </w:rPr>
              <w:t>SO for each fuel type</w:t>
            </w:r>
            <w:r w:rsidR="003C4FF0" w:rsidRPr="00580CEF">
              <w:rPr>
                <w:rFonts w:ascii="Arial" w:hAnsi="Arial" w:cs="Arial"/>
              </w:rPr>
              <w:t xml:space="preserve"> through normal fuel market practices</w:t>
            </w:r>
            <w:r w:rsidR="00EB5AAC" w:rsidRPr="00580CEF">
              <w:rPr>
                <w:rFonts w:ascii="Arial" w:hAnsi="Arial" w:cs="Arial"/>
              </w:rPr>
              <w:t xml:space="preserve">. A branch </w:t>
            </w:r>
            <w:r w:rsidR="003C4FF0" w:rsidRPr="00580CEF">
              <w:rPr>
                <w:rFonts w:ascii="Arial" w:hAnsi="Arial" w:cs="Arial"/>
              </w:rPr>
              <w:t xml:space="preserve">or section </w:t>
            </w:r>
            <w:r w:rsidR="00EB5AAC" w:rsidRPr="00580CEF">
              <w:rPr>
                <w:rFonts w:ascii="Arial" w:hAnsi="Arial" w:cs="Arial"/>
              </w:rPr>
              <w:t xml:space="preserve">within a </w:t>
            </w:r>
            <w:r w:rsidR="00710325">
              <w:rPr>
                <w:rFonts w:ascii="Arial" w:hAnsi="Arial" w:cs="Arial"/>
              </w:rPr>
              <w:t>G</w:t>
            </w:r>
            <w:r w:rsidR="00EB5AAC" w:rsidRPr="00580CEF">
              <w:rPr>
                <w:rFonts w:ascii="Arial" w:hAnsi="Arial" w:cs="Arial"/>
              </w:rPr>
              <w:t xml:space="preserve">overnment department or </w:t>
            </w:r>
            <w:r w:rsidR="003C4FF0" w:rsidRPr="00580CEF">
              <w:rPr>
                <w:rFonts w:ascii="Arial" w:hAnsi="Arial" w:cs="Arial"/>
              </w:rPr>
              <w:t>agency would be responsible for administering the regulatory framework, compliance monitoring and enforcement actions.</w:t>
            </w:r>
          </w:p>
          <w:p w14:paraId="47C31427" w14:textId="77777777" w:rsidR="00AF5528" w:rsidRPr="00580CEF" w:rsidRDefault="00AF5528" w:rsidP="00823356">
            <w:pPr>
              <w:pStyle w:val="ListParagraph"/>
              <w:spacing w:before="60" w:after="60"/>
              <w:ind w:left="459" w:firstLine="0"/>
              <w:rPr>
                <w:rFonts w:ascii="Arial" w:hAnsi="Arial" w:cs="Arial"/>
              </w:rPr>
            </w:pPr>
          </w:p>
          <w:p w14:paraId="4AC2EA78" w14:textId="68841B6B" w:rsidR="007A6BC9" w:rsidRPr="00580CEF" w:rsidRDefault="007A6BC9" w:rsidP="00CA5739">
            <w:pPr>
              <w:pStyle w:val="ListParagraph"/>
              <w:numPr>
                <w:ilvl w:val="0"/>
                <w:numId w:val="61"/>
              </w:numPr>
              <w:spacing w:before="60" w:after="60"/>
              <w:ind w:left="459"/>
              <w:rPr>
                <w:rFonts w:ascii="Arial" w:hAnsi="Arial" w:cs="Arial"/>
              </w:rPr>
            </w:pPr>
            <w:r w:rsidRPr="00580CEF">
              <w:rPr>
                <w:rFonts w:ascii="Arial" w:hAnsi="Arial" w:cs="Arial"/>
              </w:rPr>
              <w:t xml:space="preserve">An independent market operator, like the Clean Energy Regulator, would </w:t>
            </w:r>
            <w:r w:rsidR="009C7C6F" w:rsidRPr="00580CEF">
              <w:rPr>
                <w:rFonts w:ascii="Arial" w:hAnsi="Arial" w:cs="Arial"/>
              </w:rPr>
              <w:t xml:space="preserve">manage the certificate clearing house or a central balancing book system. This would facilitate the trade in stock certificates or balancing “credits” and “loans” </w:t>
            </w:r>
            <w:r w:rsidR="00676A34" w:rsidRPr="00580CEF">
              <w:rPr>
                <w:rFonts w:ascii="Arial" w:hAnsi="Arial" w:cs="Arial"/>
              </w:rPr>
              <w:t>between market participants who have excess fuel stocks and those that have insufficient stocks.</w:t>
            </w:r>
          </w:p>
          <w:p w14:paraId="406B4944" w14:textId="041E055D" w:rsidR="00AF5528" w:rsidRPr="00823356" w:rsidRDefault="00AF5528" w:rsidP="0061480B">
            <w:pPr>
              <w:pStyle w:val="ListParagraph"/>
              <w:spacing w:before="60" w:after="60"/>
              <w:rPr>
                <w:rFonts w:ascii="Arial" w:hAnsi="Arial" w:cs="Arial"/>
              </w:rPr>
            </w:pPr>
          </w:p>
          <w:p w14:paraId="3C54AC1D" w14:textId="6748D8CF" w:rsidR="005000D5" w:rsidRPr="00580CEF" w:rsidRDefault="00A86577" w:rsidP="00CA5739">
            <w:pPr>
              <w:pStyle w:val="ListParagraph"/>
              <w:numPr>
                <w:ilvl w:val="0"/>
                <w:numId w:val="61"/>
              </w:numPr>
              <w:spacing w:before="60" w:after="60"/>
              <w:ind w:left="459"/>
              <w:rPr>
                <w:rFonts w:ascii="Arial" w:hAnsi="Arial" w:cs="Arial"/>
              </w:rPr>
            </w:pPr>
            <w:r w:rsidRPr="00580CEF">
              <w:rPr>
                <w:rFonts w:ascii="Arial" w:hAnsi="Arial" w:cs="Arial"/>
              </w:rPr>
              <w:t>A private industry body would build and manage stocks on behalf of the fuel industry in exchange for a fee proportional to the size of each entity’s individual obligation.</w:t>
            </w:r>
            <w:r w:rsidR="0043448E" w:rsidRPr="00580CEF">
              <w:rPr>
                <w:rFonts w:ascii="Arial" w:hAnsi="Arial" w:cs="Arial"/>
              </w:rPr>
              <w:t xml:space="preserve"> </w:t>
            </w:r>
            <w:r w:rsidR="00B31450" w:rsidRPr="00FF5E4D">
              <w:rPr>
                <w:rFonts w:ascii="Arial" w:hAnsi="Arial" w:cs="Arial"/>
              </w:rPr>
              <w:t>The fee would be passed on or absorbed to the extent possible in a competitive market.</w:t>
            </w:r>
            <w:r w:rsidR="00B31450">
              <w:rPr>
                <w:rFonts w:ascii="Arial" w:hAnsi="Arial" w:cs="Arial"/>
              </w:rPr>
              <w:t xml:space="preserve"> </w:t>
            </w:r>
            <w:r w:rsidR="0043448E" w:rsidRPr="00580CEF">
              <w:rPr>
                <w:rFonts w:ascii="Arial" w:hAnsi="Arial" w:cs="Arial"/>
              </w:rPr>
              <w:t>This option could be mandated by the Government or could be created independently.</w:t>
            </w:r>
            <w:r w:rsidR="00B31450">
              <w:rPr>
                <w:rFonts w:ascii="Arial" w:hAnsi="Arial" w:cs="Arial"/>
              </w:rPr>
              <w:t xml:space="preserve"> </w:t>
            </w:r>
          </w:p>
        </w:tc>
        <w:tc>
          <w:tcPr>
            <w:tcW w:w="3390" w:type="dxa"/>
          </w:tcPr>
          <w:p w14:paraId="6D718E86" w14:textId="12FA3F8B" w:rsidR="001D3A59" w:rsidRPr="00580CEF" w:rsidRDefault="001D3A59" w:rsidP="00CA5739">
            <w:pPr>
              <w:pStyle w:val="ListParagraph"/>
              <w:numPr>
                <w:ilvl w:val="0"/>
                <w:numId w:val="62"/>
              </w:numPr>
              <w:spacing w:before="60" w:after="60"/>
              <w:ind w:left="459"/>
              <w:rPr>
                <w:rFonts w:ascii="Arial" w:hAnsi="Arial" w:cs="Arial"/>
              </w:rPr>
            </w:pPr>
            <w:r w:rsidRPr="00580CEF">
              <w:rPr>
                <w:rFonts w:ascii="Arial" w:hAnsi="Arial" w:cs="Arial"/>
              </w:rPr>
              <w:t xml:space="preserve">Leaves all fuel market transactional arrangements to market participants. </w:t>
            </w:r>
            <w:r w:rsidR="00551729" w:rsidRPr="00FF5E4D">
              <w:rPr>
                <w:rFonts w:ascii="Arial" w:hAnsi="Arial" w:cs="Arial"/>
              </w:rPr>
              <w:t xml:space="preserve">Least regulatory burden </w:t>
            </w:r>
            <w:r w:rsidR="00D35CC2" w:rsidRPr="00FF5E4D">
              <w:rPr>
                <w:rFonts w:ascii="Arial" w:hAnsi="Arial" w:cs="Arial"/>
              </w:rPr>
              <w:t xml:space="preserve">on businesses, </w:t>
            </w:r>
            <w:r w:rsidR="00551729" w:rsidRPr="00FF5E4D">
              <w:rPr>
                <w:rFonts w:ascii="Arial" w:hAnsi="Arial" w:cs="Arial"/>
              </w:rPr>
              <w:t>as regulated entities can, at their discretion, create flexible and bespoke contracts to suit their needs and preferences</w:t>
            </w:r>
            <w:r w:rsidRPr="00FF5E4D">
              <w:rPr>
                <w:rFonts w:ascii="Arial" w:hAnsi="Arial" w:cs="Arial"/>
              </w:rPr>
              <w:t>.</w:t>
            </w:r>
          </w:p>
          <w:p w14:paraId="52781BA1" w14:textId="77777777" w:rsidR="00AF5528" w:rsidRPr="00580CEF" w:rsidRDefault="00AF5528" w:rsidP="00823356">
            <w:pPr>
              <w:pStyle w:val="ListParagraph"/>
              <w:spacing w:before="60" w:after="60"/>
              <w:ind w:left="459" w:firstLine="0"/>
              <w:rPr>
                <w:rFonts w:ascii="Arial" w:hAnsi="Arial" w:cs="Arial"/>
              </w:rPr>
            </w:pPr>
          </w:p>
          <w:p w14:paraId="5FACC128" w14:textId="41803045" w:rsidR="001D3A59" w:rsidRPr="00580CEF" w:rsidRDefault="001D3A59" w:rsidP="00CA5739">
            <w:pPr>
              <w:pStyle w:val="ListParagraph"/>
              <w:numPr>
                <w:ilvl w:val="0"/>
                <w:numId w:val="62"/>
              </w:numPr>
              <w:spacing w:before="60" w:after="60"/>
              <w:ind w:left="459"/>
              <w:rPr>
                <w:rFonts w:ascii="Arial" w:hAnsi="Arial" w:cs="Arial"/>
              </w:rPr>
            </w:pPr>
            <w:r w:rsidRPr="00580CEF">
              <w:rPr>
                <w:rFonts w:ascii="Arial" w:hAnsi="Arial" w:cs="Arial"/>
              </w:rPr>
              <w:t>Potentially the most efficient in allocation of resources by breaking down storage and stocks into liquid and transparent tradeable commodities or through setting a transparent interest rate within the central balancing book.</w:t>
            </w:r>
            <w:r w:rsidR="00551729">
              <w:rPr>
                <w:rFonts w:ascii="Arial" w:hAnsi="Arial" w:cs="Arial"/>
              </w:rPr>
              <w:t xml:space="preserve">  </w:t>
            </w:r>
            <w:r w:rsidR="00551729" w:rsidRPr="00FF5E4D">
              <w:rPr>
                <w:rFonts w:ascii="Arial" w:hAnsi="Arial" w:cs="Arial"/>
              </w:rPr>
              <w:t>High regulatory burden, particularly for smaller importers.</w:t>
            </w:r>
          </w:p>
          <w:p w14:paraId="51EA62A2" w14:textId="77777777" w:rsidR="00AF5528" w:rsidRPr="00580CEF" w:rsidRDefault="00AF5528" w:rsidP="00823356">
            <w:pPr>
              <w:pStyle w:val="ListParagraph"/>
              <w:spacing w:before="60" w:after="60"/>
              <w:ind w:left="459" w:firstLine="0"/>
              <w:rPr>
                <w:rFonts w:ascii="Arial" w:hAnsi="Arial" w:cs="Arial"/>
              </w:rPr>
            </w:pPr>
          </w:p>
          <w:p w14:paraId="175BB352" w14:textId="734C77BB" w:rsidR="005000D5" w:rsidRPr="00580CEF" w:rsidRDefault="001D3A59" w:rsidP="00CA5739">
            <w:pPr>
              <w:pStyle w:val="ListParagraph"/>
              <w:numPr>
                <w:ilvl w:val="0"/>
                <w:numId w:val="62"/>
              </w:numPr>
              <w:spacing w:before="60" w:after="60"/>
              <w:ind w:left="459"/>
              <w:rPr>
                <w:rFonts w:ascii="Arial" w:hAnsi="Arial" w:cs="Arial"/>
              </w:rPr>
            </w:pPr>
            <w:r w:rsidRPr="00580CEF">
              <w:rPr>
                <w:rFonts w:ascii="Arial" w:hAnsi="Arial" w:cs="Arial"/>
              </w:rPr>
              <w:t xml:space="preserve">This option could organically form within the fuel market place if </w:t>
            </w:r>
            <w:r w:rsidR="00AF5528">
              <w:rPr>
                <w:rFonts w:ascii="Arial" w:hAnsi="Arial" w:cs="Arial"/>
              </w:rPr>
              <w:t xml:space="preserve">it was considered </w:t>
            </w:r>
            <w:r w:rsidRPr="00580CEF">
              <w:rPr>
                <w:rFonts w:ascii="Arial" w:hAnsi="Arial" w:cs="Arial"/>
              </w:rPr>
              <w:t xml:space="preserve">a commercially viable option. </w:t>
            </w:r>
            <w:r w:rsidR="00AF5528">
              <w:rPr>
                <w:rFonts w:ascii="Arial" w:hAnsi="Arial" w:cs="Arial"/>
              </w:rPr>
              <w:t>This would a</w:t>
            </w:r>
            <w:r w:rsidRPr="00580CEF">
              <w:rPr>
                <w:rFonts w:ascii="Arial" w:hAnsi="Arial" w:cs="Arial"/>
              </w:rPr>
              <w:t>lso leave all market transaction and fee setting to the market.</w:t>
            </w:r>
          </w:p>
        </w:tc>
      </w:tr>
      <w:tr w:rsidR="00A46B58" w:rsidRPr="004D47B9" w14:paraId="10C3D67C" w14:textId="77777777" w:rsidTr="0061480B">
        <w:tc>
          <w:tcPr>
            <w:tcW w:w="2704" w:type="dxa"/>
          </w:tcPr>
          <w:p w14:paraId="557CD007" w14:textId="31DC4131" w:rsidR="005000D5" w:rsidRPr="00823356" w:rsidRDefault="005000D5" w:rsidP="007D1616">
            <w:pPr>
              <w:spacing w:before="60" w:after="60"/>
              <w:rPr>
                <w:rFonts w:cs="Arial"/>
                <w:b/>
              </w:rPr>
            </w:pPr>
            <w:r w:rsidRPr="00823356">
              <w:rPr>
                <w:rFonts w:cs="Arial"/>
                <w:b/>
              </w:rPr>
              <w:t>Intermediary market model</w:t>
            </w:r>
            <w:r w:rsidR="002C5530">
              <w:rPr>
                <w:rFonts w:cs="Arial"/>
                <w:b/>
              </w:rPr>
              <w:t>:</w:t>
            </w:r>
          </w:p>
          <w:p w14:paraId="727BF353" w14:textId="77777777" w:rsidR="00A46B58" w:rsidRPr="00580CEF" w:rsidRDefault="003E0008" w:rsidP="0061480B">
            <w:pPr>
              <w:pStyle w:val="ListParagraph"/>
              <w:numPr>
                <w:ilvl w:val="0"/>
                <w:numId w:val="39"/>
              </w:numPr>
              <w:spacing w:before="60" w:after="60"/>
              <w:ind w:left="360"/>
              <w:rPr>
                <w:rFonts w:ascii="Arial" w:hAnsi="Arial" w:cs="Arial"/>
              </w:rPr>
            </w:pPr>
            <w:r w:rsidRPr="00580CEF">
              <w:rPr>
                <w:rFonts w:ascii="Arial" w:hAnsi="Arial" w:cs="Arial"/>
              </w:rPr>
              <w:lastRenderedPageBreak/>
              <w:t>Direct Contracting</w:t>
            </w:r>
          </w:p>
          <w:p w14:paraId="4C780F44" w14:textId="77777777" w:rsidR="00AF5528" w:rsidRPr="00580CEF" w:rsidRDefault="00AF5528" w:rsidP="0061480B">
            <w:pPr>
              <w:pStyle w:val="ListParagraph"/>
              <w:spacing w:before="60" w:after="60"/>
              <w:ind w:left="360" w:firstLine="0"/>
              <w:rPr>
                <w:rFonts w:ascii="Arial" w:hAnsi="Arial" w:cs="Arial"/>
              </w:rPr>
            </w:pPr>
          </w:p>
          <w:p w14:paraId="429469EB" w14:textId="77777777" w:rsidR="002A4E4C" w:rsidRPr="00580CEF" w:rsidRDefault="002A4E4C" w:rsidP="0061480B">
            <w:pPr>
              <w:pStyle w:val="ListParagraph"/>
              <w:numPr>
                <w:ilvl w:val="0"/>
                <w:numId w:val="39"/>
              </w:numPr>
              <w:spacing w:before="60" w:after="60"/>
              <w:ind w:left="360"/>
              <w:rPr>
                <w:rFonts w:ascii="Arial" w:hAnsi="Arial" w:cs="Arial"/>
              </w:rPr>
            </w:pPr>
            <w:r w:rsidRPr="00580CEF">
              <w:rPr>
                <w:rFonts w:ascii="Arial" w:hAnsi="Arial" w:cs="Arial"/>
              </w:rPr>
              <w:t>Tradeable certificate scheme</w:t>
            </w:r>
          </w:p>
          <w:p w14:paraId="5FAADEA1" w14:textId="32801BEA" w:rsidR="00AF5528" w:rsidRPr="00823356" w:rsidRDefault="00AF5528" w:rsidP="0061480B">
            <w:pPr>
              <w:pStyle w:val="ListParagraph"/>
              <w:spacing w:before="60" w:after="60"/>
              <w:rPr>
                <w:rFonts w:ascii="Arial" w:hAnsi="Arial" w:cs="Arial"/>
              </w:rPr>
            </w:pPr>
          </w:p>
          <w:p w14:paraId="09E5208A" w14:textId="4CEE895C" w:rsidR="002A4E4C" w:rsidRPr="00580CEF" w:rsidRDefault="002A4E4C" w:rsidP="0061480B">
            <w:pPr>
              <w:pStyle w:val="ListParagraph"/>
              <w:numPr>
                <w:ilvl w:val="0"/>
                <w:numId w:val="39"/>
              </w:numPr>
              <w:spacing w:before="60" w:after="60"/>
              <w:ind w:left="360"/>
              <w:rPr>
                <w:rFonts w:ascii="Arial" w:hAnsi="Arial" w:cs="Arial"/>
              </w:rPr>
            </w:pPr>
            <w:r w:rsidRPr="00580CEF">
              <w:rPr>
                <w:rFonts w:ascii="Arial" w:hAnsi="Arial" w:cs="Arial"/>
              </w:rPr>
              <w:t>Central balancing book</w:t>
            </w:r>
          </w:p>
        </w:tc>
        <w:tc>
          <w:tcPr>
            <w:tcW w:w="3612" w:type="dxa"/>
          </w:tcPr>
          <w:p w14:paraId="2F56B036" w14:textId="79600AE5" w:rsidR="008A6474" w:rsidRPr="00FF5E4D" w:rsidRDefault="00CF06DF" w:rsidP="007C4840">
            <w:pPr>
              <w:pStyle w:val="ListParagraph"/>
              <w:numPr>
                <w:ilvl w:val="0"/>
                <w:numId w:val="44"/>
              </w:numPr>
              <w:spacing w:before="60" w:after="60"/>
              <w:ind w:left="411"/>
              <w:rPr>
                <w:rFonts w:cs="Arial"/>
              </w:rPr>
            </w:pPr>
            <w:r>
              <w:rPr>
                <w:rFonts w:ascii="Arial" w:hAnsi="Arial" w:cs="Arial"/>
              </w:rPr>
              <w:lastRenderedPageBreak/>
              <w:t>There will be a c</w:t>
            </w:r>
            <w:r w:rsidR="00DA374C" w:rsidRPr="00580CEF">
              <w:rPr>
                <w:rFonts w:ascii="Arial" w:hAnsi="Arial" w:cs="Arial"/>
              </w:rPr>
              <w:t xml:space="preserve">ost to government to implement and </w:t>
            </w:r>
            <w:r w:rsidR="00D45F38" w:rsidRPr="00580CEF">
              <w:rPr>
                <w:rFonts w:ascii="Arial" w:hAnsi="Arial" w:cs="Arial"/>
              </w:rPr>
              <w:lastRenderedPageBreak/>
              <w:t xml:space="preserve">monitor </w:t>
            </w:r>
            <w:r w:rsidR="00DA374C" w:rsidRPr="00580CEF">
              <w:rPr>
                <w:rFonts w:ascii="Arial" w:hAnsi="Arial" w:cs="Arial"/>
              </w:rPr>
              <w:t xml:space="preserve">compliance to ensure obligation meets legislative requirements. </w:t>
            </w:r>
            <w:r w:rsidR="00A04B4B" w:rsidRPr="00A232ED">
              <w:rPr>
                <w:rFonts w:ascii="Arial" w:hAnsi="Arial" w:cs="Arial"/>
              </w:rPr>
              <w:t>Industry</w:t>
            </w:r>
            <w:r w:rsidR="00341408" w:rsidRPr="00A232ED">
              <w:rPr>
                <w:rFonts w:ascii="Arial" w:hAnsi="Arial" w:cs="Arial"/>
              </w:rPr>
              <w:t xml:space="preserve"> w</w:t>
            </w:r>
            <w:r w:rsidR="00DA374C" w:rsidRPr="00A232ED">
              <w:rPr>
                <w:rFonts w:ascii="Arial" w:hAnsi="Arial" w:cs="Arial"/>
              </w:rPr>
              <w:t>ill need to bear compliance cost</w:t>
            </w:r>
            <w:r w:rsidRPr="00A232ED">
              <w:rPr>
                <w:rFonts w:ascii="Arial" w:hAnsi="Arial" w:cs="Arial"/>
              </w:rPr>
              <w:t>s</w:t>
            </w:r>
            <w:r w:rsidR="00DA374C" w:rsidRPr="00A232ED">
              <w:rPr>
                <w:rFonts w:ascii="Arial" w:hAnsi="Arial" w:cs="Arial"/>
              </w:rPr>
              <w:t xml:space="preserve"> of meeting obligations including audit and enforcement functions</w:t>
            </w:r>
            <w:r w:rsidRPr="00A232ED">
              <w:rPr>
                <w:rFonts w:ascii="Arial" w:hAnsi="Arial" w:cs="Arial"/>
              </w:rPr>
              <w:t>, noting that r</w:t>
            </w:r>
            <w:r w:rsidR="004D2E81" w:rsidRPr="00A232ED">
              <w:rPr>
                <w:rFonts w:ascii="Arial" w:hAnsi="Arial" w:cs="Arial"/>
              </w:rPr>
              <w:t xml:space="preserve">ecording and reporting of stock volumes is a continuation of current practice. </w:t>
            </w:r>
            <w:r w:rsidR="001327D2" w:rsidRPr="00FF5E4D">
              <w:rPr>
                <w:rFonts w:ascii="Arial" w:hAnsi="Arial" w:cs="Arial"/>
              </w:rPr>
              <w:t>Compliance costs will be passed on or absorbed to the extent possible in a competitive market</w:t>
            </w:r>
            <w:r w:rsidR="00C217FB" w:rsidRPr="00FF5E4D">
              <w:rPr>
                <w:rFonts w:ascii="Arial" w:hAnsi="Arial" w:cs="Arial"/>
              </w:rPr>
              <w:t xml:space="preserve">, </w:t>
            </w:r>
            <w:r w:rsidR="00240825">
              <w:rPr>
                <w:rFonts w:ascii="Arial" w:hAnsi="Arial" w:cs="Arial"/>
              </w:rPr>
              <w:t>with</w:t>
            </w:r>
            <w:r w:rsidR="000475D6">
              <w:rPr>
                <w:rFonts w:ascii="Arial" w:hAnsi="Arial" w:cs="Arial"/>
              </w:rPr>
              <w:t xml:space="preserve"> </w:t>
            </w:r>
            <w:r w:rsidR="002E51F6">
              <w:rPr>
                <w:rFonts w:ascii="Arial" w:hAnsi="Arial" w:cs="Arial"/>
              </w:rPr>
              <w:t xml:space="preserve">this to be further assessed </w:t>
            </w:r>
            <w:r w:rsidR="007C4840" w:rsidRPr="00FF5E4D">
              <w:rPr>
                <w:rFonts w:ascii="Arial" w:hAnsi="Arial" w:cs="Arial"/>
              </w:rPr>
              <w:t>during consultation on the Ministerial Rules.</w:t>
            </w:r>
            <w:r w:rsidR="009F6B4C" w:rsidRPr="00FF5E4D">
              <w:rPr>
                <w:rFonts w:ascii="Arial" w:hAnsi="Arial" w:cs="Arial"/>
              </w:rPr>
              <w:t xml:space="preserve"> </w:t>
            </w:r>
          </w:p>
          <w:p w14:paraId="444C8A0E" w14:textId="245F784B" w:rsidR="00517063" w:rsidRPr="008A6474" w:rsidRDefault="00517063" w:rsidP="00A232ED">
            <w:pPr>
              <w:pStyle w:val="ListParagraph"/>
              <w:numPr>
                <w:ilvl w:val="0"/>
                <w:numId w:val="44"/>
              </w:numPr>
              <w:spacing w:before="60" w:after="60"/>
              <w:ind w:left="411"/>
              <w:rPr>
                <w:rFonts w:cs="Arial"/>
                <w:szCs w:val="20"/>
              </w:rPr>
            </w:pPr>
            <w:r w:rsidRPr="009F6B4C">
              <w:rPr>
                <w:rFonts w:ascii="Arial" w:hAnsi="Arial" w:cs="Arial"/>
                <w:szCs w:val="20"/>
              </w:rPr>
              <w:t>Cost to government to over</w:t>
            </w:r>
            <w:r w:rsidR="00B74006">
              <w:rPr>
                <w:rFonts w:ascii="Arial" w:hAnsi="Arial" w:cs="Arial"/>
                <w:szCs w:val="20"/>
              </w:rPr>
              <w:t>see</w:t>
            </w:r>
            <w:r w:rsidRPr="008A6474">
              <w:rPr>
                <w:rFonts w:cs="Arial"/>
                <w:szCs w:val="20"/>
              </w:rPr>
              <w:t xml:space="preserve"> </w:t>
            </w:r>
            <w:r w:rsidRPr="002251BD">
              <w:rPr>
                <w:rFonts w:ascii="Arial" w:hAnsi="Arial" w:cs="Arial"/>
                <w:szCs w:val="20"/>
              </w:rPr>
              <w:t>the open market for certificates trading ensuring that competition and market dynamics supports well-functioning market operations.</w:t>
            </w:r>
            <w:r w:rsidR="008A6474">
              <w:rPr>
                <w:rFonts w:ascii="Arial" w:hAnsi="Arial" w:cs="Arial"/>
                <w:szCs w:val="20"/>
              </w:rPr>
              <w:t xml:space="preserve"> </w:t>
            </w:r>
            <w:r w:rsidRPr="002251BD">
              <w:rPr>
                <w:rFonts w:ascii="Arial" w:hAnsi="Arial" w:cs="Arial"/>
                <w:szCs w:val="20"/>
              </w:rPr>
              <w:t xml:space="preserve">There would be costs on industry to own stock position redeemable for certificate and managing shortfalls or surpluses through buying or selling of certificates on an open market. </w:t>
            </w:r>
            <w:r w:rsidRPr="008A6474">
              <w:rPr>
                <w:rFonts w:ascii="Arial" w:hAnsi="Arial" w:cs="Arial"/>
                <w:szCs w:val="20"/>
              </w:rPr>
              <w:t>Consumer</w:t>
            </w:r>
            <w:r w:rsidR="008A6474" w:rsidRPr="008A6474">
              <w:rPr>
                <w:rFonts w:ascii="Arial" w:hAnsi="Arial" w:cs="Arial"/>
                <w:szCs w:val="20"/>
              </w:rPr>
              <w:t xml:space="preserve"> cost impacts are l</w:t>
            </w:r>
            <w:r w:rsidRPr="008A6474">
              <w:rPr>
                <w:rFonts w:ascii="Arial" w:hAnsi="Arial" w:cs="Arial"/>
                <w:szCs w:val="20"/>
              </w:rPr>
              <w:t>ikely to be similar to direct contracting as it can evolve into a tradeable certificates scheme overtime.</w:t>
            </w:r>
          </w:p>
          <w:p w14:paraId="7F168DD6" w14:textId="14F55F8E" w:rsidR="00517063" w:rsidRPr="00580CEF" w:rsidRDefault="008A6474" w:rsidP="00A232ED">
            <w:pPr>
              <w:pStyle w:val="ListParagraph"/>
              <w:numPr>
                <w:ilvl w:val="0"/>
                <w:numId w:val="44"/>
              </w:numPr>
              <w:spacing w:before="60" w:after="60"/>
              <w:ind w:left="411"/>
            </w:pPr>
            <w:r>
              <w:rPr>
                <w:rFonts w:ascii="Arial" w:hAnsi="Arial" w:cs="Arial"/>
                <w:szCs w:val="20"/>
              </w:rPr>
              <w:t>M</w:t>
            </w:r>
            <w:r w:rsidR="00517063" w:rsidRPr="00580CEF">
              <w:rPr>
                <w:rFonts w:ascii="Arial" w:hAnsi="Arial" w:cs="Arial"/>
                <w:szCs w:val="20"/>
              </w:rPr>
              <w:t xml:space="preserve">ore active participation </w:t>
            </w:r>
            <w:r w:rsidRPr="00580CEF">
              <w:rPr>
                <w:rFonts w:ascii="Arial" w:hAnsi="Arial" w:cs="Arial"/>
                <w:szCs w:val="20"/>
              </w:rPr>
              <w:t xml:space="preserve">in </w:t>
            </w:r>
            <w:r>
              <w:rPr>
                <w:rFonts w:ascii="Arial" w:hAnsi="Arial" w:cs="Arial"/>
                <w:szCs w:val="20"/>
              </w:rPr>
              <w:t xml:space="preserve">the </w:t>
            </w:r>
            <w:r w:rsidRPr="00580CEF">
              <w:rPr>
                <w:rFonts w:ascii="Arial" w:hAnsi="Arial" w:cs="Arial"/>
                <w:szCs w:val="20"/>
              </w:rPr>
              <w:t>fuel market</w:t>
            </w:r>
            <w:r>
              <w:rPr>
                <w:rFonts w:ascii="Arial" w:hAnsi="Arial" w:cs="Arial"/>
                <w:szCs w:val="20"/>
              </w:rPr>
              <w:t xml:space="preserve"> will be required from government</w:t>
            </w:r>
            <w:r w:rsidR="00517063" w:rsidRPr="00580CEF">
              <w:rPr>
                <w:rFonts w:ascii="Arial" w:hAnsi="Arial" w:cs="Arial"/>
                <w:szCs w:val="20"/>
              </w:rPr>
              <w:t>, with likely higher administrative costs compared to direct contracting.</w:t>
            </w:r>
            <w:r>
              <w:rPr>
                <w:rFonts w:ascii="Arial" w:hAnsi="Arial" w:cs="Arial"/>
                <w:szCs w:val="20"/>
              </w:rPr>
              <w:t xml:space="preserve"> </w:t>
            </w:r>
            <w:r w:rsidR="00517063" w:rsidRPr="002251BD">
              <w:rPr>
                <w:rFonts w:ascii="Arial" w:hAnsi="Arial" w:cs="Arial"/>
                <w:szCs w:val="20"/>
              </w:rPr>
              <w:t xml:space="preserve">Obligated entities to register with central balancing book regulator, and </w:t>
            </w:r>
            <w:r w:rsidR="00517063" w:rsidRPr="002251BD">
              <w:rPr>
                <w:rFonts w:ascii="Arial" w:hAnsi="Arial" w:cs="Arial"/>
                <w:szCs w:val="20"/>
              </w:rPr>
              <w:lastRenderedPageBreak/>
              <w:t>can either pay or earn interest d</w:t>
            </w:r>
            <w:r w:rsidR="00517063" w:rsidRPr="00A232ED">
              <w:rPr>
                <w:rFonts w:ascii="Arial" w:hAnsi="Arial" w:cs="Arial"/>
                <w:szCs w:val="20"/>
              </w:rPr>
              <w:t>epending on held stocks</w:t>
            </w:r>
            <w:r w:rsidR="00CF06DF" w:rsidRPr="00A232ED">
              <w:rPr>
                <w:rFonts w:ascii="Arial" w:hAnsi="Arial" w:cs="Arial"/>
                <w:szCs w:val="20"/>
              </w:rPr>
              <w:t>.</w:t>
            </w:r>
            <w:r w:rsidR="00517063" w:rsidRPr="00A232ED">
              <w:rPr>
                <w:rFonts w:ascii="Arial" w:hAnsi="Arial" w:cs="Arial"/>
                <w:szCs w:val="20"/>
              </w:rPr>
              <w:t xml:space="preserve"> Third parties (non-obligated entities) can report stocks with regulator, earning interest</w:t>
            </w:r>
            <w:r w:rsidR="00341408" w:rsidRPr="00A232ED">
              <w:rPr>
                <w:rFonts w:cs="Arial"/>
                <w:szCs w:val="20"/>
              </w:rPr>
              <w:t>.</w:t>
            </w:r>
            <w:r w:rsidRPr="00A232ED">
              <w:rPr>
                <w:rFonts w:cs="Arial"/>
                <w:szCs w:val="20"/>
              </w:rPr>
              <w:t xml:space="preserve"> </w:t>
            </w:r>
            <w:r w:rsidR="00517063" w:rsidRPr="00A232ED">
              <w:rPr>
                <w:rFonts w:ascii="Arial" w:hAnsi="Arial" w:cs="Arial"/>
                <w:szCs w:val="20"/>
              </w:rPr>
              <w:t>As the objective is to achieve target volumes across the market, the costs of additional storage and production to meet the obligation is expected to be passed through to consumers.</w:t>
            </w:r>
          </w:p>
        </w:tc>
        <w:tc>
          <w:tcPr>
            <w:tcW w:w="6029" w:type="dxa"/>
          </w:tcPr>
          <w:p w14:paraId="000BF6D2" w14:textId="45EE93C5" w:rsidR="001A30EB" w:rsidRPr="00580CEF" w:rsidRDefault="00A04B4B" w:rsidP="00B86109">
            <w:pPr>
              <w:pStyle w:val="ListParagraph"/>
              <w:numPr>
                <w:ilvl w:val="0"/>
                <w:numId w:val="45"/>
              </w:numPr>
              <w:spacing w:before="60" w:after="60"/>
              <w:rPr>
                <w:rFonts w:ascii="Arial" w:hAnsi="Arial" w:cs="Arial"/>
              </w:rPr>
            </w:pPr>
            <w:r w:rsidRPr="00580CEF">
              <w:rPr>
                <w:rFonts w:ascii="Arial" w:hAnsi="Arial" w:cs="Arial"/>
              </w:rPr>
              <w:lastRenderedPageBreak/>
              <w:t>Refineries</w:t>
            </w:r>
            <w:r w:rsidR="00093F4E" w:rsidRPr="00580CEF">
              <w:rPr>
                <w:rFonts w:ascii="Arial" w:hAnsi="Arial" w:cs="Arial"/>
              </w:rPr>
              <w:t xml:space="preserve"> and importers</w:t>
            </w:r>
            <w:r w:rsidRPr="00580CEF">
              <w:rPr>
                <w:rFonts w:ascii="Arial" w:hAnsi="Arial" w:cs="Arial"/>
              </w:rPr>
              <w:t xml:space="preserve">: </w:t>
            </w:r>
            <w:r w:rsidR="00BD2901" w:rsidRPr="00580CEF">
              <w:rPr>
                <w:rFonts w:ascii="Arial" w:hAnsi="Arial" w:cs="Arial"/>
              </w:rPr>
              <w:t xml:space="preserve">The difference in obligation between importers and refiners confers </w:t>
            </w:r>
            <w:r w:rsidR="00DB083E">
              <w:rPr>
                <w:rFonts w:ascii="Arial" w:hAnsi="Arial" w:cs="Arial"/>
              </w:rPr>
              <w:t>a</w:t>
            </w:r>
            <w:r w:rsidR="00BD2901" w:rsidRPr="00580CEF">
              <w:rPr>
                <w:rFonts w:ascii="Arial" w:hAnsi="Arial" w:cs="Arial"/>
              </w:rPr>
              <w:t xml:space="preserve"> benefit on </w:t>
            </w:r>
            <w:r w:rsidR="00BD2901" w:rsidRPr="00580CEF">
              <w:rPr>
                <w:rFonts w:ascii="Arial" w:hAnsi="Arial" w:cs="Arial"/>
              </w:rPr>
              <w:lastRenderedPageBreak/>
              <w:t xml:space="preserve">refiners through </w:t>
            </w:r>
            <w:r w:rsidR="00093F4E" w:rsidRPr="00580CEF">
              <w:rPr>
                <w:rFonts w:ascii="Arial" w:hAnsi="Arial" w:cs="Arial"/>
              </w:rPr>
              <w:t xml:space="preserve">the greater obligation imposed on importers responsible for the 40% increase in diesel stockholding across </w:t>
            </w:r>
            <w:r w:rsidR="001327D2">
              <w:rPr>
                <w:rFonts w:ascii="Arial" w:hAnsi="Arial" w:cs="Arial"/>
              </w:rPr>
              <w:t>market.</w:t>
            </w:r>
            <w:r w:rsidR="00093F4E" w:rsidRPr="00580CEF">
              <w:rPr>
                <w:rFonts w:ascii="Arial" w:hAnsi="Arial" w:cs="Arial"/>
              </w:rPr>
              <w:t xml:space="preserve"> </w:t>
            </w:r>
            <w:r w:rsidR="001327D2">
              <w:rPr>
                <w:rFonts w:ascii="Arial" w:hAnsi="Arial" w:cs="Arial"/>
              </w:rPr>
              <w:t>Importers will</w:t>
            </w:r>
            <w:r w:rsidR="00093F4E" w:rsidRPr="00580CEF">
              <w:rPr>
                <w:rFonts w:ascii="Arial" w:hAnsi="Arial" w:cs="Arial"/>
              </w:rPr>
              <w:t xml:space="preserve"> </w:t>
            </w:r>
            <w:r w:rsidR="001327D2">
              <w:rPr>
                <w:rFonts w:ascii="Arial" w:hAnsi="Arial" w:cs="Arial"/>
              </w:rPr>
              <w:t>be obligated to hold</w:t>
            </w:r>
            <w:r w:rsidR="00093F4E" w:rsidRPr="00580CEF">
              <w:rPr>
                <w:rFonts w:ascii="Arial" w:hAnsi="Arial" w:cs="Arial"/>
              </w:rPr>
              <w:t xml:space="preserve"> </w:t>
            </w:r>
            <w:r w:rsidR="00DB083E">
              <w:rPr>
                <w:rFonts w:ascii="Arial" w:hAnsi="Arial" w:cs="Arial"/>
              </w:rPr>
              <w:t>approximately</w:t>
            </w:r>
            <w:r w:rsidR="00093F4E" w:rsidRPr="00580CEF">
              <w:rPr>
                <w:rFonts w:ascii="Arial" w:hAnsi="Arial" w:cs="Arial"/>
              </w:rPr>
              <w:t xml:space="preserve"> 1</w:t>
            </w:r>
            <w:r w:rsidR="001327D2">
              <w:rPr>
                <w:rFonts w:ascii="Arial" w:hAnsi="Arial" w:cs="Arial"/>
              </w:rPr>
              <w:t>0-14</w:t>
            </w:r>
            <w:r w:rsidR="00093F4E" w:rsidRPr="00580CEF">
              <w:rPr>
                <w:rFonts w:ascii="Arial" w:hAnsi="Arial" w:cs="Arial"/>
              </w:rPr>
              <w:t xml:space="preserve"> consumption cover days above pre-obligation </w:t>
            </w:r>
            <w:r w:rsidR="001327D2">
              <w:rPr>
                <w:rFonts w:ascii="Arial" w:hAnsi="Arial" w:cs="Arial"/>
              </w:rPr>
              <w:t xml:space="preserve">average </w:t>
            </w:r>
            <w:r w:rsidR="00093F4E" w:rsidRPr="00580CEF">
              <w:rPr>
                <w:rFonts w:ascii="Arial" w:hAnsi="Arial" w:cs="Arial"/>
              </w:rPr>
              <w:t>levels</w:t>
            </w:r>
            <w:r w:rsidR="001327D2">
              <w:rPr>
                <w:rFonts w:ascii="Arial" w:hAnsi="Arial" w:cs="Arial"/>
              </w:rPr>
              <w:t xml:space="preserve"> to achieve the total 40% increase in diesel</w:t>
            </w:r>
            <w:r w:rsidR="00093F4E" w:rsidRPr="00580CEF">
              <w:rPr>
                <w:rFonts w:ascii="Arial" w:hAnsi="Arial" w:cs="Arial"/>
              </w:rPr>
              <w:t xml:space="preserve">. </w:t>
            </w:r>
          </w:p>
          <w:p w14:paraId="6C8E19A3" w14:textId="5C1009C4" w:rsidR="00AA34CB" w:rsidRPr="00580CEF" w:rsidRDefault="00AA34CB" w:rsidP="001A30EB">
            <w:pPr>
              <w:pStyle w:val="ListParagraph"/>
              <w:spacing w:before="60" w:after="60"/>
              <w:ind w:left="720" w:firstLine="0"/>
              <w:rPr>
                <w:rFonts w:ascii="Arial" w:hAnsi="Arial" w:cs="Arial"/>
              </w:rPr>
            </w:pPr>
            <w:r w:rsidRPr="00580CEF">
              <w:rPr>
                <w:rFonts w:ascii="Arial" w:hAnsi="Arial" w:cs="Arial"/>
              </w:rPr>
              <w:t>Economic incidence</w:t>
            </w:r>
            <w:r w:rsidR="006A29C6" w:rsidRPr="00580CEF">
              <w:rPr>
                <w:rFonts w:ascii="Arial" w:hAnsi="Arial" w:cs="Arial"/>
              </w:rPr>
              <w:t xml:space="preserve"> and impact on competition</w:t>
            </w:r>
            <w:r w:rsidRPr="00580CEF">
              <w:rPr>
                <w:rFonts w:ascii="Arial" w:hAnsi="Arial" w:cs="Arial"/>
              </w:rPr>
              <w:t xml:space="preserve">: </w:t>
            </w:r>
            <w:r w:rsidR="00BD2901" w:rsidRPr="00580CEF">
              <w:rPr>
                <w:rFonts w:ascii="Arial" w:hAnsi="Arial" w:cs="Arial"/>
              </w:rPr>
              <w:t>With refiners and importers managing the obligation there is lower variation in current stockholding across players. Downstream players may be disadvantaged if upstream players hold stock. Refiners and importers are sophisticated market participants with the capability to handle the obligation.</w:t>
            </w:r>
          </w:p>
          <w:p w14:paraId="6D471C28" w14:textId="77777777" w:rsidR="001A30EB" w:rsidRPr="00580CEF" w:rsidRDefault="001A30EB" w:rsidP="001A30EB">
            <w:pPr>
              <w:pStyle w:val="ListParagraph"/>
              <w:spacing w:before="60" w:after="60"/>
              <w:ind w:left="720" w:firstLine="0"/>
              <w:rPr>
                <w:rFonts w:ascii="Arial" w:hAnsi="Arial" w:cs="Arial"/>
              </w:rPr>
            </w:pPr>
          </w:p>
          <w:p w14:paraId="7AE28DC6" w14:textId="14D7AC72" w:rsidR="001A30EB" w:rsidRPr="00580CEF" w:rsidRDefault="001A30EB" w:rsidP="00B86109">
            <w:pPr>
              <w:pStyle w:val="ListParagraph"/>
              <w:numPr>
                <w:ilvl w:val="0"/>
                <w:numId w:val="45"/>
              </w:numPr>
              <w:spacing w:before="60" w:after="60"/>
              <w:rPr>
                <w:rFonts w:ascii="Arial" w:hAnsi="Arial" w:cs="Arial"/>
              </w:rPr>
            </w:pPr>
            <w:r w:rsidRPr="00580CEF">
              <w:rPr>
                <w:rFonts w:ascii="Arial" w:hAnsi="Arial" w:cs="Arial"/>
              </w:rPr>
              <w:t xml:space="preserve">Economic incidence and impact on competition: There is </w:t>
            </w:r>
            <w:r w:rsidR="00AD6FFF">
              <w:rPr>
                <w:rFonts w:ascii="Arial" w:hAnsi="Arial" w:cs="Arial"/>
              </w:rPr>
              <w:t xml:space="preserve">a </w:t>
            </w:r>
            <w:r w:rsidRPr="00580CEF">
              <w:rPr>
                <w:rFonts w:ascii="Arial" w:hAnsi="Arial" w:cs="Arial"/>
              </w:rPr>
              <w:t>risk that the small number of participants would create inefficiencies in the open market</w:t>
            </w:r>
            <w:r w:rsidR="00AD6FFF">
              <w:rPr>
                <w:rFonts w:ascii="Arial" w:hAnsi="Arial" w:cs="Arial"/>
              </w:rPr>
              <w:t xml:space="preserve"> and has potential for competition issues</w:t>
            </w:r>
            <w:r w:rsidRPr="00580CEF">
              <w:rPr>
                <w:rFonts w:ascii="Arial" w:hAnsi="Arial" w:cs="Arial"/>
              </w:rPr>
              <w:t xml:space="preserve">.  </w:t>
            </w:r>
          </w:p>
          <w:p w14:paraId="132093F5" w14:textId="2B351099" w:rsidR="001A30EB" w:rsidRPr="00580CEF" w:rsidRDefault="001A30EB" w:rsidP="001A30EB">
            <w:pPr>
              <w:pStyle w:val="ListParagraph"/>
              <w:spacing w:before="60" w:after="60"/>
              <w:ind w:left="720" w:firstLine="0"/>
              <w:rPr>
                <w:rFonts w:ascii="Arial" w:hAnsi="Arial" w:cs="Arial"/>
              </w:rPr>
            </w:pPr>
            <w:r w:rsidRPr="00580CEF">
              <w:rPr>
                <w:rFonts w:ascii="Arial" w:hAnsi="Arial" w:cs="Arial"/>
              </w:rPr>
              <w:t>Market participants: Tradeable stockholding has potential for high price volatility of certificates which causes less predictability for market participants.</w:t>
            </w:r>
          </w:p>
          <w:p w14:paraId="70EC102A" w14:textId="77777777" w:rsidR="001A30EB" w:rsidRPr="00580CEF" w:rsidRDefault="001A30EB" w:rsidP="001A30EB">
            <w:pPr>
              <w:pStyle w:val="ListParagraph"/>
              <w:spacing w:before="60" w:after="60"/>
              <w:ind w:left="720" w:firstLine="0"/>
              <w:rPr>
                <w:rFonts w:ascii="Arial" w:hAnsi="Arial" w:cs="Arial"/>
              </w:rPr>
            </w:pPr>
          </w:p>
          <w:p w14:paraId="5850142B" w14:textId="4DE72A67" w:rsidR="001A30EB" w:rsidRPr="00580CEF" w:rsidRDefault="001A30EB" w:rsidP="00B86109">
            <w:pPr>
              <w:pStyle w:val="ListParagraph"/>
              <w:numPr>
                <w:ilvl w:val="0"/>
                <w:numId w:val="45"/>
              </w:numPr>
              <w:spacing w:before="60" w:after="60"/>
              <w:rPr>
                <w:rFonts w:ascii="Arial" w:hAnsi="Arial" w:cs="Arial"/>
              </w:rPr>
            </w:pPr>
            <w:r w:rsidRPr="00580CEF">
              <w:rPr>
                <w:rFonts w:ascii="Arial" w:hAnsi="Arial" w:cs="Arial"/>
              </w:rPr>
              <w:t xml:space="preserve">Economic incidence: The greater burden on market participants with a shortfall e.g. obligated entities may deter new entrants into the market. It may also encourage new market entrants e.g. non-obligated entities which can report stocks with Government and earn interest on their reporting. </w:t>
            </w:r>
          </w:p>
          <w:p w14:paraId="30AC4630" w14:textId="51388BE2" w:rsidR="001A30EB" w:rsidRPr="00580CEF" w:rsidRDefault="001A30EB" w:rsidP="001A30EB">
            <w:pPr>
              <w:pStyle w:val="ListParagraph"/>
              <w:spacing w:before="60" w:after="60"/>
              <w:ind w:left="720" w:firstLine="0"/>
              <w:rPr>
                <w:rFonts w:ascii="Arial" w:hAnsi="Arial" w:cs="Arial"/>
              </w:rPr>
            </w:pPr>
            <w:r w:rsidRPr="00580CEF">
              <w:rPr>
                <w:rFonts w:ascii="Arial" w:hAnsi="Arial" w:cs="Arial"/>
              </w:rPr>
              <w:t xml:space="preserve">Market participants: Dependent on adjustments to </w:t>
            </w:r>
            <w:r w:rsidR="00DB083E">
              <w:rPr>
                <w:rFonts w:ascii="Arial" w:hAnsi="Arial" w:cs="Arial"/>
              </w:rPr>
              <w:t xml:space="preserve">the </w:t>
            </w:r>
            <w:r w:rsidRPr="00580CEF">
              <w:rPr>
                <w:rFonts w:ascii="Arial" w:hAnsi="Arial" w:cs="Arial"/>
              </w:rPr>
              <w:t>interest rate, there is likely to be volatility in the market price during initial implementation as industry adjusts to new requirements.</w:t>
            </w:r>
          </w:p>
          <w:p w14:paraId="026B7120" w14:textId="1D1ED353" w:rsidR="00331228" w:rsidRPr="00580CEF" w:rsidRDefault="00331228" w:rsidP="00B1799A">
            <w:pPr>
              <w:spacing w:before="60" w:after="60"/>
              <w:rPr>
                <w:rFonts w:cs="Arial"/>
              </w:rPr>
            </w:pPr>
          </w:p>
        </w:tc>
        <w:tc>
          <w:tcPr>
            <w:tcW w:w="3390" w:type="dxa"/>
          </w:tcPr>
          <w:p w14:paraId="79A6F346" w14:textId="77777777" w:rsidR="009E25EE" w:rsidRPr="00580CEF" w:rsidRDefault="009E25EE" w:rsidP="009E25EE">
            <w:pPr>
              <w:spacing w:before="60" w:after="60"/>
              <w:rPr>
                <w:rFonts w:cs="Arial"/>
              </w:rPr>
            </w:pPr>
            <w:r w:rsidRPr="00580CEF">
              <w:rPr>
                <w:rFonts w:cs="Arial"/>
              </w:rPr>
              <w:lastRenderedPageBreak/>
              <w:t>All options</w:t>
            </w:r>
          </w:p>
          <w:p w14:paraId="7B85F1FB" w14:textId="77777777" w:rsidR="009E25EE" w:rsidRPr="00580CEF" w:rsidRDefault="00B1799A" w:rsidP="009E25EE">
            <w:pPr>
              <w:spacing w:before="60" w:after="60"/>
              <w:rPr>
                <w:rFonts w:cs="Arial"/>
              </w:rPr>
            </w:pPr>
            <w:r w:rsidRPr="00580CEF">
              <w:rPr>
                <w:rFonts w:cs="Arial"/>
              </w:rPr>
              <w:lastRenderedPageBreak/>
              <w:t>Jobs: New construction likely to create jobs, with the focus probably being in locations where existing fuel infrastructure exists. Fuel security: Potentially a significant increase in fuel security, pending size of stockholding obligation.</w:t>
            </w:r>
          </w:p>
          <w:p w14:paraId="1E8DA77B" w14:textId="2E066829" w:rsidR="009E25EE" w:rsidRPr="00580CEF" w:rsidRDefault="00B1799A" w:rsidP="009E25EE">
            <w:pPr>
              <w:spacing w:before="60" w:after="60"/>
              <w:rPr>
                <w:rFonts w:cs="Arial"/>
              </w:rPr>
            </w:pPr>
            <w:r w:rsidRPr="00580CEF">
              <w:rPr>
                <w:rFonts w:cs="Arial"/>
              </w:rPr>
              <w:t>Additional certainty on the level of fuel stocks available in Australia to be used in an emergency.</w:t>
            </w:r>
          </w:p>
          <w:p w14:paraId="01773BBF" w14:textId="3B5EE8A9" w:rsidR="00B1799A" w:rsidRPr="00580CEF" w:rsidRDefault="00B1799A" w:rsidP="009E25EE">
            <w:pPr>
              <w:spacing w:before="60" w:after="60"/>
              <w:rPr>
                <w:rFonts w:cs="Arial"/>
              </w:rPr>
            </w:pPr>
            <w:r w:rsidRPr="00580CEF">
              <w:rPr>
                <w:rFonts w:cs="Arial"/>
              </w:rPr>
              <w:t>Economy: Stimulation through major infrastructure project. Greater ability to maintain economic activity during disruptions (trucking, agriculture, mining, etc.)</w:t>
            </w:r>
          </w:p>
          <w:p w14:paraId="6EDF8A26" w14:textId="33481B0C" w:rsidR="00A46B58" w:rsidRPr="00580CEF" w:rsidRDefault="00A46B58" w:rsidP="008B4ECA">
            <w:pPr>
              <w:spacing w:before="60" w:after="60"/>
              <w:rPr>
                <w:rFonts w:cs="Arial"/>
              </w:rPr>
            </w:pPr>
          </w:p>
        </w:tc>
      </w:tr>
      <w:tr w:rsidR="002F5564" w:rsidRPr="004D47B9" w14:paraId="1EE1C553" w14:textId="77777777" w:rsidTr="004B25E6">
        <w:tc>
          <w:tcPr>
            <w:tcW w:w="15735" w:type="dxa"/>
            <w:gridSpan w:val="4"/>
            <w:shd w:val="clear" w:color="auto" w:fill="56B4E9"/>
          </w:tcPr>
          <w:p w14:paraId="16ADA6B9" w14:textId="0525CF25" w:rsidR="002F5564" w:rsidRPr="00550A46" w:rsidRDefault="008B1ED4" w:rsidP="002F5564">
            <w:pPr>
              <w:spacing w:before="60" w:after="60"/>
              <w:rPr>
                <w:rFonts w:cs="Arial"/>
                <w:b/>
              </w:rPr>
            </w:pPr>
            <w:r w:rsidRPr="00550A46">
              <w:rPr>
                <w:rFonts w:cs="Arial"/>
                <w:b/>
              </w:rPr>
              <w:lastRenderedPageBreak/>
              <w:t>Fuel Security Service Payment</w:t>
            </w:r>
          </w:p>
        </w:tc>
      </w:tr>
      <w:tr w:rsidR="002F5564" w:rsidRPr="004D47B9" w14:paraId="393BE911" w14:textId="77777777" w:rsidTr="006615CD">
        <w:tc>
          <w:tcPr>
            <w:tcW w:w="2704" w:type="dxa"/>
          </w:tcPr>
          <w:p w14:paraId="1C0A5718" w14:textId="4641DB09" w:rsidR="00AA34CB" w:rsidRDefault="00AA34CB" w:rsidP="00A228B6">
            <w:pPr>
              <w:spacing w:before="60" w:after="60"/>
              <w:rPr>
                <w:rFonts w:cs="Arial"/>
              </w:rPr>
            </w:pPr>
            <w:r>
              <w:rPr>
                <w:rFonts w:cs="Arial"/>
              </w:rPr>
              <w:t xml:space="preserve">Production payment to refineries through a market-based mechanism based on the following options: </w:t>
            </w:r>
          </w:p>
          <w:p w14:paraId="6CE7CF20" w14:textId="375DA749" w:rsidR="00AA34CB" w:rsidRPr="00543786" w:rsidRDefault="00AA34CB" w:rsidP="00B86109">
            <w:pPr>
              <w:pStyle w:val="ListParagraph"/>
              <w:numPr>
                <w:ilvl w:val="0"/>
                <w:numId w:val="19"/>
              </w:numPr>
              <w:spacing w:before="60" w:after="60"/>
              <w:rPr>
                <w:rFonts w:ascii="Arial" w:hAnsi="Arial" w:cs="Arial"/>
              </w:rPr>
            </w:pPr>
            <w:r w:rsidRPr="00543786">
              <w:rPr>
                <w:rFonts w:ascii="Arial" w:hAnsi="Arial" w:cs="Arial"/>
              </w:rPr>
              <w:t xml:space="preserve">Fixed production </w:t>
            </w:r>
          </w:p>
          <w:p w14:paraId="19E4AF91" w14:textId="77777777" w:rsidR="00AA34CB" w:rsidRPr="00543786" w:rsidRDefault="00AA34CB" w:rsidP="00B86109">
            <w:pPr>
              <w:pStyle w:val="ListParagraph"/>
              <w:numPr>
                <w:ilvl w:val="0"/>
                <w:numId w:val="19"/>
              </w:numPr>
              <w:spacing w:before="60" w:after="60"/>
              <w:rPr>
                <w:rFonts w:ascii="Arial" w:hAnsi="Arial" w:cs="Arial"/>
              </w:rPr>
            </w:pPr>
            <w:r w:rsidRPr="00543786">
              <w:rPr>
                <w:rFonts w:ascii="Arial" w:hAnsi="Arial" w:cs="Arial"/>
              </w:rPr>
              <w:t>Availability</w:t>
            </w:r>
          </w:p>
          <w:p w14:paraId="509A3075" w14:textId="77777777" w:rsidR="00AA34CB" w:rsidRPr="00543786" w:rsidRDefault="00AA34CB" w:rsidP="00B86109">
            <w:pPr>
              <w:pStyle w:val="ListParagraph"/>
              <w:numPr>
                <w:ilvl w:val="0"/>
                <w:numId w:val="19"/>
              </w:numPr>
              <w:spacing w:before="60" w:after="60"/>
              <w:rPr>
                <w:rFonts w:ascii="Arial" w:hAnsi="Arial" w:cs="Arial"/>
              </w:rPr>
            </w:pPr>
            <w:r w:rsidRPr="00543786">
              <w:rPr>
                <w:rFonts w:ascii="Arial" w:hAnsi="Arial" w:cs="Arial"/>
              </w:rPr>
              <w:t>Margin Support</w:t>
            </w:r>
          </w:p>
          <w:p w14:paraId="7CA242AB" w14:textId="77777777" w:rsidR="002F5564" w:rsidRPr="00543786" w:rsidRDefault="00AA34CB" w:rsidP="00B86109">
            <w:pPr>
              <w:pStyle w:val="ListParagraph"/>
              <w:numPr>
                <w:ilvl w:val="0"/>
                <w:numId w:val="19"/>
              </w:numPr>
              <w:spacing w:before="60" w:after="60"/>
              <w:rPr>
                <w:rFonts w:ascii="Arial" w:hAnsi="Arial" w:cs="Arial"/>
              </w:rPr>
            </w:pPr>
            <w:r w:rsidRPr="00543786">
              <w:rPr>
                <w:rFonts w:ascii="Arial" w:hAnsi="Arial" w:cs="Arial"/>
              </w:rPr>
              <w:t>Adjustable production</w:t>
            </w:r>
          </w:p>
          <w:p w14:paraId="6D30AABF" w14:textId="6F7273CD" w:rsidR="00B61BBD" w:rsidRPr="0044798B" w:rsidRDefault="00B61BBD" w:rsidP="0044798B">
            <w:pPr>
              <w:spacing w:before="60" w:after="60"/>
              <w:rPr>
                <w:rFonts w:cs="Arial"/>
              </w:rPr>
            </w:pPr>
          </w:p>
        </w:tc>
        <w:tc>
          <w:tcPr>
            <w:tcW w:w="3612" w:type="dxa"/>
          </w:tcPr>
          <w:p w14:paraId="7870ED7C" w14:textId="790F10FF" w:rsidR="001C3DD9" w:rsidRPr="00790B3D" w:rsidRDefault="00AA34CB" w:rsidP="002F5564">
            <w:pPr>
              <w:spacing w:before="60" w:after="60"/>
              <w:rPr>
                <w:rFonts w:cs="Arial"/>
              </w:rPr>
            </w:pPr>
            <w:r w:rsidRPr="00790B3D">
              <w:rPr>
                <w:rFonts w:cs="Arial"/>
              </w:rPr>
              <w:t xml:space="preserve">Government: impact on Budget </w:t>
            </w:r>
            <w:r>
              <w:rPr>
                <w:rFonts w:cs="Arial"/>
              </w:rPr>
              <w:t xml:space="preserve">or through </w:t>
            </w:r>
            <w:r w:rsidR="00F23E44">
              <w:rPr>
                <w:rFonts w:cs="Arial"/>
              </w:rPr>
              <w:t>revenue option</w:t>
            </w:r>
            <w:r w:rsidR="000902B4">
              <w:rPr>
                <w:rFonts w:cs="Arial"/>
              </w:rPr>
              <w:t xml:space="preserve"> for </w:t>
            </w:r>
            <w:r w:rsidR="00F23E44">
              <w:rPr>
                <w:rFonts w:cs="Arial"/>
              </w:rPr>
              <w:t xml:space="preserve">alternatives </w:t>
            </w:r>
            <w:r w:rsidR="000902B4">
              <w:rPr>
                <w:rFonts w:cs="Arial"/>
              </w:rPr>
              <w:t>a to d.</w:t>
            </w:r>
            <w:r w:rsidR="00F440D7">
              <w:rPr>
                <w:rFonts w:cs="Arial"/>
              </w:rPr>
              <w:t xml:space="preserve"> Administrative c</w:t>
            </w:r>
            <w:r w:rsidR="001C3DD9">
              <w:rPr>
                <w:rFonts w:cs="Arial"/>
              </w:rPr>
              <w:t xml:space="preserve">osts associated with </w:t>
            </w:r>
            <w:r w:rsidR="00F440D7">
              <w:rPr>
                <w:rFonts w:cs="Arial"/>
              </w:rPr>
              <w:t xml:space="preserve">calculating refinery margin marker based on external market factors (refined product prices, crude prices, freight costs to Australia) and providing production payments to refiners. </w:t>
            </w:r>
          </w:p>
          <w:p w14:paraId="4848FEDC" w14:textId="31B18064" w:rsidR="002F5564" w:rsidRDefault="002F5564" w:rsidP="002F5564">
            <w:pPr>
              <w:spacing w:before="60" w:after="60"/>
              <w:rPr>
                <w:rFonts w:cs="Arial"/>
              </w:rPr>
            </w:pPr>
            <w:r>
              <w:rPr>
                <w:rFonts w:cs="Arial"/>
              </w:rPr>
              <w:t xml:space="preserve">Consumer: </w:t>
            </w:r>
            <w:r w:rsidR="006E288C">
              <w:rPr>
                <w:rFonts w:cs="Arial"/>
              </w:rPr>
              <w:t xml:space="preserve">Cost pass through </w:t>
            </w:r>
            <w:r>
              <w:rPr>
                <w:rFonts w:cs="Arial"/>
              </w:rPr>
              <w:t xml:space="preserve">to fuel </w:t>
            </w:r>
            <w:r w:rsidR="00D4707E">
              <w:rPr>
                <w:rFonts w:cs="Arial"/>
              </w:rPr>
              <w:t xml:space="preserve">prices if the mechanism is funded through </w:t>
            </w:r>
            <w:r w:rsidR="00F23E44">
              <w:rPr>
                <w:rFonts w:cs="Arial"/>
              </w:rPr>
              <w:t>a revenue</w:t>
            </w:r>
            <w:r w:rsidR="00AA34CB">
              <w:rPr>
                <w:rFonts w:cs="Arial"/>
              </w:rPr>
              <w:t xml:space="preserve"> </w:t>
            </w:r>
            <w:r w:rsidR="00D4707E">
              <w:rPr>
                <w:rFonts w:cs="Arial"/>
              </w:rPr>
              <w:t xml:space="preserve">option. </w:t>
            </w:r>
            <w:r w:rsidR="00DD7995">
              <w:rPr>
                <w:rFonts w:cs="Arial"/>
              </w:rPr>
              <w:t>If paid through via consolidate</w:t>
            </w:r>
            <w:r w:rsidR="003208AB">
              <w:rPr>
                <w:rFonts w:cs="Arial"/>
              </w:rPr>
              <w:t>d</w:t>
            </w:r>
            <w:r w:rsidR="00DD7995">
              <w:rPr>
                <w:rFonts w:cs="Arial"/>
              </w:rPr>
              <w:t xml:space="preserve"> revenue, there would be limited impact</w:t>
            </w:r>
            <w:r w:rsidR="006E288C">
              <w:rPr>
                <w:rFonts w:cs="Arial"/>
              </w:rPr>
              <w:t>.</w:t>
            </w:r>
          </w:p>
          <w:p w14:paraId="7344E866" w14:textId="5CD92495" w:rsidR="00367901" w:rsidRPr="00367901" w:rsidRDefault="00367901" w:rsidP="002F5564">
            <w:pPr>
              <w:spacing w:before="60" w:after="60"/>
              <w:rPr>
                <w:rFonts w:cs="Arial"/>
                <w:u w:val="single"/>
              </w:rPr>
            </w:pPr>
            <w:r w:rsidRPr="00367901">
              <w:rPr>
                <w:rFonts w:cs="Arial"/>
                <w:u w:val="single"/>
              </w:rPr>
              <w:t>Industry</w:t>
            </w:r>
            <w:r>
              <w:rPr>
                <w:rFonts w:cs="Arial"/>
                <w:u w:val="single"/>
              </w:rPr>
              <w:t>:</w:t>
            </w:r>
          </w:p>
          <w:p w14:paraId="336627F2" w14:textId="18177788" w:rsidR="001F4494" w:rsidRPr="0026734B" w:rsidRDefault="00BD3596" w:rsidP="0061480B">
            <w:pPr>
              <w:spacing w:before="60" w:after="60"/>
            </w:pPr>
            <w:r>
              <w:rPr>
                <w:rFonts w:cs="Arial"/>
              </w:rPr>
              <w:t>There are</w:t>
            </w:r>
            <w:r w:rsidR="00367901">
              <w:rPr>
                <w:rFonts w:cs="Arial"/>
              </w:rPr>
              <w:t xml:space="preserve"> costs with complying</w:t>
            </w:r>
            <w:r w:rsidR="003D2737">
              <w:rPr>
                <w:rFonts w:cs="Arial"/>
              </w:rPr>
              <w:t xml:space="preserve"> with the regulatory requirements,</w:t>
            </w:r>
            <w:r w:rsidR="00367901">
              <w:rPr>
                <w:rFonts w:cs="Arial"/>
              </w:rPr>
              <w:t xml:space="preserve"> </w:t>
            </w:r>
            <w:r w:rsidR="00265854">
              <w:rPr>
                <w:rFonts w:cs="Arial"/>
              </w:rPr>
              <w:t>including</w:t>
            </w:r>
            <w:r w:rsidR="003D2737">
              <w:rPr>
                <w:rFonts w:cs="Arial"/>
              </w:rPr>
              <w:t xml:space="preserve"> reporting production levels of eligible fuels. There would also be </w:t>
            </w:r>
            <w:r w:rsidR="003D2737" w:rsidRPr="0026734B">
              <w:rPr>
                <w:rFonts w:cs="Arial"/>
              </w:rPr>
              <w:t>business costs to support the target set for availability of supply</w:t>
            </w:r>
            <w:r w:rsidR="003D2737">
              <w:rPr>
                <w:rFonts w:cs="Arial"/>
              </w:rPr>
              <w:t>.</w:t>
            </w:r>
          </w:p>
        </w:tc>
        <w:tc>
          <w:tcPr>
            <w:tcW w:w="6029" w:type="dxa"/>
          </w:tcPr>
          <w:p w14:paraId="71174993" w14:textId="5467D4E2" w:rsidR="002F5564" w:rsidRPr="00AD5949" w:rsidRDefault="00AA34CB" w:rsidP="002F5564">
            <w:pPr>
              <w:spacing w:before="60" w:after="60"/>
              <w:rPr>
                <w:rFonts w:cs="Arial"/>
              </w:rPr>
            </w:pPr>
            <w:r w:rsidRPr="00AD5949">
              <w:rPr>
                <w:rFonts w:cs="Arial"/>
              </w:rPr>
              <w:t xml:space="preserve">Refineries: </w:t>
            </w:r>
          </w:p>
          <w:p w14:paraId="6233F97E" w14:textId="171E9F96" w:rsidR="0071008F" w:rsidRPr="0026734B" w:rsidRDefault="00B61BBD" w:rsidP="00B86109">
            <w:pPr>
              <w:pStyle w:val="ListParagraph"/>
              <w:numPr>
                <w:ilvl w:val="0"/>
                <w:numId w:val="21"/>
              </w:numPr>
              <w:spacing w:before="60" w:after="60"/>
              <w:rPr>
                <w:rFonts w:ascii="Arial" w:hAnsi="Arial" w:cs="Arial"/>
              </w:rPr>
            </w:pPr>
            <w:r w:rsidRPr="0026734B">
              <w:rPr>
                <w:rFonts w:ascii="Arial" w:hAnsi="Arial" w:cs="Arial"/>
              </w:rPr>
              <w:t xml:space="preserve">Drive competition and create incentives for higher utilisation. </w:t>
            </w:r>
          </w:p>
          <w:p w14:paraId="61EF9EFF" w14:textId="7DEA2A21" w:rsidR="000902B4" w:rsidRPr="0026734B" w:rsidRDefault="00B61BBD" w:rsidP="00B86109">
            <w:pPr>
              <w:pStyle w:val="ListParagraph"/>
              <w:numPr>
                <w:ilvl w:val="0"/>
                <w:numId w:val="21"/>
              </w:numPr>
              <w:spacing w:before="60" w:after="60"/>
              <w:rPr>
                <w:rFonts w:ascii="Arial" w:hAnsi="Arial" w:cs="Arial"/>
              </w:rPr>
            </w:pPr>
            <w:r w:rsidRPr="0026734B">
              <w:rPr>
                <w:rFonts w:ascii="Arial" w:hAnsi="Arial" w:cs="Arial"/>
              </w:rPr>
              <w:t>Potential to create inefficiencies in the optimal operations of refineries including driving incentive to minimise downtime to maximise payment.</w:t>
            </w:r>
          </w:p>
          <w:p w14:paraId="394D7FA8" w14:textId="540A9D2B" w:rsidR="00BD3596" w:rsidRPr="0026734B" w:rsidRDefault="00B61BBD" w:rsidP="00B86109">
            <w:pPr>
              <w:pStyle w:val="ListParagraph"/>
              <w:numPr>
                <w:ilvl w:val="0"/>
                <w:numId w:val="21"/>
              </w:numPr>
              <w:spacing w:before="60" w:after="60"/>
              <w:rPr>
                <w:rFonts w:ascii="Arial" w:hAnsi="Arial" w:cs="Arial"/>
              </w:rPr>
            </w:pPr>
            <w:r w:rsidRPr="0026734B">
              <w:rPr>
                <w:rFonts w:ascii="Arial" w:hAnsi="Arial" w:cs="Arial"/>
              </w:rPr>
              <w:t>Creates advantage for refiners that have better configuration than those that are less well managed.</w:t>
            </w:r>
          </w:p>
          <w:p w14:paraId="662A119D" w14:textId="435AD89E" w:rsidR="0044798B" w:rsidRDefault="00337B84" w:rsidP="0044798B">
            <w:pPr>
              <w:spacing w:before="60" w:after="60"/>
              <w:rPr>
                <w:rFonts w:cs="Arial"/>
              </w:rPr>
            </w:pPr>
            <w:r>
              <w:rPr>
                <w:rFonts w:cs="Arial"/>
              </w:rPr>
              <w:t>Fuel consumers</w:t>
            </w:r>
            <w:r w:rsidR="00AA34CB" w:rsidRPr="00AD5949">
              <w:rPr>
                <w:rFonts w:cs="Arial"/>
              </w:rPr>
              <w:t xml:space="preserve">: </w:t>
            </w:r>
          </w:p>
          <w:p w14:paraId="3FBD5609" w14:textId="74FC3698" w:rsidR="0044798B" w:rsidRDefault="0044798B" w:rsidP="0044798B">
            <w:pPr>
              <w:spacing w:before="60" w:after="60"/>
              <w:rPr>
                <w:rFonts w:cs="Arial"/>
              </w:rPr>
            </w:pPr>
            <w:r>
              <w:rPr>
                <w:rFonts w:cs="Arial"/>
              </w:rPr>
              <w:t>Options a</w:t>
            </w:r>
            <w:r w:rsidR="0023623F">
              <w:rPr>
                <w:rFonts w:cs="Arial"/>
              </w:rPr>
              <w:t xml:space="preserve"> to </w:t>
            </w:r>
            <w:r>
              <w:rPr>
                <w:rFonts w:cs="Arial"/>
              </w:rPr>
              <w:t xml:space="preserve">d </w:t>
            </w:r>
            <w:r w:rsidR="006E288C">
              <w:rPr>
                <w:rFonts w:cs="Arial"/>
              </w:rPr>
              <w:t>will</w:t>
            </w:r>
            <w:r>
              <w:rPr>
                <w:rFonts w:cs="Arial"/>
              </w:rPr>
              <w:t xml:space="preserve"> </w:t>
            </w:r>
            <w:r w:rsidR="0009023A">
              <w:rPr>
                <w:rFonts w:cs="Arial"/>
              </w:rPr>
              <w:t xml:space="preserve">have minimal impact at the bowser as support kicks in when there is downside pressure on fuel price and </w:t>
            </w:r>
            <w:r w:rsidR="0023623F">
              <w:rPr>
                <w:rFonts w:cs="Arial"/>
              </w:rPr>
              <w:t>payment is provided on the basis of supporting refinery viability.</w:t>
            </w:r>
          </w:p>
          <w:p w14:paraId="286F3E29" w14:textId="019739C6" w:rsidR="0044798B" w:rsidRDefault="0023623F" w:rsidP="0044798B">
            <w:pPr>
              <w:spacing w:before="60" w:after="60"/>
              <w:rPr>
                <w:rFonts w:cs="Arial"/>
              </w:rPr>
            </w:pPr>
            <w:r>
              <w:rPr>
                <w:rFonts w:cs="Arial"/>
              </w:rPr>
              <w:t xml:space="preserve">If funding is provided through a </w:t>
            </w:r>
            <w:r w:rsidR="00F23E44">
              <w:rPr>
                <w:rFonts w:cs="Arial"/>
              </w:rPr>
              <w:t>revenue option</w:t>
            </w:r>
            <w:r>
              <w:rPr>
                <w:rFonts w:cs="Arial"/>
              </w:rPr>
              <w:t xml:space="preserve">: </w:t>
            </w:r>
          </w:p>
          <w:p w14:paraId="7E49F71C" w14:textId="059F52F2" w:rsidR="0023623F" w:rsidRDefault="00433A56" w:rsidP="002F5564">
            <w:pPr>
              <w:spacing w:before="60" w:after="60"/>
              <w:rPr>
                <w:rFonts w:cs="Arial"/>
              </w:rPr>
            </w:pPr>
            <w:r w:rsidRPr="0044798B">
              <w:rPr>
                <w:rFonts w:cs="Arial"/>
              </w:rPr>
              <w:t xml:space="preserve">Under an adjustable production payment </w:t>
            </w:r>
            <w:r w:rsidR="0044798B" w:rsidRPr="0044798B">
              <w:rPr>
                <w:rFonts w:cs="Arial"/>
              </w:rPr>
              <w:t xml:space="preserve">mechanism, the net impact </w:t>
            </w:r>
            <w:r w:rsidR="005A1D73">
              <w:rPr>
                <w:rFonts w:cs="Arial"/>
              </w:rPr>
              <w:t xml:space="preserve">is </w:t>
            </w:r>
            <w:r w:rsidR="0023623F">
              <w:rPr>
                <w:rFonts w:cs="Arial"/>
              </w:rPr>
              <w:t>positive</w:t>
            </w:r>
            <w:r w:rsidR="00F440D7">
              <w:rPr>
                <w:rFonts w:cs="Arial"/>
              </w:rPr>
              <w:t xml:space="preserve"> when compared to a fixed payment mechanism</w:t>
            </w:r>
            <w:r w:rsidR="0044798B" w:rsidRPr="0044798B">
              <w:rPr>
                <w:rFonts w:cs="Arial"/>
              </w:rPr>
              <w:t xml:space="preserve">. When margins fall, refinery unit support is triggered to make up for the shortfall in margins to reach </w:t>
            </w:r>
            <w:r w:rsidR="005A1D73" w:rsidRPr="0044798B">
              <w:rPr>
                <w:rFonts w:cs="Arial"/>
              </w:rPr>
              <w:t>break</w:t>
            </w:r>
            <w:r w:rsidR="005A1D73">
              <w:rPr>
                <w:rFonts w:cs="Arial"/>
              </w:rPr>
              <w:t>e</w:t>
            </w:r>
            <w:r w:rsidR="005A1D73" w:rsidRPr="0044798B">
              <w:rPr>
                <w:rFonts w:cs="Arial"/>
              </w:rPr>
              <w:t>ven</w:t>
            </w:r>
            <w:r w:rsidR="0009023A">
              <w:rPr>
                <w:rFonts w:cs="Arial"/>
              </w:rPr>
              <w:t xml:space="preserve">. </w:t>
            </w:r>
          </w:p>
          <w:p w14:paraId="63D5C178" w14:textId="68831D9C" w:rsidR="002F5564" w:rsidRPr="004D47B9" w:rsidRDefault="0009023A" w:rsidP="002F5564">
            <w:pPr>
              <w:spacing w:before="60" w:after="60"/>
              <w:rPr>
                <w:rFonts w:cs="Arial"/>
              </w:rPr>
            </w:pPr>
            <w:r>
              <w:rPr>
                <w:rFonts w:cs="Arial"/>
              </w:rPr>
              <w:t xml:space="preserve">Economic incidence: </w:t>
            </w:r>
          </w:p>
          <w:p w14:paraId="1DE29351" w14:textId="61761864" w:rsidR="00C777A2" w:rsidRPr="0026734B" w:rsidRDefault="001F4494" w:rsidP="00B86109">
            <w:pPr>
              <w:pStyle w:val="ListParagraph"/>
              <w:numPr>
                <w:ilvl w:val="0"/>
                <w:numId w:val="22"/>
              </w:numPr>
              <w:spacing w:before="60" w:after="60"/>
              <w:rPr>
                <w:rFonts w:ascii="Arial" w:hAnsi="Arial" w:cs="Arial"/>
              </w:rPr>
            </w:pPr>
            <w:r w:rsidRPr="0026734B">
              <w:rPr>
                <w:rFonts w:ascii="Arial" w:hAnsi="Arial" w:cs="Arial"/>
              </w:rPr>
              <w:t>I</w:t>
            </w:r>
            <w:r w:rsidR="00C777A2" w:rsidRPr="0026734B">
              <w:rPr>
                <w:rFonts w:ascii="Arial" w:hAnsi="Arial" w:cs="Arial"/>
              </w:rPr>
              <w:t xml:space="preserve">ncrease competition in supply with fuel importers.  </w:t>
            </w:r>
          </w:p>
          <w:p w14:paraId="6E6181CE" w14:textId="27F63AD0" w:rsidR="00580EFC" w:rsidRPr="0026734B" w:rsidRDefault="00580EFC" w:rsidP="00B86109">
            <w:pPr>
              <w:pStyle w:val="ListParagraph"/>
              <w:numPr>
                <w:ilvl w:val="0"/>
                <w:numId w:val="22"/>
              </w:numPr>
              <w:spacing w:before="60" w:after="60"/>
              <w:rPr>
                <w:rFonts w:ascii="Arial" w:hAnsi="Arial" w:cs="Arial"/>
              </w:rPr>
            </w:pPr>
            <w:r w:rsidRPr="0026734B">
              <w:rPr>
                <w:rFonts w:ascii="Arial" w:hAnsi="Arial" w:cs="Arial"/>
              </w:rPr>
              <w:lastRenderedPageBreak/>
              <w:t xml:space="preserve">Proposed competitive disadvantage that could lead to </w:t>
            </w:r>
            <w:r w:rsidR="00B61BBD" w:rsidRPr="0026734B">
              <w:rPr>
                <w:rFonts w:ascii="Arial" w:hAnsi="Arial" w:cs="Arial"/>
              </w:rPr>
              <w:t>vertical</w:t>
            </w:r>
            <w:r w:rsidRPr="0026734B">
              <w:rPr>
                <w:rFonts w:ascii="Arial" w:hAnsi="Arial" w:cs="Arial"/>
              </w:rPr>
              <w:t xml:space="preserve"> consolidation</w:t>
            </w:r>
            <w:r w:rsidR="00B61BBD" w:rsidRPr="0026734B">
              <w:rPr>
                <w:rFonts w:ascii="Arial" w:hAnsi="Arial" w:cs="Arial"/>
              </w:rPr>
              <w:t xml:space="preserve"> for fuel importers and retailers i.e. with refiners</w:t>
            </w:r>
            <w:r w:rsidR="00C777A2" w:rsidRPr="0026734B">
              <w:rPr>
                <w:rFonts w:ascii="Arial" w:hAnsi="Arial" w:cs="Arial"/>
              </w:rPr>
              <w:t xml:space="preserve">. </w:t>
            </w:r>
          </w:p>
          <w:p w14:paraId="1A6C0637" w14:textId="770BB830" w:rsidR="00C777A2" w:rsidRPr="00AD5949" w:rsidRDefault="001F4494" w:rsidP="002F5564">
            <w:pPr>
              <w:spacing w:before="60" w:after="60"/>
              <w:rPr>
                <w:rFonts w:cs="Arial"/>
              </w:rPr>
            </w:pPr>
            <w:r>
              <w:t xml:space="preserve">For options c and d, </w:t>
            </w:r>
            <w:r>
              <w:rPr>
                <w:rFonts w:cs="Arial"/>
              </w:rPr>
              <w:t>d</w:t>
            </w:r>
            <w:r w:rsidRPr="001F4494">
              <w:rPr>
                <w:rFonts w:cs="Arial"/>
              </w:rPr>
              <w:t xml:space="preserve">ue to being tailored to market conditions, the impact of </w:t>
            </w:r>
            <w:r w:rsidR="005D1529">
              <w:rPr>
                <w:rFonts w:cs="Arial"/>
              </w:rPr>
              <w:t>support</w:t>
            </w:r>
            <w:r w:rsidR="005D1529" w:rsidRPr="001F4494">
              <w:rPr>
                <w:rFonts w:cs="Arial"/>
              </w:rPr>
              <w:t xml:space="preserve"> </w:t>
            </w:r>
            <w:r w:rsidRPr="001F4494">
              <w:rPr>
                <w:rFonts w:cs="Arial"/>
              </w:rPr>
              <w:t>is reduced.</w:t>
            </w:r>
            <w:r w:rsidR="005D1529">
              <w:rPr>
                <w:rFonts w:cs="Arial"/>
              </w:rPr>
              <w:t xml:space="preserve"> When refinery margins are at a specified level which enables domestic refineries to breakeven</w:t>
            </w:r>
            <w:r w:rsidR="00B15159">
              <w:rPr>
                <w:rFonts w:cs="Arial"/>
              </w:rPr>
              <w:t xml:space="preserve"> (the collar)</w:t>
            </w:r>
            <w:r w:rsidR="005D1529">
              <w:rPr>
                <w:rFonts w:cs="Arial"/>
              </w:rPr>
              <w:t xml:space="preserve">, no FSSP support will be provided. When margins drop below the collar, </w:t>
            </w:r>
            <w:r w:rsidR="00B15159">
              <w:rPr>
                <w:rFonts w:cs="Arial"/>
              </w:rPr>
              <w:t xml:space="preserve">the level of </w:t>
            </w:r>
            <w:r w:rsidR="005D1529">
              <w:rPr>
                <w:rFonts w:cs="Arial"/>
              </w:rPr>
              <w:t xml:space="preserve">FSSP </w:t>
            </w:r>
            <w:r w:rsidR="00B15159">
              <w:rPr>
                <w:rFonts w:cs="Arial"/>
              </w:rPr>
              <w:t>will be adjusted to enable refineries to continue to achieve breakeven conditions. Although the level of FSSP will be capped, and not fully cover refinery losses under very low margin conditions, there is a low probability that such conditions will occur.</w:t>
            </w:r>
          </w:p>
        </w:tc>
        <w:tc>
          <w:tcPr>
            <w:tcW w:w="3390" w:type="dxa"/>
            <w:vMerge w:val="restart"/>
          </w:tcPr>
          <w:p w14:paraId="59525196" w14:textId="57F2956A" w:rsidR="00BD3596" w:rsidRDefault="00AA34CB" w:rsidP="002F5564">
            <w:pPr>
              <w:spacing w:before="60" w:after="60"/>
              <w:rPr>
                <w:rFonts w:cs="Arial"/>
              </w:rPr>
            </w:pPr>
            <w:r w:rsidRPr="00790B3D">
              <w:rPr>
                <w:rFonts w:cs="Arial"/>
              </w:rPr>
              <w:lastRenderedPageBreak/>
              <w:t xml:space="preserve">Jobs: </w:t>
            </w:r>
            <w:r w:rsidR="00A5563B">
              <w:rPr>
                <w:rFonts w:cs="Arial"/>
              </w:rPr>
              <w:t xml:space="preserve">The proposed </w:t>
            </w:r>
            <w:r w:rsidR="00B61BBD">
              <w:rPr>
                <w:rFonts w:cs="Arial"/>
              </w:rPr>
              <w:t>options</w:t>
            </w:r>
            <w:r w:rsidR="00A5563B">
              <w:rPr>
                <w:rFonts w:cs="Arial"/>
              </w:rPr>
              <w:t xml:space="preserve"> seeks to minimise the impact on refiners’ incentives</w:t>
            </w:r>
            <w:r w:rsidR="00604C0D">
              <w:rPr>
                <w:rFonts w:cs="Arial"/>
              </w:rPr>
              <w:t xml:space="preserve"> and</w:t>
            </w:r>
            <w:r w:rsidR="00A5563B">
              <w:rPr>
                <w:rFonts w:cs="Arial"/>
              </w:rPr>
              <w:t xml:space="preserve"> provides certainty to the volumes produced locally</w:t>
            </w:r>
            <w:r w:rsidR="00604C0D">
              <w:rPr>
                <w:rFonts w:cs="Arial"/>
              </w:rPr>
              <w:t>. This would have the impact of maintaining direct employment and indirect employment associated with refinery operations.</w:t>
            </w:r>
          </w:p>
          <w:p w14:paraId="437D14C1" w14:textId="4AF176C8" w:rsidR="00604C0D" w:rsidRPr="008D21C8" w:rsidRDefault="00604C0D" w:rsidP="002F5564">
            <w:pPr>
              <w:spacing w:before="60" w:after="60"/>
              <w:rPr>
                <w:rFonts w:cs="Arial"/>
              </w:rPr>
            </w:pPr>
            <w:r>
              <w:rPr>
                <w:rFonts w:cs="Arial"/>
              </w:rPr>
              <w:t xml:space="preserve">Fuel security: </w:t>
            </w:r>
            <w:r w:rsidR="00BD3596">
              <w:rPr>
                <w:rFonts w:cs="Arial"/>
              </w:rPr>
              <w:t>The</w:t>
            </w:r>
            <w:r>
              <w:rPr>
                <w:rFonts w:cs="Arial"/>
              </w:rPr>
              <w:t xml:space="preserve"> ongoing viability of refiners</w:t>
            </w:r>
            <w:r w:rsidR="00BD3596">
              <w:rPr>
                <w:rFonts w:cs="Arial"/>
              </w:rPr>
              <w:t xml:space="preserve"> </w:t>
            </w:r>
            <w:r w:rsidR="00BD3596">
              <w:rPr>
                <w:rFonts w:eastAsia="Times New Roman" w:cstheme="minorHAnsi"/>
                <w:lang w:val="en" w:eastAsia="en-AU"/>
              </w:rPr>
              <w:t>offer protection during</w:t>
            </w:r>
            <w:r w:rsidR="00BD3596" w:rsidRPr="00000A05">
              <w:rPr>
                <w:rFonts w:eastAsia="Times New Roman" w:cstheme="minorHAnsi"/>
                <w:lang w:val="en" w:eastAsia="en-AU"/>
              </w:rPr>
              <w:t xml:space="preserve"> extreme disruption</w:t>
            </w:r>
            <w:r w:rsidR="00BD3596">
              <w:rPr>
                <w:rFonts w:eastAsia="Times New Roman" w:cstheme="minorHAnsi"/>
                <w:lang w:val="en" w:eastAsia="en-AU"/>
              </w:rPr>
              <w:t xml:space="preserve">s to </w:t>
            </w:r>
            <w:r w:rsidR="00B61BBD">
              <w:rPr>
                <w:rFonts w:eastAsia="Times New Roman" w:cstheme="minorHAnsi"/>
                <w:lang w:val="en" w:eastAsia="en-AU"/>
              </w:rPr>
              <w:t xml:space="preserve">fuel </w:t>
            </w:r>
            <w:r w:rsidR="00BD3596">
              <w:rPr>
                <w:rFonts w:eastAsia="Times New Roman" w:cstheme="minorHAnsi"/>
                <w:lang w:val="en" w:eastAsia="en-AU"/>
              </w:rPr>
              <w:t>supply.</w:t>
            </w:r>
            <w:r>
              <w:rPr>
                <w:rFonts w:cs="Arial"/>
              </w:rPr>
              <w:t xml:space="preserve"> </w:t>
            </w:r>
            <w:r w:rsidR="00B61BBD">
              <w:rPr>
                <w:rFonts w:cs="Arial"/>
              </w:rPr>
              <w:t xml:space="preserve">Refiners are able to convert crude to product and can support critical industries. </w:t>
            </w:r>
          </w:p>
          <w:p w14:paraId="318E5E47" w14:textId="46ADD0FC" w:rsidR="00BD3596" w:rsidRPr="00860407" w:rsidRDefault="00AA34CB" w:rsidP="0061480B">
            <w:pPr>
              <w:spacing w:before="60" w:after="60"/>
              <w:rPr>
                <w:rFonts w:eastAsia="Times New Roman" w:cstheme="minorHAnsi"/>
                <w:lang w:val="en" w:eastAsia="en-AU"/>
              </w:rPr>
            </w:pPr>
            <w:r w:rsidRPr="00790B3D">
              <w:rPr>
                <w:rFonts w:cs="Arial"/>
              </w:rPr>
              <w:t xml:space="preserve">Economy: </w:t>
            </w:r>
            <w:r w:rsidR="00BD3596">
              <w:rPr>
                <w:rFonts w:eastAsia="Times New Roman" w:cstheme="minorHAnsi"/>
                <w:lang w:val="en" w:eastAsia="en-AU"/>
              </w:rPr>
              <w:t>Local r</w:t>
            </w:r>
            <w:r w:rsidR="00BD3596" w:rsidRPr="00000A05">
              <w:rPr>
                <w:rFonts w:eastAsia="Times New Roman" w:cstheme="minorHAnsi"/>
                <w:lang w:val="en" w:eastAsia="en-AU"/>
              </w:rPr>
              <w:t xml:space="preserve">efineries </w:t>
            </w:r>
            <w:r w:rsidR="00BD3596">
              <w:rPr>
                <w:rFonts w:eastAsia="Times New Roman" w:cstheme="minorHAnsi"/>
                <w:lang w:val="en" w:eastAsia="en-AU"/>
              </w:rPr>
              <w:t xml:space="preserve">help keep fuel prices low, and support </w:t>
            </w:r>
            <w:r w:rsidR="00BD3596" w:rsidRPr="00860407">
              <w:rPr>
                <w:rFonts w:eastAsia="Times New Roman" w:cstheme="minorHAnsi"/>
                <w:lang w:val="en" w:eastAsia="en-AU"/>
              </w:rPr>
              <w:t xml:space="preserve">domestic industries such as petrochemicals. </w:t>
            </w:r>
            <w:r w:rsidR="008D21C8" w:rsidRPr="00860407">
              <w:t xml:space="preserve">If </w:t>
            </w:r>
            <w:r w:rsidR="008D21C8">
              <w:t xml:space="preserve">Australia’s refineries close, this is expected to </w:t>
            </w:r>
            <w:r w:rsidR="008D21C8" w:rsidRPr="00000A05">
              <w:t xml:space="preserve">increase </w:t>
            </w:r>
            <w:r w:rsidR="008D21C8">
              <w:t xml:space="preserve">prices for petrol, </w:t>
            </w:r>
            <w:r w:rsidR="008D21C8" w:rsidRPr="00860407">
              <w:t xml:space="preserve">diesel </w:t>
            </w:r>
            <w:r w:rsidR="008D21C8" w:rsidRPr="00860407">
              <w:lastRenderedPageBreak/>
              <w:t xml:space="preserve">and jet fuel </w:t>
            </w:r>
            <w:r w:rsidR="008D21C8" w:rsidRPr="00000A05">
              <w:t xml:space="preserve">by </w:t>
            </w:r>
            <w:r w:rsidR="008D21C8">
              <w:t xml:space="preserve">up to one </w:t>
            </w:r>
            <w:r w:rsidR="008D21C8" w:rsidRPr="00000A05">
              <w:t xml:space="preserve">cent </w:t>
            </w:r>
            <w:r w:rsidR="008D21C8" w:rsidRPr="002F0DC5">
              <w:rPr>
                <w:rFonts w:eastAsia="Times New Roman" w:cstheme="minorHAnsi"/>
                <w:lang w:val="en" w:eastAsia="en-AU"/>
              </w:rPr>
              <w:t>per</w:t>
            </w:r>
            <w:r w:rsidR="008D21C8" w:rsidRPr="00000A05">
              <w:t xml:space="preserve"> litre</w:t>
            </w:r>
            <w:r w:rsidR="008D21C8">
              <w:t>.</w:t>
            </w:r>
          </w:p>
          <w:p w14:paraId="04EE5A32" w14:textId="1AEDD844" w:rsidR="00AA34CB" w:rsidRDefault="00AA34CB" w:rsidP="00A5563B">
            <w:pPr>
              <w:spacing w:before="60" w:after="60"/>
              <w:rPr>
                <w:rFonts w:cs="Arial"/>
              </w:rPr>
            </w:pPr>
          </w:p>
          <w:p w14:paraId="643DFDBB" w14:textId="3D8A2CFE" w:rsidR="002F5564" w:rsidRPr="00B61BBD" w:rsidRDefault="002F5564" w:rsidP="00B61BBD">
            <w:pPr>
              <w:spacing w:before="60" w:after="60"/>
              <w:rPr>
                <w:rFonts w:cs="Arial"/>
              </w:rPr>
            </w:pPr>
          </w:p>
        </w:tc>
      </w:tr>
      <w:tr w:rsidR="002F5564" w:rsidRPr="000A00B5" w14:paraId="46361D84" w14:textId="77777777" w:rsidTr="006615CD">
        <w:tc>
          <w:tcPr>
            <w:tcW w:w="2704" w:type="dxa"/>
          </w:tcPr>
          <w:p w14:paraId="1C757A63" w14:textId="2920BEA0" w:rsidR="002F5564" w:rsidRPr="00E21B0F" w:rsidRDefault="008B1ED4" w:rsidP="002F5564">
            <w:pPr>
              <w:spacing w:before="60" w:after="60"/>
              <w:rPr>
                <w:rFonts w:cs="Arial"/>
              </w:rPr>
            </w:pPr>
            <w:r w:rsidRPr="00E21B0F">
              <w:rPr>
                <w:rFonts w:cs="Arial"/>
              </w:rPr>
              <w:lastRenderedPageBreak/>
              <w:t xml:space="preserve">Option </w:t>
            </w:r>
            <w:r>
              <w:rPr>
                <w:rFonts w:cs="Arial"/>
              </w:rPr>
              <w:t xml:space="preserve">2. </w:t>
            </w:r>
            <w:r w:rsidR="0044798B">
              <w:rPr>
                <w:rFonts w:cs="Arial"/>
              </w:rPr>
              <w:t>Absolute l</w:t>
            </w:r>
            <w:r w:rsidR="00AA34CB">
              <w:rPr>
                <w:rFonts w:cs="Arial"/>
              </w:rPr>
              <w:t>ocal content obligation</w:t>
            </w:r>
          </w:p>
        </w:tc>
        <w:tc>
          <w:tcPr>
            <w:tcW w:w="3612" w:type="dxa"/>
          </w:tcPr>
          <w:p w14:paraId="002D7801" w14:textId="5A36CE2A" w:rsidR="00D4707E" w:rsidRPr="00E21B0F" w:rsidRDefault="00D4707E" w:rsidP="00D4707E">
            <w:pPr>
              <w:spacing w:before="60" w:after="60"/>
              <w:rPr>
                <w:rFonts w:cs="Arial"/>
              </w:rPr>
            </w:pPr>
            <w:r w:rsidRPr="00E21B0F">
              <w:rPr>
                <w:rFonts w:cs="Arial"/>
              </w:rPr>
              <w:t xml:space="preserve">Government: </w:t>
            </w:r>
            <w:r w:rsidR="002963C8">
              <w:rPr>
                <w:rFonts w:cs="Arial"/>
              </w:rPr>
              <w:t>Cost to implement and impose guaranteed local production volume on industry through a certificates scheme</w:t>
            </w:r>
          </w:p>
          <w:p w14:paraId="44F2ACBF" w14:textId="6DA4B11F" w:rsidR="002963C8" w:rsidRPr="00E21B0F" w:rsidRDefault="00D4707E" w:rsidP="00D4707E">
            <w:pPr>
              <w:spacing w:before="60" w:after="60"/>
              <w:rPr>
                <w:rFonts w:cs="Arial"/>
              </w:rPr>
            </w:pPr>
            <w:r w:rsidRPr="00E21B0F">
              <w:rPr>
                <w:rFonts w:cs="Arial"/>
              </w:rPr>
              <w:t xml:space="preserve">Industry: </w:t>
            </w:r>
            <w:r w:rsidR="002963C8">
              <w:rPr>
                <w:rFonts w:cs="Arial"/>
              </w:rPr>
              <w:t xml:space="preserve">Price setting power by domestic refiners with disadvantage conferred to wholesalers. </w:t>
            </w:r>
          </w:p>
          <w:p w14:paraId="1B9562D5" w14:textId="5A4FB33D" w:rsidR="002F5564" w:rsidRPr="000A00B5" w:rsidRDefault="00D4707E" w:rsidP="002F5564">
            <w:pPr>
              <w:spacing w:before="60" w:after="60"/>
              <w:rPr>
                <w:rFonts w:asciiTheme="minorHAnsi" w:hAnsiTheme="minorHAnsi" w:cs="Arial"/>
                <w:highlight w:val="yellow"/>
              </w:rPr>
            </w:pPr>
            <w:r w:rsidRPr="00E21B0F">
              <w:rPr>
                <w:rFonts w:cs="Arial"/>
              </w:rPr>
              <w:t>Consumer:</w:t>
            </w:r>
            <w:r w:rsidR="002963C8">
              <w:rPr>
                <w:rFonts w:cs="Arial"/>
              </w:rPr>
              <w:t xml:space="preserve"> Significant cost increase on local product due to a low competition (with few domestic refiners in the market) and higher transport cost to be factored in i.e. transported from refiners.</w:t>
            </w:r>
          </w:p>
        </w:tc>
        <w:tc>
          <w:tcPr>
            <w:tcW w:w="6029" w:type="dxa"/>
          </w:tcPr>
          <w:p w14:paraId="0E8CBAC7" w14:textId="6BB4889D" w:rsidR="00AA34CB" w:rsidRDefault="00337B84" w:rsidP="00A04B4B">
            <w:pPr>
              <w:spacing w:before="60" w:after="60"/>
              <w:rPr>
                <w:rFonts w:cs="Arial"/>
              </w:rPr>
            </w:pPr>
            <w:r>
              <w:rPr>
                <w:rFonts w:cs="Arial"/>
              </w:rPr>
              <w:t>Fuel consumers</w:t>
            </w:r>
            <w:r w:rsidR="00AA34CB" w:rsidRPr="00AD5949">
              <w:rPr>
                <w:rFonts w:cs="Arial"/>
              </w:rPr>
              <w:t xml:space="preserve">: </w:t>
            </w:r>
            <w:r w:rsidR="0095486A">
              <w:rPr>
                <w:rFonts w:cs="Arial"/>
              </w:rPr>
              <w:t>Higher prices</w:t>
            </w:r>
            <w:r w:rsidR="0044798B">
              <w:rPr>
                <w:rFonts w:cs="Arial"/>
              </w:rPr>
              <w:t xml:space="preserve"> </w:t>
            </w:r>
            <w:r w:rsidR="006A763E">
              <w:rPr>
                <w:rFonts w:cs="Arial"/>
              </w:rPr>
              <w:t xml:space="preserve">for fuel consumers due to price setting power </w:t>
            </w:r>
            <w:r w:rsidR="003E183B">
              <w:rPr>
                <w:rFonts w:cs="Arial"/>
              </w:rPr>
              <w:t xml:space="preserve">conferred to </w:t>
            </w:r>
            <w:r w:rsidR="006A763E">
              <w:rPr>
                <w:rFonts w:cs="Arial"/>
              </w:rPr>
              <w:t>refiners</w:t>
            </w:r>
            <w:r w:rsidR="003E183B">
              <w:rPr>
                <w:rFonts w:cs="Arial"/>
              </w:rPr>
              <w:t xml:space="preserve"> and the </w:t>
            </w:r>
            <w:r w:rsidR="0095486A">
              <w:rPr>
                <w:rFonts w:cs="Arial"/>
              </w:rPr>
              <w:t xml:space="preserve">limited </w:t>
            </w:r>
            <w:r w:rsidR="003E183B">
              <w:rPr>
                <w:rFonts w:cs="Arial"/>
              </w:rPr>
              <w:t xml:space="preserve">ability of wholesalers to access adequate and suitably priced supply. </w:t>
            </w:r>
          </w:p>
          <w:p w14:paraId="007A01CD" w14:textId="6CF7EB75" w:rsidR="002F5564" w:rsidRPr="00AD5949" w:rsidRDefault="003E183B" w:rsidP="002F5564">
            <w:pPr>
              <w:spacing w:before="60" w:after="60"/>
              <w:rPr>
                <w:rFonts w:cs="Arial"/>
              </w:rPr>
            </w:pPr>
            <w:r w:rsidRPr="004D47B9">
              <w:rPr>
                <w:rFonts w:cs="Arial"/>
              </w:rPr>
              <w:t xml:space="preserve">Market participants: </w:t>
            </w:r>
            <w:r>
              <w:rPr>
                <w:rFonts w:cs="Arial"/>
              </w:rPr>
              <w:t xml:space="preserve">Due to the limited number of </w:t>
            </w:r>
            <w:r w:rsidR="0095486A">
              <w:rPr>
                <w:rFonts w:cs="Arial"/>
              </w:rPr>
              <w:t xml:space="preserve">domestic </w:t>
            </w:r>
            <w:r>
              <w:rPr>
                <w:rFonts w:cs="Arial"/>
              </w:rPr>
              <w:t xml:space="preserve">refiners in Australia, there is potential for market </w:t>
            </w:r>
            <w:r w:rsidR="0095486A">
              <w:rPr>
                <w:rFonts w:cs="Arial"/>
              </w:rPr>
              <w:t>power to be exercised by these refiners</w:t>
            </w:r>
            <w:r>
              <w:rPr>
                <w:rFonts w:cs="Arial"/>
              </w:rPr>
              <w:t xml:space="preserve">. A local content obligation would also </w:t>
            </w:r>
            <w:r w:rsidR="0095486A">
              <w:rPr>
                <w:rFonts w:cs="Arial"/>
              </w:rPr>
              <w:t xml:space="preserve">introduce </w:t>
            </w:r>
            <w:r>
              <w:rPr>
                <w:rFonts w:cs="Arial"/>
              </w:rPr>
              <w:t xml:space="preserve">inefficiencies for wholesalers especially in regions without a local refiner where they are able to buy locally.  </w:t>
            </w:r>
          </w:p>
        </w:tc>
        <w:tc>
          <w:tcPr>
            <w:tcW w:w="3390" w:type="dxa"/>
            <w:vMerge/>
          </w:tcPr>
          <w:p w14:paraId="3945CF7F" w14:textId="4FDFC33D" w:rsidR="002F5564" w:rsidRPr="00AD5949" w:rsidRDefault="002F5564" w:rsidP="002F5564">
            <w:pPr>
              <w:spacing w:before="60" w:after="60"/>
              <w:rPr>
                <w:rFonts w:cs="Arial"/>
              </w:rPr>
            </w:pPr>
          </w:p>
        </w:tc>
      </w:tr>
      <w:tr w:rsidR="00A228B6" w:rsidRPr="000A00B5" w14:paraId="12117F30" w14:textId="77777777" w:rsidTr="006615CD">
        <w:tc>
          <w:tcPr>
            <w:tcW w:w="2704" w:type="dxa"/>
          </w:tcPr>
          <w:p w14:paraId="0905D83F" w14:textId="2CD9F920" w:rsidR="00A228B6" w:rsidRPr="00E21B0F" w:rsidRDefault="00A228B6" w:rsidP="00A228B6">
            <w:pPr>
              <w:spacing w:before="60" w:after="60"/>
              <w:rPr>
                <w:rFonts w:cs="Arial"/>
              </w:rPr>
            </w:pPr>
            <w:r>
              <w:rPr>
                <w:rFonts w:cs="Arial"/>
              </w:rPr>
              <w:t>Option 3: Differential Excise</w:t>
            </w:r>
          </w:p>
        </w:tc>
        <w:tc>
          <w:tcPr>
            <w:tcW w:w="3612" w:type="dxa"/>
          </w:tcPr>
          <w:p w14:paraId="5493A134" w14:textId="7E37D6B2" w:rsidR="00D4707E" w:rsidRPr="00E21B0F" w:rsidRDefault="003E183B" w:rsidP="00D4707E">
            <w:pPr>
              <w:spacing w:before="60" w:after="60"/>
              <w:rPr>
                <w:rFonts w:cs="Arial"/>
              </w:rPr>
            </w:pPr>
            <w:r w:rsidRPr="00E21B0F">
              <w:rPr>
                <w:rFonts w:cs="Arial"/>
              </w:rPr>
              <w:t xml:space="preserve">Government: </w:t>
            </w:r>
            <w:r>
              <w:rPr>
                <w:rFonts w:cs="Arial"/>
              </w:rPr>
              <w:t xml:space="preserve">Cost for implementation but Budget neutral as the reduction in revenue from the domestic fuel excise imposed on the wholesale market for transport fuels is offset by the increase in fuel excise for imported fuel.  </w:t>
            </w:r>
          </w:p>
          <w:p w14:paraId="40459B8A" w14:textId="7BD6C5DE" w:rsidR="00A228B6" w:rsidRDefault="003E183B" w:rsidP="002F5564">
            <w:pPr>
              <w:spacing w:before="60" w:after="60"/>
              <w:rPr>
                <w:rFonts w:cs="Arial"/>
              </w:rPr>
            </w:pPr>
            <w:r w:rsidRPr="00E21B0F">
              <w:rPr>
                <w:rFonts w:cs="Arial"/>
              </w:rPr>
              <w:lastRenderedPageBreak/>
              <w:t xml:space="preserve">Industry: </w:t>
            </w:r>
            <w:r>
              <w:rPr>
                <w:rFonts w:cs="Arial"/>
              </w:rPr>
              <w:t xml:space="preserve">Cost to industry to comply with new reporting, disbursement and refund processes under differential excise for importers and domestic fuel consumers that currently access rebates through the fuel excise regime. </w:t>
            </w:r>
          </w:p>
        </w:tc>
        <w:tc>
          <w:tcPr>
            <w:tcW w:w="6029" w:type="dxa"/>
          </w:tcPr>
          <w:p w14:paraId="70DE76E2" w14:textId="3A09527D" w:rsidR="00A04B4B" w:rsidRDefault="00337B84" w:rsidP="00A04B4B">
            <w:pPr>
              <w:spacing w:before="60" w:after="60"/>
              <w:rPr>
                <w:rFonts w:cs="Arial"/>
              </w:rPr>
            </w:pPr>
            <w:r>
              <w:rPr>
                <w:rFonts w:cs="Arial"/>
              </w:rPr>
              <w:lastRenderedPageBreak/>
              <w:t>Fuel consumers</w:t>
            </w:r>
            <w:r w:rsidR="003E183B" w:rsidRPr="00AD5949">
              <w:rPr>
                <w:rFonts w:cs="Arial"/>
              </w:rPr>
              <w:t xml:space="preserve">: </w:t>
            </w:r>
            <w:r w:rsidR="00DD1E60">
              <w:rPr>
                <w:rFonts w:cs="Arial"/>
              </w:rPr>
              <w:t>As discussed below, the</w:t>
            </w:r>
            <w:r w:rsidR="003E183B">
              <w:rPr>
                <w:rFonts w:cs="Arial"/>
              </w:rPr>
              <w:t xml:space="preserve"> cost pass through to consumers </w:t>
            </w:r>
            <w:r w:rsidR="00DD1E60">
              <w:rPr>
                <w:rFonts w:cs="Arial"/>
              </w:rPr>
              <w:t xml:space="preserve">of differentiated excise treatment between imported and domestic refined fuel is uncertain. Based on import parity pricing, the price should increase to reflect the excise rate on imported fuels. However importers may </w:t>
            </w:r>
            <w:r w:rsidR="006A05AA">
              <w:rPr>
                <w:rFonts w:cs="Arial"/>
              </w:rPr>
              <w:t>absorb some of these costs to gain market share.</w:t>
            </w:r>
            <w:r w:rsidR="003E183B">
              <w:rPr>
                <w:rFonts w:cs="Arial"/>
              </w:rPr>
              <w:t xml:space="preserve"> </w:t>
            </w:r>
          </w:p>
          <w:p w14:paraId="567CE2E0" w14:textId="09797B35" w:rsidR="00DD1E60" w:rsidRDefault="00A04B4B" w:rsidP="00A04B4B">
            <w:pPr>
              <w:spacing w:before="60" w:after="60"/>
              <w:rPr>
                <w:rFonts w:cs="Arial"/>
              </w:rPr>
            </w:pPr>
            <w:r w:rsidRPr="004D47B9">
              <w:rPr>
                <w:rFonts w:cs="Arial"/>
              </w:rPr>
              <w:t xml:space="preserve">Market participants: </w:t>
            </w:r>
            <w:r w:rsidR="00430654">
              <w:rPr>
                <w:rFonts w:cs="Arial"/>
              </w:rPr>
              <w:t xml:space="preserve">A </w:t>
            </w:r>
            <w:r w:rsidR="00430654" w:rsidRPr="00430654">
              <w:rPr>
                <w:rFonts w:cs="Arial"/>
              </w:rPr>
              <w:t xml:space="preserve">differential excise that involves amending the existing fuel excise to provide a discount to domestic </w:t>
            </w:r>
            <w:r w:rsidR="00430654" w:rsidRPr="00430654">
              <w:rPr>
                <w:rFonts w:cs="Arial"/>
              </w:rPr>
              <w:lastRenderedPageBreak/>
              <w:t>refineries and a</w:t>
            </w:r>
            <w:r w:rsidR="00430654">
              <w:rPr>
                <w:rFonts w:cs="Arial"/>
              </w:rPr>
              <w:t>n increase for importers. This c</w:t>
            </w:r>
            <w:r w:rsidR="00430654" w:rsidRPr="00430654">
              <w:rPr>
                <w:rFonts w:cs="Arial"/>
              </w:rPr>
              <w:t xml:space="preserve">ould provide indirect </w:t>
            </w:r>
            <w:r w:rsidR="008E0679">
              <w:rPr>
                <w:rFonts w:cs="Arial"/>
              </w:rPr>
              <w:t>support</w:t>
            </w:r>
            <w:r w:rsidR="00430654" w:rsidRPr="00430654">
              <w:rPr>
                <w:rFonts w:cs="Arial"/>
              </w:rPr>
              <w:t xml:space="preserve"> to refineries – they would receive the benefit of the discounted excise but no direct payments. This would preserve existing fuel tax credits and government revenue</w:t>
            </w:r>
            <w:r w:rsidR="00DD1E60">
              <w:rPr>
                <w:rFonts w:cs="Arial"/>
              </w:rPr>
              <w:t xml:space="preserve">. </w:t>
            </w:r>
            <w:r w:rsidR="00430654">
              <w:rPr>
                <w:rFonts w:cs="Arial"/>
              </w:rPr>
              <w:t xml:space="preserve">There is a risk that importers may not fully pass </w:t>
            </w:r>
            <w:r w:rsidR="00DD1E60">
              <w:rPr>
                <w:rFonts w:cs="Arial"/>
              </w:rPr>
              <w:t>through their higher excise costs to fuel consumers, reducing the level of indirect support to domestic refineries.</w:t>
            </w:r>
          </w:p>
          <w:p w14:paraId="7115D9FF" w14:textId="08103DBD" w:rsidR="000D2828" w:rsidRDefault="000D2828" w:rsidP="00A04B4B">
            <w:pPr>
              <w:spacing w:before="60" w:after="60"/>
              <w:rPr>
                <w:rFonts w:cs="Arial"/>
              </w:rPr>
            </w:pPr>
            <w:r>
              <w:rPr>
                <w:rFonts w:cs="Arial"/>
              </w:rPr>
              <w:t>T</w:t>
            </w:r>
            <w:r w:rsidRPr="000D2828">
              <w:rPr>
                <w:rFonts w:cs="Arial"/>
              </w:rPr>
              <w:t>here would be impact on the fuel industry</w:t>
            </w:r>
            <w:r w:rsidR="00DD1E60">
              <w:rPr>
                <w:rFonts w:cs="Arial"/>
              </w:rPr>
              <w:t>, due to the administrative complexities of applying differentiated excise rates to domestic refined and imported product</w:t>
            </w:r>
            <w:r w:rsidRPr="000D2828">
              <w:rPr>
                <w:rFonts w:cs="Arial"/>
              </w:rPr>
              <w:t>. The excise would continue to be</w:t>
            </w:r>
            <w:r>
              <w:rPr>
                <w:rFonts w:cs="Arial"/>
              </w:rPr>
              <w:t xml:space="preserve"> applied at the terminal gate, so a</w:t>
            </w:r>
            <w:r w:rsidRPr="000D2828">
              <w:rPr>
                <w:rFonts w:cs="Arial"/>
              </w:rPr>
              <w:t xml:space="preserve">mending the fuel excise would impose </w:t>
            </w:r>
            <w:r>
              <w:rPr>
                <w:rFonts w:cs="Arial"/>
              </w:rPr>
              <w:t xml:space="preserve">only a minor </w:t>
            </w:r>
            <w:r w:rsidRPr="000D2828">
              <w:rPr>
                <w:rFonts w:cs="Arial"/>
              </w:rPr>
              <w:t>regulatory burden, as the framework is already in place.</w:t>
            </w:r>
          </w:p>
          <w:p w14:paraId="47520AB1" w14:textId="77777777" w:rsidR="000D2828" w:rsidRDefault="000D2828" w:rsidP="0061480B">
            <w:pPr>
              <w:pStyle w:val="BodyText"/>
              <w:spacing w:before="60" w:after="60" w:line="276" w:lineRule="auto"/>
              <w:rPr>
                <w:rFonts w:ascii="Arial" w:hAnsi="Arial" w:cs="Arial"/>
              </w:rPr>
            </w:pPr>
            <w:r>
              <w:rPr>
                <w:rFonts w:ascii="Arial" w:hAnsi="Arial" w:cs="Arial"/>
              </w:rPr>
              <w:t>Implementing</w:t>
            </w:r>
            <w:r w:rsidRPr="00AF6B41">
              <w:rPr>
                <w:rFonts w:ascii="Arial" w:hAnsi="Arial" w:cs="Arial"/>
              </w:rPr>
              <w:t xml:space="preserve"> this option woul</w:t>
            </w:r>
            <w:r>
              <w:rPr>
                <w:rFonts w:ascii="Arial" w:hAnsi="Arial" w:cs="Arial"/>
              </w:rPr>
              <w:t xml:space="preserve">d require three amending Acts: </w:t>
            </w:r>
          </w:p>
          <w:p w14:paraId="436380D7" w14:textId="77777777" w:rsidR="000D2828" w:rsidRDefault="000D2828" w:rsidP="0061480B">
            <w:pPr>
              <w:pStyle w:val="BodyText"/>
              <w:numPr>
                <w:ilvl w:val="0"/>
                <w:numId w:val="23"/>
              </w:numPr>
              <w:spacing w:before="60" w:after="60" w:line="276" w:lineRule="auto"/>
              <w:rPr>
                <w:rFonts w:ascii="Arial" w:hAnsi="Arial" w:cs="Arial"/>
              </w:rPr>
            </w:pPr>
            <w:r w:rsidRPr="00AF6B41">
              <w:rPr>
                <w:rFonts w:ascii="Arial" w:hAnsi="Arial" w:cs="Arial"/>
              </w:rPr>
              <w:t xml:space="preserve">An amending Act to amend the Customs Tariff Act 1995 </w:t>
            </w:r>
          </w:p>
          <w:p w14:paraId="7BDD82C3" w14:textId="5B5287E7" w:rsidR="000D2828" w:rsidRPr="000D2828" w:rsidRDefault="000D2828" w:rsidP="0061480B">
            <w:pPr>
              <w:pStyle w:val="BodyText"/>
              <w:numPr>
                <w:ilvl w:val="0"/>
                <w:numId w:val="23"/>
              </w:numPr>
              <w:spacing w:before="60" w:after="60" w:line="276" w:lineRule="auto"/>
              <w:rPr>
                <w:rFonts w:ascii="Arial" w:hAnsi="Arial" w:cs="Arial"/>
              </w:rPr>
            </w:pPr>
            <w:r w:rsidRPr="000D2828">
              <w:rPr>
                <w:rFonts w:ascii="Arial" w:hAnsi="Arial" w:cs="Arial"/>
              </w:rPr>
              <w:t>A separate amending Act to amend the Excise Tariff Act 1901</w:t>
            </w:r>
          </w:p>
          <w:p w14:paraId="7BEE5FB5" w14:textId="77777777" w:rsidR="000D2828" w:rsidRDefault="000D2828" w:rsidP="0061480B">
            <w:pPr>
              <w:pStyle w:val="BodyText"/>
              <w:numPr>
                <w:ilvl w:val="0"/>
                <w:numId w:val="9"/>
              </w:numPr>
              <w:spacing w:before="60" w:after="60" w:line="276" w:lineRule="auto"/>
              <w:ind w:left="720"/>
              <w:rPr>
                <w:rFonts w:ascii="Arial" w:hAnsi="Arial" w:cs="Arial"/>
              </w:rPr>
            </w:pPr>
            <w:r w:rsidRPr="00AF6B41">
              <w:rPr>
                <w:rFonts w:ascii="Arial" w:hAnsi="Arial" w:cs="Arial"/>
              </w:rPr>
              <w:t xml:space="preserve">An amending Act to amend the Customs Act 1901 and the Excise Act 1901 and the Fuel Tax Act 2006. </w:t>
            </w:r>
          </w:p>
          <w:p w14:paraId="496CCEE1" w14:textId="749EF011" w:rsidR="00A228B6" w:rsidRPr="00684352" w:rsidRDefault="000D2828" w:rsidP="0061480B">
            <w:pPr>
              <w:pStyle w:val="BodyText"/>
              <w:spacing w:before="60" w:after="60" w:line="276" w:lineRule="auto"/>
              <w:rPr>
                <w:rFonts w:ascii="Arial" w:hAnsi="Arial" w:cs="Arial"/>
              </w:rPr>
            </w:pPr>
            <w:r w:rsidRPr="00AF6B41">
              <w:rPr>
                <w:rFonts w:ascii="Arial" w:hAnsi="Arial" w:cs="Arial"/>
              </w:rPr>
              <w:t>There would significant work involved to prevent imported fuels being taxed at the domestic rate once they enter the domestic excise system. A further primary Act would be required if this option also included the establishment of a special account.</w:t>
            </w:r>
          </w:p>
        </w:tc>
        <w:tc>
          <w:tcPr>
            <w:tcW w:w="3390" w:type="dxa"/>
            <w:vMerge/>
          </w:tcPr>
          <w:p w14:paraId="6E496E18" w14:textId="77777777" w:rsidR="00A228B6" w:rsidRDefault="00A228B6" w:rsidP="002F5564">
            <w:pPr>
              <w:spacing w:before="60" w:after="60"/>
              <w:rPr>
                <w:rFonts w:cs="Arial"/>
              </w:rPr>
            </w:pPr>
          </w:p>
        </w:tc>
      </w:tr>
    </w:tbl>
    <w:p w14:paraId="35DE26E3" w14:textId="77777777" w:rsidR="00A46B58" w:rsidRPr="002F1665" w:rsidRDefault="00A46B58" w:rsidP="002F1665">
      <w:pPr>
        <w:spacing w:before="60"/>
        <w:ind w:right="379"/>
        <w:rPr>
          <w:sz w:val="20"/>
        </w:rPr>
        <w:sectPr w:rsidR="00A46B58" w:rsidRPr="002F1665" w:rsidSect="00475952">
          <w:headerReference w:type="default" r:id="rId22"/>
          <w:footerReference w:type="default" r:id="rId23"/>
          <w:pgSz w:w="16838" w:h="11906" w:orient="landscape"/>
          <w:pgMar w:top="720" w:right="720" w:bottom="720" w:left="720" w:header="708" w:footer="708" w:gutter="0"/>
          <w:cols w:space="708"/>
          <w:docGrid w:linePitch="360"/>
        </w:sectPr>
      </w:pPr>
    </w:p>
    <w:p w14:paraId="0803654F" w14:textId="79A9A98B" w:rsidR="00B16409" w:rsidRDefault="00B16409" w:rsidP="00161240">
      <w:pPr>
        <w:pStyle w:val="Heading1"/>
        <w:numPr>
          <w:ilvl w:val="0"/>
          <w:numId w:val="77"/>
        </w:numPr>
      </w:pPr>
      <w:bookmarkStart w:id="481" w:name="_Toc65228337"/>
      <w:bookmarkStart w:id="482" w:name="_Toc65247720"/>
      <w:bookmarkStart w:id="483" w:name="_Toc65250676"/>
      <w:bookmarkStart w:id="484" w:name="_Toc65253443"/>
      <w:bookmarkStart w:id="485" w:name="_Toc65329421"/>
      <w:bookmarkStart w:id="486" w:name="_Toc65332776"/>
      <w:bookmarkStart w:id="487" w:name="_Toc65339171"/>
      <w:bookmarkStart w:id="488" w:name="_Toc65341103"/>
      <w:bookmarkStart w:id="489" w:name="_Toc65402186"/>
      <w:bookmarkStart w:id="490" w:name="_Toc65405419"/>
      <w:bookmarkStart w:id="491" w:name="_Toc65499078"/>
      <w:bookmarkStart w:id="492" w:name="_Toc65499507"/>
      <w:bookmarkStart w:id="493" w:name="_Toc67923606"/>
      <w:bookmarkStart w:id="494" w:name="_Toc67926843"/>
      <w:bookmarkStart w:id="495" w:name="_Toc68614702"/>
      <w:bookmarkStart w:id="496" w:name="_Toc69201405"/>
      <w:bookmarkStart w:id="497" w:name="_Toc69941626"/>
      <w:bookmarkStart w:id="498" w:name="_Toc70419852"/>
      <w:bookmarkStart w:id="499" w:name="_Toc72394932"/>
      <w:bookmarkStart w:id="500" w:name="_Toc72395675"/>
      <w:bookmarkStart w:id="501" w:name="_Toc446601459"/>
      <w:bookmarkStart w:id="502" w:name="_Toc448392781"/>
      <w:r w:rsidRPr="00AF6B41">
        <w:lastRenderedPageBreak/>
        <w:t xml:space="preserve">Who </w:t>
      </w:r>
      <w:r w:rsidR="0026134B">
        <w:t xml:space="preserve">was </w:t>
      </w:r>
      <w:r w:rsidRPr="00AF6B41">
        <w:t>consult</w:t>
      </w:r>
      <w:r w:rsidR="0026134B">
        <w:t>ed</w:t>
      </w:r>
      <w:r w:rsidRPr="00AF6B41">
        <w:t xml:space="preserve"> about these options and how </w:t>
      </w:r>
      <w:r w:rsidR="0026134B">
        <w:t xml:space="preserve">were they </w:t>
      </w:r>
      <w:r w:rsidRPr="00AF6B41">
        <w:t>consult</w:t>
      </w:r>
      <w:r w:rsidR="0026134B">
        <w:t>ed</w:t>
      </w:r>
      <w:r w:rsidRPr="00AF6B41">
        <w:t>?</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0C99E3E5" w14:textId="4CC3C784" w:rsidR="00370426" w:rsidRDefault="0095703A" w:rsidP="00370426">
      <w:pPr>
        <w:spacing w:line="276" w:lineRule="auto"/>
        <w:rPr>
          <w:rFonts w:cs="Arial"/>
        </w:rPr>
      </w:pPr>
      <w:r>
        <w:rPr>
          <w:rFonts w:cs="Arial"/>
        </w:rPr>
        <w:t>The Department</w:t>
      </w:r>
      <w:r w:rsidR="00370426">
        <w:rPr>
          <w:rFonts w:cs="Arial"/>
        </w:rPr>
        <w:t xml:space="preserve"> undertook public consultation on </w:t>
      </w:r>
      <w:r w:rsidR="00370426" w:rsidRPr="00FB09C2">
        <w:rPr>
          <w:rFonts w:cs="Arial"/>
        </w:rPr>
        <w:t>the</w:t>
      </w:r>
      <w:r w:rsidR="007C52C0" w:rsidRPr="00FB09C2">
        <w:rPr>
          <w:rFonts w:cs="Arial"/>
        </w:rPr>
        <w:t xml:space="preserve"> </w:t>
      </w:r>
      <w:r w:rsidR="007B25F0" w:rsidRPr="00FB09C2">
        <w:rPr>
          <w:rFonts w:cs="Arial"/>
        </w:rPr>
        <w:t>FSSP</w:t>
      </w:r>
      <w:r w:rsidR="007C52C0" w:rsidRPr="00FB09C2">
        <w:rPr>
          <w:rFonts w:cs="Arial"/>
        </w:rPr>
        <w:t xml:space="preserve"> </w:t>
      </w:r>
      <w:r w:rsidR="00370426" w:rsidRPr="00FB09C2">
        <w:rPr>
          <w:rFonts w:cs="Arial"/>
        </w:rPr>
        <w:t xml:space="preserve">and </w:t>
      </w:r>
      <w:r w:rsidRPr="00FB09C2">
        <w:rPr>
          <w:rFonts w:cs="Arial"/>
        </w:rPr>
        <w:t xml:space="preserve">the </w:t>
      </w:r>
      <w:r w:rsidR="007C52C0" w:rsidRPr="00FB09C2">
        <w:rPr>
          <w:rFonts w:cs="Arial"/>
        </w:rPr>
        <w:t>MSO</w:t>
      </w:r>
      <w:r w:rsidRPr="00FB09C2">
        <w:rPr>
          <w:rFonts w:cs="Arial"/>
        </w:rPr>
        <w:t>.</w:t>
      </w:r>
    </w:p>
    <w:p w14:paraId="5390A88D" w14:textId="2DEF702F" w:rsidR="00370426" w:rsidRDefault="0029505F" w:rsidP="00370426">
      <w:pPr>
        <w:spacing w:line="276" w:lineRule="auto"/>
        <w:rPr>
          <w:rFonts w:cs="Arial"/>
        </w:rPr>
      </w:pPr>
      <w:r>
        <w:rPr>
          <w:rFonts w:cs="Arial"/>
        </w:rPr>
        <w:t>Formal c</w:t>
      </w:r>
      <w:r w:rsidR="00370426">
        <w:rPr>
          <w:rFonts w:cs="Arial"/>
        </w:rPr>
        <w:t xml:space="preserve">onsultation on these measures commenced on 12 January 2021, with meetings conducted in-person or via video/teleconference, and either as bilateral meetings with individual stakeholders, or as </w:t>
      </w:r>
      <w:r w:rsidR="00415CD7">
        <w:rPr>
          <w:rFonts w:cs="Arial"/>
        </w:rPr>
        <w:t>part of a roundtable session.</w:t>
      </w:r>
      <w:r w:rsidR="00A32A58">
        <w:rPr>
          <w:rFonts w:cs="Arial"/>
        </w:rPr>
        <w:t xml:space="preserve"> </w:t>
      </w:r>
      <w:r w:rsidR="00415CD7">
        <w:rPr>
          <w:rFonts w:cs="Arial"/>
        </w:rPr>
        <w:t>T</w:t>
      </w:r>
      <w:r w:rsidR="0095703A">
        <w:rPr>
          <w:rFonts w:cs="Arial"/>
        </w:rPr>
        <w:t>he Department</w:t>
      </w:r>
      <w:r w:rsidR="00370426">
        <w:rPr>
          <w:rFonts w:cs="Arial"/>
        </w:rPr>
        <w:t xml:space="preserve"> organised consultation </w:t>
      </w:r>
      <w:r w:rsidR="00415CD7">
        <w:rPr>
          <w:rFonts w:cs="Arial"/>
        </w:rPr>
        <w:t xml:space="preserve">sessions with </w:t>
      </w:r>
      <w:r>
        <w:rPr>
          <w:rFonts w:cs="Arial"/>
        </w:rPr>
        <w:t xml:space="preserve">25 </w:t>
      </w:r>
      <w:r w:rsidR="00415CD7">
        <w:rPr>
          <w:rFonts w:cs="Arial"/>
        </w:rPr>
        <w:t xml:space="preserve">stakeholders representing </w:t>
      </w:r>
      <w:r w:rsidR="00370426">
        <w:rPr>
          <w:rFonts w:cs="Arial"/>
        </w:rPr>
        <w:t xml:space="preserve">a broad spectrum of the liquid fuel sector. These stakeholders can </w:t>
      </w:r>
      <w:r w:rsidR="001D202F">
        <w:rPr>
          <w:rFonts w:cs="Arial"/>
        </w:rPr>
        <w:t xml:space="preserve">be </w:t>
      </w:r>
      <w:r w:rsidR="00370426">
        <w:rPr>
          <w:rFonts w:cs="Arial"/>
        </w:rPr>
        <w:t xml:space="preserve">grouped into the following sub-categories:  </w:t>
      </w:r>
    </w:p>
    <w:p w14:paraId="6F9F13B1" w14:textId="77777777" w:rsidR="00370426" w:rsidRDefault="00370426" w:rsidP="00B86109">
      <w:pPr>
        <w:pStyle w:val="ListParagraph"/>
        <w:numPr>
          <w:ilvl w:val="0"/>
          <w:numId w:val="10"/>
        </w:numPr>
        <w:spacing w:before="0" w:after="160" w:line="276" w:lineRule="auto"/>
        <w:rPr>
          <w:rFonts w:ascii="Arial" w:hAnsi="Arial" w:cs="Arial"/>
        </w:rPr>
      </w:pPr>
      <w:r>
        <w:rPr>
          <w:rFonts w:ascii="Arial" w:hAnsi="Arial" w:cs="Arial"/>
        </w:rPr>
        <w:t xml:space="preserve">Refiners </w:t>
      </w:r>
    </w:p>
    <w:p w14:paraId="44C371C6" w14:textId="77777777" w:rsidR="00370426" w:rsidRDefault="00370426" w:rsidP="00B86109">
      <w:pPr>
        <w:pStyle w:val="ListParagraph"/>
        <w:numPr>
          <w:ilvl w:val="0"/>
          <w:numId w:val="10"/>
        </w:numPr>
        <w:spacing w:before="0" w:after="160" w:line="276" w:lineRule="auto"/>
        <w:rPr>
          <w:rFonts w:ascii="Arial" w:hAnsi="Arial" w:cs="Arial"/>
        </w:rPr>
      </w:pPr>
      <w:r>
        <w:rPr>
          <w:rFonts w:ascii="Arial" w:hAnsi="Arial" w:cs="Arial"/>
        </w:rPr>
        <w:t xml:space="preserve">Importers </w:t>
      </w:r>
    </w:p>
    <w:p w14:paraId="18F0982B" w14:textId="77777777" w:rsidR="00370426" w:rsidRDefault="00370426" w:rsidP="00B86109">
      <w:pPr>
        <w:pStyle w:val="ListParagraph"/>
        <w:numPr>
          <w:ilvl w:val="0"/>
          <w:numId w:val="10"/>
        </w:numPr>
        <w:spacing w:before="0" w:after="160" w:line="276" w:lineRule="auto"/>
        <w:rPr>
          <w:rFonts w:ascii="Arial" w:hAnsi="Arial" w:cs="Arial"/>
        </w:rPr>
      </w:pPr>
      <w:r>
        <w:rPr>
          <w:rFonts w:ascii="Arial" w:hAnsi="Arial" w:cs="Arial"/>
        </w:rPr>
        <w:t xml:space="preserve">Consumers </w:t>
      </w:r>
    </w:p>
    <w:p w14:paraId="610A57ED" w14:textId="77777777" w:rsidR="00370426" w:rsidRDefault="00370426" w:rsidP="00B86109">
      <w:pPr>
        <w:pStyle w:val="ListParagraph"/>
        <w:numPr>
          <w:ilvl w:val="0"/>
          <w:numId w:val="10"/>
        </w:numPr>
        <w:spacing w:before="0" w:after="160" w:line="276" w:lineRule="auto"/>
        <w:rPr>
          <w:rFonts w:ascii="Arial" w:hAnsi="Arial" w:cs="Arial"/>
        </w:rPr>
      </w:pPr>
      <w:r>
        <w:rPr>
          <w:rFonts w:ascii="Arial" w:hAnsi="Arial" w:cs="Arial"/>
        </w:rPr>
        <w:t xml:space="preserve">Market entrants </w:t>
      </w:r>
    </w:p>
    <w:p w14:paraId="58835C57" w14:textId="32FE4E2A" w:rsidR="000B6D5E" w:rsidRDefault="000B6D5E" w:rsidP="00B86109">
      <w:pPr>
        <w:pStyle w:val="ListParagraph"/>
        <w:numPr>
          <w:ilvl w:val="0"/>
          <w:numId w:val="10"/>
        </w:numPr>
        <w:spacing w:before="0" w:after="160" w:line="276" w:lineRule="auto"/>
        <w:rPr>
          <w:rFonts w:ascii="Arial" w:hAnsi="Arial" w:cs="Arial"/>
        </w:rPr>
      </w:pPr>
      <w:r>
        <w:rPr>
          <w:rFonts w:ascii="Arial" w:hAnsi="Arial" w:cs="Arial"/>
        </w:rPr>
        <w:t>Fuel Sector/Other</w:t>
      </w:r>
    </w:p>
    <w:p w14:paraId="6809C814" w14:textId="495BA448" w:rsidR="006110F3" w:rsidRPr="00B6375F" w:rsidRDefault="001D202F">
      <w:pPr>
        <w:spacing w:before="0" w:after="160" w:line="276" w:lineRule="auto"/>
        <w:rPr>
          <w:rFonts w:cs="Arial"/>
        </w:rPr>
      </w:pPr>
      <w:r>
        <w:t>A</w:t>
      </w:r>
      <w:r w:rsidR="0029505F">
        <w:t xml:space="preserve">s at </w:t>
      </w:r>
      <w:r w:rsidR="0003205B">
        <w:t>19 May</w:t>
      </w:r>
      <w:r w:rsidR="0029505F">
        <w:t xml:space="preserve"> 2021,</w:t>
      </w:r>
      <w:r>
        <w:t xml:space="preserve"> </w:t>
      </w:r>
      <w:r w:rsidR="00FF7DB6" w:rsidRPr="00A53781">
        <w:t xml:space="preserve">over </w:t>
      </w:r>
      <w:r w:rsidR="0003205B" w:rsidRPr="00A53781">
        <w:t xml:space="preserve">100 </w:t>
      </w:r>
      <w:r w:rsidR="006110F3" w:rsidRPr="00A53781">
        <w:t>meetings</w:t>
      </w:r>
      <w:r w:rsidR="006110F3" w:rsidRPr="00357636">
        <w:t xml:space="preserve"> </w:t>
      </w:r>
      <w:r>
        <w:t>have been</w:t>
      </w:r>
      <w:r w:rsidRPr="00357636">
        <w:t xml:space="preserve"> </w:t>
      </w:r>
      <w:r w:rsidR="006110F3" w:rsidRPr="00357636">
        <w:t>conducted</w:t>
      </w:r>
      <w:r w:rsidR="00E62CBB">
        <w:t>, with further meetings scheduled</w:t>
      </w:r>
      <w:r w:rsidR="006110F3" w:rsidRPr="00357636">
        <w:t>.</w:t>
      </w:r>
    </w:p>
    <w:p w14:paraId="675F900B" w14:textId="77777777" w:rsidR="00370426" w:rsidRPr="00B94CB8" w:rsidRDefault="00370426" w:rsidP="00161240">
      <w:pPr>
        <w:pStyle w:val="Heading2"/>
        <w:numPr>
          <w:ilvl w:val="1"/>
          <w:numId w:val="77"/>
        </w:numPr>
      </w:pPr>
      <w:bookmarkStart w:id="503" w:name="_Toc65332777"/>
      <w:bookmarkStart w:id="504" w:name="_Toc65339172"/>
      <w:bookmarkStart w:id="505" w:name="_Toc65341104"/>
      <w:bookmarkStart w:id="506" w:name="_Toc65402187"/>
      <w:bookmarkStart w:id="507" w:name="_Toc65405420"/>
      <w:bookmarkStart w:id="508" w:name="_Toc65499079"/>
      <w:bookmarkStart w:id="509" w:name="_Toc65499508"/>
      <w:bookmarkStart w:id="510" w:name="_Toc67923607"/>
      <w:bookmarkStart w:id="511" w:name="_Toc67926844"/>
      <w:bookmarkStart w:id="512" w:name="_Toc68614703"/>
      <w:bookmarkStart w:id="513" w:name="_Toc69201406"/>
      <w:bookmarkStart w:id="514" w:name="_Toc69941627"/>
      <w:bookmarkStart w:id="515" w:name="_Toc70419853"/>
      <w:bookmarkStart w:id="516" w:name="_Toc72394933"/>
      <w:bookmarkStart w:id="517" w:name="_Toc72395676"/>
      <w:r w:rsidRPr="00B94CB8">
        <w:t>Objectives</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B94CB8">
        <w:t xml:space="preserve"> </w:t>
      </w:r>
    </w:p>
    <w:p w14:paraId="5825F719" w14:textId="77777777" w:rsidR="00370426" w:rsidRDefault="00370426" w:rsidP="00370426">
      <w:pPr>
        <w:spacing w:line="276" w:lineRule="auto"/>
        <w:rPr>
          <w:rFonts w:cs="Arial"/>
        </w:rPr>
      </w:pPr>
      <w:r>
        <w:rPr>
          <w:rFonts w:cs="Arial"/>
        </w:rPr>
        <w:t xml:space="preserve">The main objectives of consulting with fuel sector stakeholders are to: </w:t>
      </w:r>
    </w:p>
    <w:p w14:paraId="438552A6" w14:textId="77777777" w:rsidR="00370426" w:rsidRDefault="00370426" w:rsidP="00B86109">
      <w:pPr>
        <w:pStyle w:val="ListParagraph"/>
        <w:numPr>
          <w:ilvl w:val="0"/>
          <w:numId w:val="11"/>
        </w:numPr>
        <w:spacing w:before="0" w:after="160" w:line="276" w:lineRule="auto"/>
        <w:rPr>
          <w:rFonts w:ascii="Arial" w:hAnsi="Arial" w:cs="Arial"/>
        </w:rPr>
      </w:pPr>
      <w:r>
        <w:rPr>
          <w:rFonts w:ascii="Arial" w:hAnsi="Arial" w:cs="Arial"/>
        </w:rPr>
        <w:t xml:space="preserve">provide a holistic view of the measures progressed, the Government’s policy objectives, and intended outcomes </w:t>
      </w:r>
    </w:p>
    <w:p w14:paraId="6CC0789A" w14:textId="77777777" w:rsidR="00370426" w:rsidRDefault="00370426" w:rsidP="00B86109">
      <w:pPr>
        <w:pStyle w:val="ListParagraph"/>
        <w:numPr>
          <w:ilvl w:val="0"/>
          <w:numId w:val="11"/>
        </w:numPr>
        <w:spacing w:before="0" w:after="160" w:line="276" w:lineRule="auto"/>
        <w:rPr>
          <w:rFonts w:ascii="Arial" w:hAnsi="Arial" w:cs="Arial"/>
        </w:rPr>
      </w:pPr>
      <w:r>
        <w:rPr>
          <w:rFonts w:ascii="Arial" w:hAnsi="Arial" w:cs="Arial"/>
        </w:rPr>
        <w:t xml:space="preserve">keep stakeholders fully informed on the proposed implementation pathway and timeframes </w:t>
      </w:r>
    </w:p>
    <w:p w14:paraId="2EDFA508" w14:textId="77777777" w:rsidR="00370426" w:rsidRDefault="00370426" w:rsidP="00B86109">
      <w:pPr>
        <w:pStyle w:val="ListParagraph"/>
        <w:numPr>
          <w:ilvl w:val="0"/>
          <w:numId w:val="11"/>
        </w:numPr>
        <w:spacing w:before="0" w:after="160" w:line="276" w:lineRule="auto"/>
        <w:rPr>
          <w:rFonts w:ascii="Arial" w:hAnsi="Arial" w:cs="Arial"/>
        </w:rPr>
      </w:pPr>
      <w:r>
        <w:rPr>
          <w:rFonts w:ascii="Arial" w:hAnsi="Arial" w:cs="Arial"/>
        </w:rPr>
        <w:t xml:space="preserve">give stakeholders the opportunity to identify design settings that are preferable or not preferable  </w:t>
      </w:r>
    </w:p>
    <w:p w14:paraId="54CAEBC3" w14:textId="77777777" w:rsidR="00370426" w:rsidRDefault="00370426" w:rsidP="00B86109">
      <w:pPr>
        <w:pStyle w:val="ListParagraph"/>
        <w:numPr>
          <w:ilvl w:val="0"/>
          <w:numId w:val="11"/>
        </w:numPr>
        <w:spacing w:before="0" w:after="160" w:line="276" w:lineRule="auto"/>
        <w:rPr>
          <w:rFonts w:ascii="Arial" w:hAnsi="Arial" w:cs="Arial"/>
        </w:rPr>
      </w:pPr>
      <w:r>
        <w:rPr>
          <w:rFonts w:ascii="Arial" w:hAnsi="Arial" w:cs="Arial"/>
        </w:rPr>
        <w:t xml:space="preserve">better understand any implications, or direct and indirect impacts to stakeholders flowing from implementing the measures </w:t>
      </w:r>
    </w:p>
    <w:p w14:paraId="07C3791A" w14:textId="77777777" w:rsidR="00370426" w:rsidRDefault="00370426" w:rsidP="00B86109">
      <w:pPr>
        <w:pStyle w:val="ListParagraph"/>
        <w:numPr>
          <w:ilvl w:val="0"/>
          <w:numId w:val="11"/>
        </w:numPr>
        <w:spacing w:before="0" w:after="160" w:line="276" w:lineRule="auto"/>
        <w:rPr>
          <w:rFonts w:ascii="Arial" w:hAnsi="Arial" w:cs="Arial"/>
        </w:rPr>
      </w:pPr>
      <w:r>
        <w:rPr>
          <w:rFonts w:ascii="Arial" w:hAnsi="Arial" w:cs="Arial"/>
        </w:rPr>
        <w:t xml:space="preserve">enable greater involvement and engagement from stakeholders in the policy design process.  </w:t>
      </w:r>
    </w:p>
    <w:p w14:paraId="71098514" w14:textId="158D1CA2" w:rsidR="00370426" w:rsidRPr="00B94CB8" w:rsidRDefault="00B94CB8" w:rsidP="00161240">
      <w:pPr>
        <w:pStyle w:val="Heading2"/>
        <w:numPr>
          <w:ilvl w:val="1"/>
          <w:numId w:val="77"/>
        </w:numPr>
      </w:pPr>
      <w:bookmarkStart w:id="518" w:name="_Toc65332778"/>
      <w:bookmarkStart w:id="519" w:name="_Toc65339173"/>
      <w:bookmarkStart w:id="520" w:name="_Toc65341105"/>
      <w:bookmarkStart w:id="521" w:name="_Toc65402188"/>
      <w:bookmarkStart w:id="522" w:name="_Toc65405421"/>
      <w:bookmarkStart w:id="523" w:name="_Toc65499080"/>
      <w:bookmarkStart w:id="524" w:name="_Toc65499509"/>
      <w:bookmarkStart w:id="525" w:name="_Toc67923608"/>
      <w:bookmarkStart w:id="526" w:name="_Toc67926845"/>
      <w:bookmarkStart w:id="527" w:name="_Toc68614704"/>
      <w:bookmarkStart w:id="528" w:name="_Toc69201407"/>
      <w:bookmarkStart w:id="529" w:name="_Toc69941628"/>
      <w:bookmarkStart w:id="530" w:name="_Toc70419854"/>
      <w:bookmarkStart w:id="531" w:name="_Toc72394934"/>
      <w:bookmarkStart w:id="532" w:name="_Toc72395677"/>
      <w:r>
        <w:t>Fuel Security Service Payment</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00370426" w:rsidRPr="00B94CB8">
        <w:t xml:space="preserve"> </w:t>
      </w:r>
    </w:p>
    <w:p w14:paraId="154337AB" w14:textId="54D4F93E" w:rsidR="00370426" w:rsidRDefault="00370426" w:rsidP="00370426">
      <w:pPr>
        <w:spacing w:line="276" w:lineRule="auto"/>
        <w:rPr>
          <w:rFonts w:cs="Arial"/>
        </w:rPr>
      </w:pPr>
      <w:r>
        <w:rPr>
          <w:rFonts w:cs="Arial"/>
        </w:rPr>
        <w:t>Stakeholders were presented with four potential mechanisms:</w:t>
      </w:r>
    </w:p>
    <w:p w14:paraId="4EBB6812" w14:textId="77777777" w:rsidR="00370426" w:rsidRDefault="00370426" w:rsidP="00B86109">
      <w:pPr>
        <w:pStyle w:val="ListParagraph"/>
        <w:numPr>
          <w:ilvl w:val="0"/>
          <w:numId w:val="14"/>
        </w:numPr>
        <w:spacing w:before="0" w:after="160" w:line="276" w:lineRule="auto"/>
        <w:rPr>
          <w:rFonts w:ascii="Arial" w:hAnsi="Arial" w:cs="Arial"/>
        </w:rPr>
      </w:pPr>
      <w:r>
        <w:rPr>
          <w:rFonts w:ascii="Arial" w:hAnsi="Arial" w:cs="Arial"/>
        </w:rPr>
        <w:t xml:space="preserve">Availability payment </w:t>
      </w:r>
    </w:p>
    <w:p w14:paraId="06946949" w14:textId="77777777" w:rsidR="00370426" w:rsidRDefault="00370426" w:rsidP="00B86109">
      <w:pPr>
        <w:pStyle w:val="ListParagraph"/>
        <w:numPr>
          <w:ilvl w:val="0"/>
          <w:numId w:val="14"/>
        </w:numPr>
        <w:spacing w:before="0" w:after="160" w:line="276" w:lineRule="auto"/>
        <w:rPr>
          <w:rFonts w:ascii="Arial" w:hAnsi="Arial" w:cs="Arial"/>
        </w:rPr>
      </w:pPr>
      <w:r>
        <w:rPr>
          <w:rFonts w:ascii="Arial" w:hAnsi="Arial" w:cs="Arial"/>
        </w:rPr>
        <w:t xml:space="preserve">Fixed production payment </w:t>
      </w:r>
    </w:p>
    <w:p w14:paraId="0697DAD5" w14:textId="77777777" w:rsidR="00370426" w:rsidRDefault="00370426" w:rsidP="00B86109">
      <w:pPr>
        <w:pStyle w:val="ListParagraph"/>
        <w:numPr>
          <w:ilvl w:val="0"/>
          <w:numId w:val="14"/>
        </w:numPr>
        <w:spacing w:before="0" w:after="160" w:line="276" w:lineRule="auto"/>
        <w:rPr>
          <w:rFonts w:ascii="Arial" w:hAnsi="Arial" w:cs="Arial"/>
        </w:rPr>
      </w:pPr>
      <w:r>
        <w:rPr>
          <w:rFonts w:ascii="Arial" w:hAnsi="Arial" w:cs="Arial"/>
        </w:rPr>
        <w:t xml:space="preserve">Margin support payment </w:t>
      </w:r>
    </w:p>
    <w:p w14:paraId="0AB2D188" w14:textId="77777777" w:rsidR="00370426" w:rsidRDefault="00370426" w:rsidP="00B86109">
      <w:pPr>
        <w:pStyle w:val="ListParagraph"/>
        <w:numPr>
          <w:ilvl w:val="0"/>
          <w:numId w:val="14"/>
        </w:numPr>
        <w:spacing w:before="0" w:after="160" w:line="276" w:lineRule="auto"/>
        <w:rPr>
          <w:rFonts w:ascii="Arial" w:hAnsi="Arial" w:cs="Arial"/>
        </w:rPr>
      </w:pPr>
      <w:r>
        <w:rPr>
          <w:rFonts w:ascii="Arial" w:hAnsi="Arial" w:cs="Arial"/>
        </w:rPr>
        <w:t>Absolute local content obligation.</w:t>
      </w:r>
    </w:p>
    <w:p w14:paraId="091D1212" w14:textId="14BC4E5F" w:rsidR="00370426" w:rsidRDefault="00370426" w:rsidP="00370426">
      <w:pPr>
        <w:spacing w:line="276" w:lineRule="auto"/>
        <w:rPr>
          <w:rFonts w:cs="Arial"/>
        </w:rPr>
      </w:pPr>
      <w:r>
        <w:rPr>
          <w:rFonts w:cs="Arial"/>
        </w:rPr>
        <w:t xml:space="preserve">Based on feedback received </w:t>
      </w:r>
      <w:r w:rsidR="001D202F">
        <w:rPr>
          <w:rFonts w:cs="Arial"/>
        </w:rPr>
        <w:t xml:space="preserve">during </w:t>
      </w:r>
      <w:r>
        <w:rPr>
          <w:rFonts w:cs="Arial"/>
        </w:rPr>
        <w:t>consultation, an adjustable production payment (</w:t>
      </w:r>
      <w:r w:rsidR="001D202F">
        <w:rPr>
          <w:rFonts w:cs="Arial"/>
        </w:rPr>
        <w:t xml:space="preserve">that is, </w:t>
      </w:r>
      <w:r>
        <w:rPr>
          <w:rFonts w:cs="Arial"/>
        </w:rPr>
        <w:t>a combination of options b and c</w:t>
      </w:r>
      <w:r w:rsidR="0063281F">
        <w:rPr>
          <w:rFonts w:cs="Arial"/>
        </w:rPr>
        <w:t>)</w:t>
      </w:r>
      <w:r>
        <w:rPr>
          <w:rFonts w:cs="Arial"/>
        </w:rPr>
        <w:t xml:space="preserve"> </w:t>
      </w:r>
      <w:r w:rsidR="00415CD7">
        <w:rPr>
          <w:rFonts w:cs="Arial"/>
        </w:rPr>
        <w:t xml:space="preserve">was identified as having the </w:t>
      </w:r>
      <w:r>
        <w:rPr>
          <w:rFonts w:cs="Arial"/>
        </w:rPr>
        <w:t xml:space="preserve">preferred </w:t>
      </w:r>
      <w:r w:rsidR="00415CD7">
        <w:rPr>
          <w:rFonts w:cs="Arial"/>
        </w:rPr>
        <w:t>characteristics</w:t>
      </w:r>
      <w:r>
        <w:rPr>
          <w:rFonts w:cs="Arial"/>
        </w:rPr>
        <w:t xml:space="preserve"> for the </w:t>
      </w:r>
      <w:r w:rsidR="0095703A">
        <w:rPr>
          <w:rFonts w:cs="Arial"/>
        </w:rPr>
        <w:t xml:space="preserve">implementation of the </w:t>
      </w:r>
      <w:r w:rsidR="001D202F">
        <w:rPr>
          <w:rFonts w:cs="Arial"/>
        </w:rPr>
        <w:t>FSSP</w:t>
      </w:r>
      <w:r>
        <w:rPr>
          <w:rFonts w:cs="Arial"/>
        </w:rPr>
        <w:t>.</w:t>
      </w:r>
      <w:r w:rsidDel="001D202F">
        <w:rPr>
          <w:rFonts w:cs="Arial"/>
        </w:rPr>
        <w:t xml:space="preserve"> </w:t>
      </w:r>
      <w:r w:rsidR="001D202F">
        <w:rPr>
          <w:rFonts w:cs="Arial"/>
        </w:rPr>
        <w:t xml:space="preserve">For example, feedback received </w:t>
      </w:r>
      <w:r>
        <w:rPr>
          <w:rFonts w:cs="Arial"/>
        </w:rPr>
        <w:t xml:space="preserve">indicated that: </w:t>
      </w:r>
    </w:p>
    <w:p w14:paraId="3B4AF0D7" w14:textId="7523B2B7" w:rsidR="00370426" w:rsidRDefault="00917B21" w:rsidP="00B86109">
      <w:pPr>
        <w:pStyle w:val="ListParagraph"/>
        <w:numPr>
          <w:ilvl w:val="0"/>
          <w:numId w:val="15"/>
        </w:numPr>
        <w:spacing w:before="0" w:after="160" w:line="276" w:lineRule="auto"/>
        <w:rPr>
          <w:rFonts w:ascii="Arial" w:hAnsi="Arial" w:cs="Arial"/>
        </w:rPr>
      </w:pPr>
      <w:r>
        <w:rPr>
          <w:rFonts w:ascii="Arial" w:hAnsi="Arial" w:cs="Arial"/>
        </w:rPr>
        <w:t xml:space="preserve">refiners </w:t>
      </w:r>
      <w:r w:rsidR="00370426">
        <w:rPr>
          <w:rFonts w:ascii="Arial" w:hAnsi="Arial" w:cs="Arial"/>
        </w:rPr>
        <w:t xml:space="preserve">valued support which varied to help offset losses/gains in regional refining margins </w:t>
      </w:r>
    </w:p>
    <w:p w14:paraId="450639B4" w14:textId="758C03A6" w:rsidR="00370426" w:rsidRDefault="00917B21" w:rsidP="00B86109">
      <w:pPr>
        <w:pStyle w:val="ListParagraph"/>
        <w:numPr>
          <w:ilvl w:val="0"/>
          <w:numId w:val="15"/>
        </w:numPr>
        <w:spacing w:before="0" w:after="160" w:line="276" w:lineRule="auto"/>
        <w:rPr>
          <w:rFonts w:ascii="Arial" w:hAnsi="Arial" w:cs="Arial"/>
        </w:rPr>
      </w:pPr>
      <w:r>
        <w:rPr>
          <w:rFonts w:ascii="Arial" w:hAnsi="Arial" w:cs="Arial"/>
        </w:rPr>
        <w:t xml:space="preserve">importers </w:t>
      </w:r>
      <w:r w:rsidR="00370426">
        <w:rPr>
          <w:rFonts w:ascii="Arial" w:hAnsi="Arial" w:cs="Arial"/>
        </w:rPr>
        <w:t xml:space="preserve">and market entrants </w:t>
      </w:r>
      <w:r w:rsidR="0095703A">
        <w:rPr>
          <w:rFonts w:ascii="Arial" w:hAnsi="Arial" w:cs="Arial"/>
        </w:rPr>
        <w:t>are</w:t>
      </w:r>
      <w:r w:rsidR="00370426">
        <w:rPr>
          <w:rFonts w:ascii="Arial" w:hAnsi="Arial" w:cs="Arial"/>
        </w:rPr>
        <w:t xml:space="preserve"> wary of mechanisms which create a competitive imbalance and market distortion (for example, sustaining payment to refiners during high margin times)</w:t>
      </w:r>
    </w:p>
    <w:p w14:paraId="3FA716AD" w14:textId="1774EA2C" w:rsidR="00B05A65" w:rsidRPr="00B05A65" w:rsidRDefault="00917B21" w:rsidP="00B05A65">
      <w:pPr>
        <w:pStyle w:val="ListParagraph"/>
        <w:numPr>
          <w:ilvl w:val="0"/>
          <w:numId w:val="15"/>
        </w:numPr>
        <w:spacing w:before="0" w:after="160" w:line="276" w:lineRule="auto"/>
        <w:rPr>
          <w:rFonts w:cs="Arial"/>
        </w:rPr>
      </w:pPr>
      <w:r>
        <w:rPr>
          <w:rFonts w:ascii="Arial" w:hAnsi="Arial" w:cs="Arial"/>
        </w:rPr>
        <w:lastRenderedPageBreak/>
        <w:t>a</w:t>
      </w:r>
      <w:r w:rsidR="00370426">
        <w:rPr>
          <w:rFonts w:ascii="Arial" w:hAnsi="Arial" w:cs="Arial"/>
        </w:rPr>
        <w:t xml:space="preserve"> local content obligation should be ruled out on the basis of complexity, and the risk of creating a captive market given the limited number of market participants.</w:t>
      </w:r>
    </w:p>
    <w:p w14:paraId="357DF291" w14:textId="0BFFF090" w:rsidR="00A32A58" w:rsidRPr="00B05A65" w:rsidRDefault="00B05A65" w:rsidP="00B05A65">
      <w:pPr>
        <w:spacing w:before="0" w:after="160" w:line="276" w:lineRule="auto"/>
        <w:rPr>
          <w:rFonts w:cs="Arial"/>
        </w:rPr>
      </w:pPr>
      <w:r>
        <w:rPr>
          <w:rFonts w:cs="Arial"/>
        </w:rPr>
        <w:t>Fuel consumer</w:t>
      </w:r>
      <w:r w:rsidR="000B6D5E">
        <w:rPr>
          <w:rFonts w:cs="Arial"/>
        </w:rPr>
        <w:t xml:space="preserve"> stakeholders </w:t>
      </w:r>
      <w:r>
        <w:rPr>
          <w:rFonts w:cs="Arial"/>
        </w:rPr>
        <w:t xml:space="preserve">were generally more concerned with understanding how funding for the </w:t>
      </w:r>
      <w:r w:rsidR="001D202F">
        <w:rPr>
          <w:rFonts w:cs="Arial"/>
        </w:rPr>
        <w:t>FSSP</w:t>
      </w:r>
      <w:r>
        <w:rPr>
          <w:rFonts w:cs="Arial"/>
        </w:rPr>
        <w:t xml:space="preserve"> would be recovered, rather than the detail</w:t>
      </w:r>
      <w:r w:rsidR="00F613C0">
        <w:rPr>
          <w:rFonts w:cs="Arial"/>
        </w:rPr>
        <w:t>ed designed settings underl</w:t>
      </w:r>
      <w:r w:rsidR="001D202F">
        <w:rPr>
          <w:rFonts w:cs="Arial"/>
        </w:rPr>
        <w:t>ying how the FSSP would be made to refiners under the respective options.</w:t>
      </w:r>
      <w:r>
        <w:rPr>
          <w:rFonts w:cs="Arial"/>
        </w:rPr>
        <w:t xml:space="preserve">  </w:t>
      </w:r>
    </w:p>
    <w:p w14:paraId="6AB263E1" w14:textId="39D67D09" w:rsidR="00370426" w:rsidRPr="00B94CB8" w:rsidRDefault="00B94CB8" w:rsidP="00161240">
      <w:pPr>
        <w:pStyle w:val="Heading2"/>
        <w:numPr>
          <w:ilvl w:val="1"/>
          <w:numId w:val="77"/>
        </w:numPr>
      </w:pPr>
      <w:bookmarkStart w:id="533" w:name="_Toc68619511"/>
      <w:bookmarkStart w:id="534" w:name="_Toc69201408"/>
      <w:bookmarkStart w:id="535" w:name="_Toc69941629"/>
      <w:bookmarkStart w:id="536" w:name="_Toc70419855"/>
      <w:bookmarkStart w:id="537" w:name="_Toc72394935"/>
      <w:bookmarkStart w:id="538" w:name="_Toc72395678"/>
      <w:r>
        <w:t xml:space="preserve">Minimum </w:t>
      </w:r>
      <w:r w:rsidR="001D202F">
        <w:t>Stockholding Obligation</w:t>
      </w:r>
      <w:bookmarkEnd w:id="533"/>
      <w:bookmarkEnd w:id="534"/>
      <w:bookmarkEnd w:id="535"/>
      <w:bookmarkEnd w:id="536"/>
      <w:bookmarkEnd w:id="537"/>
      <w:bookmarkEnd w:id="538"/>
    </w:p>
    <w:p w14:paraId="58AE8EF2" w14:textId="2A31283E" w:rsidR="00370426" w:rsidRDefault="00370426" w:rsidP="00370426">
      <w:pPr>
        <w:spacing w:line="276" w:lineRule="auto"/>
        <w:rPr>
          <w:rFonts w:cs="Arial"/>
        </w:rPr>
      </w:pPr>
      <w:r>
        <w:rPr>
          <w:rFonts w:cs="Arial"/>
        </w:rPr>
        <w:t xml:space="preserve">Key elements of the </w:t>
      </w:r>
      <w:r w:rsidR="00B42A81">
        <w:rPr>
          <w:rFonts w:cs="Arial"/>
        </w:rPr>
        <w:t>MSO</w:t>
      </w:r>
      <w:r w:rsidR="00A32A58">
        <w:rPr>
          <w:rFonts w:cs="Arial"/>
        </w:rPr>
        <w:t xml:space="preserve"> presented to stakeholders </w:t>
      </w:r>
      <w:r>
        <w:rPr>
          <w:rFonts w:cs="Arial"/>
        </w:rPr>
        <w:t xml:space="preserve">included: </w:t>
      </w:r>
    </w:p>
    <w:p w14:paraId="3BAEBC72" w14:textId="77777777" w:rsidR="00370426" w:rsidRDefault="00370426" w:rsidP="00B86109">
      <w:pPr>
        <w:pStyle w:val="ListParagraph"/>
        <w:numPr>
          <w:ilvl w:val="0"/>
          <w:numId w:val="18"/>
        </w:numPr>
        <w:spacing w:before="0" w:after="160" w:line="276" w:lineRule="auto"/>
        <w:rPr>
          <w:rFonts w:ascii="Arial" w:hAnsi="Arial" w:cs="Arial"/>
        </w:rPr>
      </w:pPr>
      <w:r>
        <w:rPr>
          <w:rFonts w:ascii="Arial" w:hAnsi="Arial" w:cs="Arial"/>
        </w:rPr>
        <w:t xml:space="preserve">the metric for setting the MSO and relevant target level </w:t>
      </w:r>
    </w:p>
    <w:p w14:paraId="398035C9" w14:textId="12F53EE8" w:rsidR="00370426" w:rsidRDefault="00060898" w:rsidP="00B86109">
      <w:pPr>
        <w:pStyle w:val="ListParagraph"/>
        <w:numPr>
          <w:ilvl w:val="0"/>
          <w:numId w:val="18"/>
        </w:numPr>
        <w:spacing w:before="0" w:after="160" w:line="276" w:lineRule="auto"/>
        <w:rPr>
          <w:rFonts w:ascii="Arial" w:hAnsi="Arial" w:cs="Arial"/>
        </w:rPr>
      </w:pPr>
      <w:r>
        <w:rPr>
          <w:rFonts w:ascii="Arial" w:hAnsi="Arial" w:cs="Arial"/>
        </w:rPr>
        <w:t xml:space="preserve">the </w:t>
      </w:r>
      <w:r w:rsidR="00370426">
        <w:rPr>
          <w:rFonts w:ascii="Arial" w:hAnsi="Arial" w:cs="Arial"/>
        </w:rPr>
        <w:t>type of stock</w:t>
      </w:r>
      <w:r>
        <w:rPr>
          <w:rFonts w:ascii="Arial" w:hAnsi="Arial" w:cs="Arial"/>
        </w:rPr>
        <w:t xml:space="preserve"> that</w:t>
      </w:r>
      <w:r w:rsidR="00370426">
        <w:rPr>
          <w:rFonts w:ascii="Arial" w:hAnsi="Arial" w:cs="Arial"/>
        </w:rPr>
        <w:t xml:space="preserve"> should be countable towards the obligation </w:t>
      </w:r>
    </w:p>
    <w:p w14:paraId="069C27BB" w14:textId="77777777" w:rsidR="00370426" w:rsidRDefault="00370426" w:rsidP="00B86109">
      <w:pPr>
        <w:pStyle w:val="ListParagraph"/>
        <w:numPr>
          <w:ilvl w:val="0"/>
          <w:numId w:val="18"/>
        </w:numPr>
        <w:spacing w:before="0" w:after="160" w:line="276" w:lineRule="auto"/>
        <w:rPr>
          <w:rFonts w:ascii="Arial" w:hAnsi="Arial" w:cs="Arial"/>
        </w:rPr>
      </w:pPr>
      <w:r>
        <w:rPr>
          <w:rFonts w:ascii="Arial" w:hAnsi="Arial" w:cs="Arial"/>
        </w:rPr>
        <w:t>level of geographic granularity</w:t>
      </w:r>
    </w:p>
    <w:p w14:paraId="2FACDDE4" w14:textId="77777777" w:rsidR="00370426" w:rsidRDefault="00370426" w:rsidP="00B86109">
      <w:pPr>
        <w:pStyle w:val="ListParagraph"/>
        <w:numPr>
          <w:ilvl w:val="0"/>
          <w:numId w:val="18"/>
        </w:numPr>
        <w:spacing w:before="0" w:after="160" w:line="276" w:lineRule="auto"/>
        <w:rPr>
          <w:rFonts w:ascii="Arial" w:hAnsi="Arial" w:cs="Arial"/>
        </w:rPr>
      </w:pPr>
      <w:r>
        <w:rPr>
          <w:rFonts w:ascii="Arial" w:hAnsi="Arial" w:cs="Arial"/>
        </w:rPr>
        <w:t xml:space="preserve">which entities are accountable for the MSO </w:t>
      </w:r>
    </w:p>
    <w:p w14:paraId="15C94D12" w14:textId="77777777" w:rsidR="00370426" w:rsidRDefault="00370426" w:rsidP="00B86109">
      <w:pPr>
        <w:pStyle w:val="ListParagraph"/>
        <w:numPr>
          <w:ilvl w:val="0"/>
          <w:numId w:val="18"/>
        </w:numPr>
        <w:spacing w:before="0" w:after="160" w:line="276" w:lineRule="auto"/>
        <w:rPr>
          <w:rFonts w:ascii="Arial" w:hAnsi="Arial" w:cs="Arial"/>
        </w:rPr>
      </w:pPr>
      <w:r>
        <w:rPr>
          <w:rFonts w:ascii="Arial" w:hAnsi="Arial" w:cs="Arial"/>
        </w:rPr>
        <w:t xml:space="preserve">types of storage included </w:t>
      </w:r>
    </w:p>
    <w:p w14:paraId="669E6BD3" w14:textId="77777777" w:rsidR="00370426" w:rsidRDefault="00370426" w:rsidP="00B86109">
      <w:pPr>
        <w:pStyle w:val="ListParagraph"/>
        <w:numPr>
          <w:ilvl w:val="0"/>
          <w:numId w:val="18"/>
        </w:numPr>
        <w:spacing w:before="0" w:after="160" w:line="276" w:lineRule="auto"/>
        <w:rPr>
          <w:rFonts w:ascii="Arial" w:hAnsi="Arial" w:cs="Arial"/>
        </w:rPr>
      </w:pPr>
      <w:r>
        <w:rPr>
          <w:rFonts w:ascii="Arial" w:hAnsi="Arial" w:cs="Arial"/>
        </w:rPr>
        <w:t>an intermediary market mechanism to enable entities to share their obligation efficiently across the market</w:t>
      </w:r>
    </w:p>
    <w:p w14:paraId="669B7802" w14:textId="657AFA9C" w:rsidR="00370426" w:rsidRDefault="00B42A81" w:rsidP="00B86109">
      <w:pPr>
        <w:pStyle w:val="ListParagraph"/>
        <w:numPr>
          <w:ilvl w:val="0"/>
          <w:numId w:val="18"/>
        </w:numPr>
        <w:spacing w:before="0" w:after="160" w:line="276" w:lineRule="auto"/>
        <w:rPr>
          <w:rFonts w:ascii="Arial" w:hAnsi="Arial" w:cs="Arial"/>
        </w:rPr>
      </w:pPr>
      <w:r>
        <w:rPr>
          <w:rFonts w:ascii="Arial" w:hAnsi="Arial" w:cs="Arial"/>
        </w:rPr>
        <w:t xml:space="preserve">frequency of </w:t>
      </w:r>
      <w:r w:rsidR="00370426">
        <w:rPr>
          <w:rFonts w:ascii="Arial" w:hAnsi="Arial" w:cs="Arial"/>
        </w:rPr>
        <w:t>reporting.</w:t>
      </w:r>
    </w:p>
    <w:p w14:paraId="10B453F1" w14:textId="107D8015" w:rsidR="00370426" w:rsidRDefault="00370426" w:rsidP="00370426">
      <w:pPr>
        <w:spacing w:line="276" w:lineRule="auto"/>
        <w:rPr>
          <w:rFonts w:cs="Arial"/>
        </w:rPr>
      </w:pPr>
      <w:r>
        <w:rPr>
          <w:rFonts w:cs="Arial"/>
        </w:rPr>
        <w:t>There was general preference for a national level obligation, as se</w:t>
      </w:r>
      <w:r w:rsidR="00A32A58">
        <w:rPr>
          <w:rFonts w:cs="Arial"/>
        </w:rPr>
        <w:t xml:space="preserve">tting the obligation at a state and </w:t>
      </w:r>
      <w:r>
        <w:rPr>
          <w:rFonts w:cs="Arial"/>
        </w:rPr>
        <w:t xml:space="preserve">territory level would limit industry autonomy and present greater risk of market distortion. </w:t>
      </w:r>
    </w:p>
    <w:p w14:paraId="710506C9" w14:textId="2190124F" w:rsidR="00370426" w:rsidRDefault="00370426" w:rsidP="00370426">
      <w:pPr>
        <w:spacing w:line="276" w:lineRule="auto"/>
        <w:rPr>
          <w:rFonts w:cs="Arial"/>
        </w:rPr>
      </w:pPr>
      <w:r>
        <w:rPr>
          <w:rFonts w:cs="Arial"/>
        </w:rPr>
        <w:t>Refiners value being able to count crude towards their stockholding levels, but importers are wary of design settings that would put them at a competitive disadvantage to refiners</w:t>
      </w:r>
      <w:r w:rsidR="000E4024">
        <w:rPr>
          <w:rFonts w:cs="Arial"/>
        </w:rPr>
        <w:t xml:space="preserve">, despite the different services that refiners and importers provide to the market. </w:t>
      </w:r>
    </w:p>
    <w:p w14:paraId="68E23CBC" w14:textId="1DA71257" w:rsidR="00370426" w:rsidRDefault="007B25F0" w:rsidP="00370426">
      <w:pPr>
        <w:spacing w:line="276" w:lineRule="auto"/>
        <w:rPr>
          <w:rFonts w:cs="Arial"/>
        </w:rPr>
      </w:pPr>
      <w:r>
        <w:rPr>
          <w:rFonts w:cs="Arial"/>
        </w:rPr>
        <w:t xml:space="preserve">With the exception of </w:t>
      </w:r>
      <w:r w:rsidR="000B6D5E">
        <w:rPr>
          <w:rFonts w:cs="Arial"/>
        </w:rPr>
        <w:t>some consumer stakeholders</w:t>
      </w:r>
      <w:r w:rsidR="00F613C0">
        <w:rPr>
          <w:rFonts w:cs="Arial"/>
        </w:rPr>
        <w:t>, t</w:t>
      </w:r>
      <w:r w:rsidR="00370426">
        <w:rPr>
          <w:rFonts w:cs="Arial"/>
        </w:rPr>
        <w:t xml:space="preserve">here was general concern </w:t>
      </w:r>
      <w:r w:rsidR="000B6D5E">
        <w:rPr>
          <w:rFonts w:cs="Arial"/>
        </w:rPr>
        <w:t xml:space="preserve">among </w:t>
      </w:r>
      <w:r w:rsidR="00370426">
        <w:rPr>
          <w:rFonts w:cs="Arial"/>
        </w:rPr>
        <w:t>stakeholders as to the burden that weekly reporting</w:t>
      </w:r>
      <w:r w:rsidR="00E773BC">
        <w:rPr>
          <w:rFonts w:cs="Arial"/>
        </w:rPr>
        <w:t xml:space="preserve"> </w:t>
      </w:r>
      <w:r w:rsidR="001A45F8">
        <w:rPr>
          <w:rFonts w:cs="Arial"/>
        </w:rPr>
        <w:t xml:space="preserve">(as opposed to reporting at less frequent intervals) </w:t>
      </w:r>
      <w:r w:rsidR="00E773BC">
        <w:rPr>
          <w:rFonts w:cs="Arial"/>
        </w:rPr>
        <w:t>and maintaining an absolute minimum threshold of stocks</w:t>
      </w:r>
      <w:r w:rsidR="00370426">
        <w:rPr>
          <w:rFonts w:cs="Arial"/>
        </w:rPr>
        <w:t xml:space="preserve"> </w:t>
      </w:r>
      <w:r w:rsidR="001A45F8">
        <w:rPr>
          <w:rFonts w:cs="Arial"/>
        </w:rPr>
        <w:t xml:space="preserve">(as opposed to an average minimum) </w:t>
      </w:r>
      <w:r w:rsidR="00370426">
        <w:rPr>
          <w:rFonts w:cs="Arial"/>
        </w:rPr>
        <w:t>would add to their operations.</w:t>
      </w:r>
      <w:r w:rsidR="000E4024">
        <w:rPr>
          <w:rFonts w:cs="Arial"/>
        </w:rPr>
        <w:t xml:space="preserve"> </w:t>
      </w:r>
      <w:r w:rsidR="00B52B0A" w:rsidRPr="00FF5E4D">
        <w:rPr>
          <w:rFonts w:cs="Arial"/>
        </w:rPr>
        <w:t>During the COVID-19 pandemic most fuel companies reporting under the POFR scheme agreed to voluntarily report key data on a weekly basis. Regulating weekly reporting places a legal impetus on companies to ensure that they meet their legislated obligations.  This requires increased quality assurance and internal clearance processes which in turn increases administrative costs on the business above the already increased costs of reporting weekly on a voluntary basis.</w:t>
      </w:r>
    </w:p>
    <w:p w14:paraId="7B41E498" w14:textId="3DB737CB" w:rsidR="000B6D5E" w:rsidRPr="00A32A58" w:rsidRDefault="000B6D5E" w:rsidP="000B6D5E">
      <w:pPr>
        <w:spacing w:line="276" w:lineRule="auto"/>
        <w:rPr>
          <w:rFonts w:cs="Arial"/>
        </w:rPr>
      </w:pPr>
      <w:r>
        <w:rPr>
          <w:rFonts w:cs="Arial"/>
        </w:rPr>
        <w:t xml:space="preserve">An intermediary market to deliver </w:t>
      </w:r>
      <w:r w:rsidR="00910068">
        <w:rPr>
          <w:rFonts w:cs="Arial"/>
        </w:rPr>
        <w:t>the MSO</w:t>
      </w:r>
      <w:r>
        <w:rPr>
          <w:rFonts w:cs="Arial"/>
        </w:rPr>
        <w:t xml:space="preserve"> through a direct contracting approach, a tradeable stockholding certificate scheme and through a central balancing book was discussed with stakeholders.</w:t>
      </w:r>
    </w:p>
    <w:p w14:paraId="5776FEE8" w14:textId="40362464" w:rsidR="000B6D5E" w:rsidRDefault="001A45F8" w:rsidP="00370426">
      <w:pPr>
        <w:spacing w:line="276" w:lineRule="auto"/>
        <w:rPr>
          <w:rFonts w:cs="Arial"/>
          <w:i/>
        </w:rPr>
      </w:pPr>
      <w:r>
        <w:rPr>
          <w:rFonts w:cs="Arial"/>
        </w:rPr>
        <w:t>Stakeholders, including some consumers and refiners, viewe</w:t>
      </w:r>
      <w:r w:rsidR="00C74A40">
        <w:rPr>
          <w:rFonts w:cs="Arial"/>
        </w:rPr>
        <w:t>d the</w:t>
      </w:r>
      <w:r w:rsidR="002C3480">
        <w:rPr>
          <w:rFonts w:cs="Arial"/>
        </w:rPr>
        <w:t xml:space="preserve"> direct contracting approach in a more favourable light on the basis of simplicity, familiarity, and cost-effectiveness</w:t>
      </w:r>
      <w:r w:rsidR="00C74A40">
        <w:rPr>
          <w:rFonts w:cs="Arial"/>
        </w:rPr>
        <w:t>,</w:t>
      </w:r>
      <w:r w:rsidR="002C3480">
        <w:rPr>
          <w:rFonts w:cs="Arial"/>
        </w:rPr>
        <w:t xml:space="preserve"> as compared </w:t>
      </w:r>
      <w:r w:rsidR="00C74A40">
        <w:rPr>
          <w:rFonts w:cs="Arial"/>
        </w:rPr>
        <w:t>to</w:t>
      </w:r>
      <w:r w:rsidR="002C3480">
        <w:rPr>
          <w:rFonts w:cs="Arial"/>
        </w:rPr>
        <w:t xml:space="preserve"> the other intermediary market mechanism options.</w:t>
      </w:r>
      <w:r w:rsidR="000E4024">
        <w:rPr>
          <w:rFonts w:cs="Arial"/>
        </w:rPr>
        <w:t xml:space="preserve"> </w:t>
      </w:r>
      <w:r w:rsidR="002E1815" w:rsidRPr="00FF5E4D">
        <w:rPr>
          <w:rFonts w:cs="Arial"/>
        </w:rPr>
        <w:t>Direct contracting allows businesses to develop bespoke contract solutions that meet their needs at least cost</w:t>
      </w:r>
      <w:r w:rsidR="000E4024" w:rsidRPr="00FF5E4D">
        <w:rPr>
          <w:rFonts w:cs="Arial"/>
        </w:rPr>
        <w:t>.</w:t>
      </w:r>
      <w:r w:rsidR="002E1815" w:rsidRPr="00FF5E4D">
        <w:rPr>
          <w:rFonts w:cs="Arial"/>
        </w:rPr>
        <w:t xml:space="preserve"> The very large European Union fuel market allows oil stock ticketing for trade between entities that are long or short on required fuel stocks. Tickets are a type of direct contracting between two parties.</w:t>
      </w:r>
    </w:p>
    <w:p w14:paraId="4A40F1E8" w14:textId="44402108" w:rsidR="00370426" w:rsidRPr="00B94CB8" w:rsidRDefault="00DF21DD" w:rsidP="00161240">
      <w:pPr>
        <w:pStyle w:val="Heading2"/>
        <w:numPr>
          <w:ilvl w:val="1"/>
          <w:numId w:val="77"/>
        </w:numPr>
      </w:pPr>
      <w:bookmarkStart w:id="539" w:name="_Toc65402190"/>
      <w:bookmarkStart w:id="540" w:name="_Toc65405423"/>
      <w:bookmarkStart w:id="541" w:name="_Toc65499082"/>
      <w:bookmarkStart w:id="542" w:name="_Toc65499511"/>
      <w:bookmarkStart w:id="543" w:name="_Toc67923610"/>
      <w:bookmarkStart w:id="544" w:name="_Toc67926847"/>
      <w:bookmarkStart w:id="545" w:name="_Toc68614706"/>
      <w:bookmarkStart w:id="546" w:name="_Toc69201409"/>
      <w:bookmarkStart w:id="547" w:name="_Toc69941630"/>
      <w:bookmarkStart w:id="548" w:name="_Toc70419856"/>
      <w:bookmarkStart w:id="549" w:name="_Toc72394936"/>
      <w:bookmarkStart w:id="550" w:name="_Toc72395679"/>
      <w:r>
        <w:lastRenderedPageBreak/>
        <w:t>Further consultation</w:t>
      </w:r>
      <w:bookmarkEnd w:id="539"/>
      <w:bookmarkEnd w:id="540"/>
      <w:bookmarkEnd w:id="541"/>
      <w:bookmarkEnd w:id="542"/>
      <w:bookmarkEnd w:id="543"/>
      <w:bookmarkEnd w:id="544"/>
      <w:bookmarkEnd w:id="545"/>
      <w:bookmarkEnd w:id="546"/>
      <w:bookmarkEnd w:id="547"/>
      <w:bookmarkEnd w:id="548"/>
      <w:bookmarkEnd w:id="549"/>
      <w:bookmarkEnd w:id="550"/>
    </w:p>
    <w:p w14:paraId="7A4E8B51" w14:textId="2D2006EF" w:rsidR="00060898" w:rsidRDefault="00B05A65" w:rsidP="00370426">
      <w:pPr>
        <w:spacing w:line="276" w:lineRule="auto"/>
        <w:rPr>
          <w:rFonts w:cs="Arial"/>
        </w:rPr>
      </w:pPr>
      <w:r>
        <w:rPr>
          <w:rFonts w:cs="Arial"/>
        </w:rPr>
        <w:t>T</w:t>
      </w:r>
      <w:r w:rsidR="00060898">
        <w:rPr>
          <w:rFonts w:cs="Arial"/>
        </w:rPr>
        <w:t>h</w:t>
      </w:r>
      <w:r>
        <w:rPr>
          <w:rFonts w:cs="Arial"/>
        </w:rPr>
        <w:t xml:space="preserve">e next stage of consultation </w:t>
      </w:r>
      <w:r w:rsidR="00060898">
        <w:rPr>
          <w:rFonts w:cs="Arial"/>
        </w:rPr>
        <w:t xml:space="preserve">will focus on the implementation of </w:t>
      </w:r>
      <w:r>
        <w:rPr>
          <w:rFonts w:cs="Arial"/>
        </w:rPr>
        <w:t>the FSSP and MSO</w:t>
      </w:r>
      <w:r w:rsidR="00060898">
        <w:rPr>
          <w:rFonts w:cs="Arial"/>
        </w:rPr>
        <w:t xml:space="preserve"> through legislation.</w:t>
      </w:r>
    </w:p>
    <w:p w14:paraId="65C86708" w14:textId="01D59137" w:rsidR="005C2783" w:rsidRPr="00393082" w:rsidRDefault="005C2783" w:rsidP="00370426">
      <w:pPr>
        <w:spacing w:line="276" w:lineRule="auto"/>
        <w:rPr>
          <w:rFonts w:cs="Arial"/>
        </w:rPr>
      </w:pPr>
      <w:r w:rsidRPr="005C2783">
        <w:rPr>
          <w:rFonts w:cs="Arial"/>
        </w:rPr>
        <w:t>Development of legislation has been informed through video/teleconference with affected entities, with targeted consultation on an exposure draft expected to occur with obligated entities. Consultation will continue to occur after introduction of the legislation to inform the development of associated Ministerial Rules.</w:t>
      </w:r>
    </w:p>
    <w:p w14:paraId="585DC589" w14:textId="5A05AB24" w:rsidR="00A675E8" w:rsidRDefault="00A675E8" w:rsidP="00AF6B41">
      <w:pPr>
        <w:spacing w:line="276" w:lineRule="auto"/>
        <w:rPr>
          <w:rFonts w:cs="Arial"/>
        </w:rPr>
      </w:pPr>
      <w:r>
        <w:rPr>
          <w:rFonts w:cs="Arial"/>
        </w:rPr>
        <w:br w:type="page"/>
      </w:r>
    </w:p>
    <w:p w14:paraId="5E0176D4" w14:textId="621FEF5B" w:rsidR="00B16409" w:rsidRDefault="00B16409" w:rsidP="00161240">
      <w:pPr>
        <w:pStyle w:val="Heading1"/>
        <w:numPr>
          <w:ilvl w:val="0"/>
          <w:numId w:val="77"/>
        </w:numPr>
        <w:rPr>
          <w:rFonts w:eastAsia="Calibri"/>
        </w:rPr>
      </w:pPr>
      <w:bookmarkStart w:id="551" w:name="_Toc65228338"/>
      <w:bookmarkStart w:id="552" w:name="_Toc65247721"/>
      <w:bookmarkStart w:id="553" w:name="_Toc65250677"/>
      <w:bookmarkStart w:id="554" w:name="_Toc65253444"/>
      <w:bookmarkStart w:id="555" w:name="_Toc65329422"/>
      <w:bookmarkStart w:id="556" w:name="_Toc65332781"/>
      <w:bookmarkStart w:id="557" w:name="_Toc65339176"/>
      <w:bookmarkStart w:id="558" w:name="_Toc65341108"/>
      <w:bookmarkStart w:id="559" w:name="_Toc65402191"/>
      <w:bookmarkStart w:id="560" w:name="_Toc65405424"/>
      <w:bookmarkStart w:id="561" w:name="_Toc65499083"/>
      <w:bookmarkStart w:id="562" w:name="_Toc65499512"/>
      <w:bookmarkStart w:id="563" w:name="_Toc67923611"/>
      <w:bookmarkStart w:id="564" w:name="_Toc67926848"/>
      <w:bookmarkStart w:id="565" w:name="_Toc68614707"/>
      <w:bookmarkStart w:id="566" w:name="_Toc69201410"/>
      <w:bookmarkStart w:id="567" w:name="_Toc69941631"/>
      <w:bookmarkStart w:id="568" w:name="_Toc70419857"/>
      <w:bookmarkStart w:id="569" w:name="_Toc72394937"/>
      <w:bookmarkStart w:id="570" w:name="_Toc72395680"/>
      <w:r w:rsidRPr="00AF6B41">
        <w:rPr>
          <w:rFonts w:eastAsia="Calibri"/>
        </w:rPr>
        <w:lastRenderedPageBreak/>
        <w:t>What is the best option from those considered?</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AF6B41">
        <w:rPr>
          <w:rFonts w:eastAsia="Calibri"/>
        </w:rPr>
        <w:t xml:space="preserve"> </w:t>
      </w:r>
    </w:p>
    <w:p w14:paraId="5A462063" w14:textId="77777777" w:rsidR="00A32A58" w:rsidRDefault="00A32A58" w:rsidP="00A32A58">
      <w:pPr>
        <w:pStyle w:val="BodyText"/>
        <w:rPr>
          <w:rFonts w:ascii="Arial" w:hAnsi="Arial" w:cs="Arial"/>
        </w:rPr>
      </w:pPr>
      <w:r>
        <w:rPr>
          <w:rFonts w:ascii="Arial" w:hAnsi="Arial" w:cs="Arial"/>
        </w:rPr>
        <w:t xml:space="preserve">Key insights from stakeholder consultations include: </w:t>
      </w:r>
    </w:p>
    <w:p w14:paraId="18BA369D" w14:textId="36E86DD7" w:rsidR="00E01FE0" w:rsidRPr="00FF15DC" w:rsidRDefault="00370426" w:rsidP="00B86109">
      <w:pPr>
        <w:pStyle w:val="BodyText"/>
        <w:numPr>
          <w:ilvl w:val="0"/>
          <w:numId w:val="30"/>
        </w:numPr>
        <w:rPr>
          <w:rFonts w:ascii="Arial" w:hAnsi="Arial" w:cs="Arial"/>
        </w:rPr>
      </w:pPr>
      <w:r>
        <w:rPr>
          <w:rFonts w:ascii="Arial" w:hAnsi="Arial" w:cs="Arial"/>
        </w:rPr>
        <w:t xml:space="preserve">An adjustable payment mechanism (to deliver </w:t>
      </w:r>
      <w:r w:rsidR="00FD6151">
        <w:rPr>
          <w:rFonts w:ascii="Arial" w:hAnsi="Arial" w:cs="Arial"/>
        </w:rPr>
        <w:t>the</w:t>
      </w:r>
      <w:r>
        <w:rPr>
          <w:rFonts w:ascii="Arial" w:hAnsi="Arial" w:cs="Arial"/>
        </w:rPr>
        <w:t xml:space="preserve"> </w:t>
      </w:r>
      <w:r w:rsidR="00FD6151">
        <w:rPr>
          <w:rFonts w:ascii="Arial" w:hAnsi="Arial" w:cs="Arial"/>
        </w:rPr>
        <w:t>FSSP</w:t>
      </w:r>
      <w:r>
        <w:rPr>
          <w:rFonts w:ascii="Arial" w:hAnsi="Arial" w:cs="Arial"/>
        </w:rPr>
        <w:t>) is expected to have the least distortionary impact and mitigate the risk of ov</w:t>
      </w:r>
      <w:r w:rsidR="00A32A58">
        <w:rPr>
          <w:rFonts w:ascii="Arial" w:hAnsi="Arial" w:cs="Arial"/>
        </w:rPr>
        <w:t>er-supporting refineries</w:t>
      </w:r>
    </w:p>
    <w:p w14:paraId="4A7175EB" w14:textId="17259CF0" w:rsidR="00370426" w:rsidRDefault="00370426" w:rsidP="0061480B">
      <w:pPr>
        <w:pStyle w:val="BodyText"/>
        <w:numPr>
          <w:ilvl w:val="0"/>
          <w:numId w:val="30"/>
        </w:numPr>
        <w:rPr>
          <w:rFonts w:ascii="Arial" w:hAnsi="Arial" w:cs="Arial"/>
        </w:rPr>
      </w:pPr>
      <w:r>
        <w:rPr>
          <w:rFonts w:ascii="Arial" w:hAnsi="Arial" w:cs="Arial"/>
        </w:rPr>
        <w:t xml:space="preserve">Direct contracting is likely to be the simplest mechanism to deliver an intermediary market for the </w:t>
      </w:r>
      <w:r w:rsidR="00FD6151">
        <w:rPr>
          <w:rFonts w:ascii="Arial" w:hAnsi="Arial" w:cs="Arial"/>
        </w:rPr>
        <w:t>MSO</w:t>
      </w:r>
    </w:p>
    <w:p w14:paraId="7DC59D25" w14:textId="190258C4" w:rsidR="00A458A0" w:rsidRPr="00A458A0" w:rsidRDefault="00370426" w:rsidP="00B86109">
      <w:pPr>
        <w:pStyle w:val="ListParagraph"/>
        <w:numPr>
          <w:ilvl w:val="0"/>
          <w:numId w:val="18"/>
        </w:numPr>
        <w:spacing w:before="0" w:after="160" w:line="276" w:lineRule="auto"/>
        <w:rPr>
          <w:rFonts w:ascii="Arial" w:hAnsi="Arial" w:cs="Arial"/>
        </w:rPr>
      </w:pPr>
      <w:r>
        <w:rPr>
          <w:rFonts w:ascii="Arial" w:hAnsi="Arial" w:cs="Arial"/>
        </w:rPr>
        <w:t xml:space="preserve">A national level target for a </w:t>
      </w:r>
      <w:r w:rsidR="00FD6151">
        <w:rPr>
          <w:rFonts w:ascii="Arial" w:hAnsi="Arial" w:cs="Arial"/>
        </w:rPr>
        <w:t>MSO</w:t>
      </w:r>
      <w:r>
        <w:rPr>
          <w:rFonts w:ascii="Arial" w:hAnsi="Arial" w:cs="Arial"/>
        </w:rPr>
        <w:t xml:space="preserve"> will minimise the risk of inefficient stockholding behaviour. </w:t>
      </w:r>
    </w:p>
    <w:p w14:paraId="266A9DA2" w14:textId="0A1405D0" w:rsidR="005C293C" w:rsidRDefault="00A458A0" w:rsidP="005C293C">
      <w:pPr>
        <w:spacing w:before="0" w:after="160" w:line="276" w:lineRule="auto"/>
      </w:pPr>
      <w:r w:rsidRPr="00A458A0">
        <w:t>I</w:t>
      </w:r>
      <w:r>
        <w:t xml:space="preserve">n addition to these </w:t>
      </w:r>
      <w:r w:rsidR="0097634D">
        <w:t>insights</w:t>
      </w:r>
      <w:r>
        <w:t xml:space="preserve">, </w:t>
      </w:r>
      <w:r w:rsidRPr="00A458A0">
        <w:t>the following principles</w:t>
      </w:r>
      <w:r w:rsidR="005C293C">
        <w:t>, which form</w:t>
      </w:r>
      <w:r w:rsidR="005C293C" w:rsidDel="00243B6F">
        <w:t xml:space="preserve"> </w:t>
      </w:r>
      <w:r w:rsidR="005C293C">
        <w:t xml:space="preserve">the market and regulatory framework to enhance Australia’s fuel security, </w:t>
      </w:r>
      <w:r>
        <w:t xml:space="preserve">were developed </w:t>
      </w:r>
      <w:r w:rsidRPr="00A458A0">
        <w:t xml:space="preserve">to guide </w:t>
      </w:r>
      <w:r w:rsidR="009F2C0A">
        <w:t xml:space="preserve">the policy development process </w:t>
      </w:r>
      <w:r w:rsidR="005C293C">
        <w:t xml:space="preserve">and </w:t>
      </w:r>
      <w:r w:rsidR="005A5801">
        <w:t xml:space="preserve">helped to form </w:t>
      </w:r>
      <w:r w:rsidR="009F2C0A">
        <w:t>the recommended preferred approach</w:t>
      </w:r>
      <w:r w:rsidR="005A5801">
        <w:t xml:space="preserve"> by narrowing down options</w:t>
      </w:r>
      <w:r w:rsidR="009F2C0A">
        <w:t xml:space="preserve">. </w:t>
      </w:r>
    </w:p>
    <w:p w14:paraId="40212747" w14:textId="6964B000" w:rsidR="00A458A0" w:rsidRPr="00A458A0" w:rsidRDefault="00363EA5" w:rsidP="00B86109">
      <w:pPr>
        <w:pStyle w:val="ListParagraph"/>
        <w:numPr>
          <w:ilvl w:val="0"/>
          <w:numId w:val="18"/>
        </w:numPr>
        <w:spacing w:before="0" w:after="160" w:line="276" w:lineRule="auto"/>
        <w:rPr>
          <w:rFonts w:ascii="Arial" w:hAnsi="Arial"/>
        </w:rPr>
      </w:pPr>
      <w:r>
        <w:rPr>
          <w:rFonts w:ascii="Arial" w:hAnsi="Arial"/>
        </w:rPr>
        <w:t>I</w:t>
      </w:r>
      <w:r w:rsidR="00A458A0" w:rsidRPr="00A458A0">
        <w:rPr>
          <w:rFonts w:ascii="Arial" w:hAnsi="Arial"/>
        </w:rPr>
        <w:t xml:space="preserve">ntervention </w:t>
      </w:r>
      <w:r>
        <w:rPr>
          <w:rFonts w:ascii="Arial" w:hAnsi="Arial"/>
        </w:rPr>
        <w:t>should minimise</w:t>
      </w:r>
      <w:r w:rsidR="00A458A0" w:rsidRPr="00A458A0">
        <w:rPr>
          <w:rFonts w:ascii="Arial" w:hAnsi="Arial"/>
        </w:rPr>
        <w:t xml:space="preserve"> market distortion, and seek to maintain a competitive market not only between the two </w:t>
      </w:r>
      <w:r w:rsidR="00A458A0">
        <w:rPr>
          <w:rFonts w:ascii="Arial" w:hAnsi="Arial"/>
        </w:rPr>
        <w:t xml:space="preserve">remaining </w:t>
      </w:r>
      <w:r w:rsidR="00A458A0" w:rsidRPr="00A458A0">
        <w:rPr>
          <w:rFonts w:ascii="Arial" w:hAnsi="Arial"/>
        </w:rPr>
        <w:t>refiners, but also maintain competition with fuel importers.</w:t>
      </w:r>
    </w:p>
    <w:p w14:paraId="52ECB05A" w14:textId="522C39C1" w:rsidR="00A458A0" w:rsidRPr="00A458A0" w:rsidRDefault="00363EA5" w:rsidP="00B86109">
      <w:pPr>
        <w:pStyle w:val="ListParagraph"/>
        <w:numPr>
          <w:ilvl w:val="0"/>
          <w:numId w:val="18"/>
        </w:numPr>
        <w:spacing w:before="0" w:after="160" w:line="276" w:lineRule="auto"/>
        <w:rPr>
          <w:rFonts w:ascii="Arial" w:hAnsi="Arial"/>
        </w:rPr>
      </w:pPr>
      <w:r>
        <w:rPr>
          <w:rFonts w:ascii="Arial" w:hAnsi="Arial"/>
        </w:rPr>
        <w:t>A</w:t>
      </w:r>
      <w:r w:rsidR="00A458A0" w:rsidRPr="00A458A0">
        <w:rPr>
          <w:rFonts w:ascii="Arial" w:hAnsi="Arial"/>
        </w:rPr>
        <w:t xml:space="preserve"> common level of support to refiners to maintain competition in the market. </w:t>
      </w:r>
    </w:p>
    <w:p w14:paraId="6E648850" w14:textId="135F9097" w:rsidR="00DD7BD8" w:rsidRDefault="00177AA6" w:rsidP="00177AA6">
      <w:pPr>
        <w:spacing w:before="0" w:after="160" w:line="276" w:lineRule="auto"/>
      </w:pPr>
      <w:r>
        <w:t xml:space="preserve">As a result, the </w:t>
      </w:r>
      <w:r w:rsidR="009F2C0A">
        <w:t>preferred approach is as follows:</w:t>
      </w:r>
    </w:p>
    <w:p w14:paraId="0EA618CE" w14:textId="14785FA5" w:rsidR="00177AA6" w:rsidRDefault="00177AA6" w:rsidP="00B86109">
      <w:pPr>
        <w:pStyle w:val="ListParagraph"/>
        <w:numPr>
          <w:ilvl w:val="0"/>
          <w:numId w:val="26"/>
        </w:numPr>
        <w:spacing w:before="0" w:after="160" w:line="276" w:lineRule="auto"/>
        <w:rPr>
          <w:rFonts w:ascii="Arial" w:hAnsi="Arial" w:cs="Arial"/>
        </w:rPr>
      </w:pPr>
      <w:r>
        <w:rPr>
          <w:rFonts w:ascii="Arial" w:hAnsi="Arial" w:cs="Arial"/>
        </w:rPr>
        <w:t xml:space="preserve">The direct contracting model for the administration of the </w:t>
      </w:r>
      <w:r w:rsidR="00FD6151">
        <w:rPr>
          <w:rFonts w:ascii="Arial" w:hAnsi="Arial" w:cs="Arial"/>
        </w:rPr>
        <w:t>MSO</w:t>
      </w:r>
      <w:r w:rsidR="0097634D">
        <w:rPr>
          <w:rFonts w:ascii="Arial" w:hAnsi="Arial" w:cs="Arial"/>
        </w:rPr>
        <w:t>,</w:t>
      </w:r>
      <w:r w:rsidR="009F2C0A">
        <w:rPr>
          <w:rFonts w:ascii="Arial" w:hAnsi="Arial" w:cs="Arial"/>
        </w:rPr>
        <w:t xml:space="preserve"> with the obligation s</w:t>
      </w:r>
      <w:r w:rsidR="005C293C">
        <w:rPr>
          <w:rFonts w:ascii="Arial" w:hAnsi="Arial" w:cs="Arial"/>
        </w:rPr>
        <w:t xml:space="preserve">et upon refiners and importers which minimises market distortion as it sits in the part of the supply chain where </w:t>
      </w:r>
      <w:r w:rsidR="00363EA5">
        <w:rPr>
          <w:rFonts w:ascii="Arial" w:hAnsi="Arial" w:cs="Arial"/>
        </w:rPr>
        <w:t>there is a consolidated market</w:t>
      </w:r>
      <w:r w:rsidR="001D6E51">
        <w:rPr>
          <w:rFonts w:ascii="Arial" w:hAnsi="Arial" w:cs="Arial"/>
        </w:rPr>
        <w:t>.</w:t>
      </w:r>
    </w:p>
    <w:p w14:paraId="3E2B21B6" w14:textId="12D29864" w:rsidR="00370426" w:rsidRPr="00AF6B41" w:rsidRDefault="00177AA6" w:rsidP="00EA3D68">
      <w:pPr>
        <w:pStyle w:val="ListParagraph"/>
        <w:numPr>
          <w:ilvl w:val="0"/>
          <w:numId w:val="26"/>
        </w:numPr>
        <w:spacing w:before="0" w:after="160" w:line="276" w:lineRule="auto"/>
      </w:pPr>
      <w:r>
        <w:rPr>
          <w:rFonts w:ascii="Arial" w:hAnsi="Arial" w:cs="Arial"/>
        </w:rPr>
        <w:t>An adjustable production payment</w:t>
      </w:r>
      <w:r w:rsidR="00D07B94">
        <w:rPr>
          <w:rFonts w:ascii="Arial" w:hAnsi="Arial" w:cs="Arial"/>
        </w:rPr>
        <w:t xml:space="preserve">, funded out of consolidated revenue, </w:t>
      </w:r>
      <w:r>
        <w:rPr>
          <w:rFonts w:ascii="Arial" w:hAnsi="Arial" w:cs="Arial"/>
        </w:rPr>
        <w:t xml:space="preserve">as the mechanism for the </w:t>
      </w:r>
      <w:r w:rsidR="00FD6151">
        <w:rPr>
          <w:rFonts w:ascii="Arial" w:hAnsi="Arial" w:cs="Arial"/>
        </w:rPr>
        <w:t xml:space="preserve">FSSP </w:t>
      </w:r>
      <w:r w:rsidR="00363EA5">
        <w:rPr>
          <w:rFonts w:ascii="Arial" w:hAnsi="Arial" w:cs="Arial"/>
        </w:rPr>
        <w:t xml:space="preserve">which is triggered only when refiners are operating under low margins to maintain Australia’s </w:t>
      </w:r>
      <w:r w:rsidR="006110F3">
        <w:rPr>
          <w:rFonts w:ascii="Arial" w:hAnsi="Arial" w:cs="Arial"/>
        </w:rPr>
        <w:t>sovereign</w:t>
      </w:r>
      <w:r w:rsidR="00363EA5">
        <w:rPr>
          <w:rFonts w:ascii="Arial" w:hAnsi="Arial" w:cs="Arial"/>
        </w:rPr>
        <w:t xml:space="preserve"> refining capability</w:t>
      </w:r>
      <w:r w:rsidR="0097634D">
        <w:rPr>
          <w:rFonts w:ascii="Arial" w:hAnsi="Arial" w:cs="Arial"/>
        </w:rPr>
        <w:t>,</w:t>
      </w:r>
      <w:r w:rsidR="00363EA5">
        <w:rPr>
          <w:rFonts w:ascii="Arial" w:hAnsi="Arial" w:cs="Arial"/>
        </w:rPr>
        <w:t xml:space="preserve"> whil</w:t>
      </w:r>
      <w:r w:rsidR="0097634D">
        <w:rPr>
          <w:rFonts w:ascii="Arial" w:hAnsi="Arial" w:cs="Arial"/>
        </w:rPr>
        <w:t>e</w:t>
      </w:r>
      <w:r w:rsidR="00363EA5">
        <w:rPr>
          <w:rFonts w:ascii="Arial" w:hAnsi="Arial" w:cs="Arial"/>
        </w:rPr>
        <w:t xml:space="preserve"> avoiding overpayment when margins improve.</w:t>
      </w:r>
    </w:p>
    <w:p w14:paraId="155CB044" w14:textId="1DC1B603" w:rsidR="00B16409" w:rsidRPr="00DD7BD8" w:rsidRDefault="00AD0EF2" w:rsidP="00161240">
      <w:pPr>
        <w:pStyle w:val="Heading1"/>
        <w:numPr>
          <w:ilvl w:val="0"/>
          <w:numId w:val="77"/>
        </w:numPr>
        <w:rPr>
          <w:rFonts w:eastAsia="Calibri"/>
        </w:rPr>
      </w:pPr>
      <w:bookmarkStart w:id="571" w:name="_Toc65253445"/>
      <w:bookmarkStart w:id="572" w:name="_Toc65253446"/>
      <w:bookmarkStart w:id="573" w:name="_Toc65228339"/>
      <w:bookmarkStart w:id="574" w:name="_Toc65247722"/>
      <w:bookmarkStart w:id="575" w:name="_Toc65250678"/>
      <w:bookmarkStart w:id="576" w:name="_Toc65253447"/>
      <w:bookmarkStart w:id="577" w:name="_Toc65329423"/>
      <w:bookmarkStart w:id="578" w:name="_Toc65332782"/>
      <w:bookmarkStart w:id="579" w:name="_Toc65339177"/>
      <w:bookmarkStart w:id="580" w:name="_Toc65341109"/>
      <w:bookmarkStart w:id="581" w:name="_Toc65402192"/>
      <w:bookmarkStart w:id="582" w:name="_Toc65405425"/>
      <w:bookmarkStart w:id="583" w:name="_Toc65499084"/>
      <w:bookmarkStart w:id="584" w:name="_Toc65499513"/>
      <w:bookmarkStart w:id="585" w:name="_Toc67923612"/>
      <w:bookmarkEnd w:id="571"/>
      <w:bookmarkEnd w:id="572"/>
      <w:r w:rsidRPr="00AD0EF2">
        <w:rPr>
          <w:rFonts w:eastAsia="Calibri"/>
        </w:rPr>
        <w:br w:type="page"/>
      </w:r>
      <w:bookmarkStart w:id="586" w:name="_Toc67926849"/>
      <w:bookmarkStart w:id="587" w:name="_Toc68614708"/>
      <w:bookmarkStart w:id="588" w:name="_Toc69201411"/>
      <w:bookmarkStart w:id="589" w:name="_Toc69941632"/>
      <w:bookmarkStart w:id="590" w:name="_Toc70419858"/>
      <w:bookmarkStart w:id="591" w:name="_Toc72394938"/>
      <w:bookmarkStart w:id="592" w:name="_Toc72395681"/>
      <w:r w:rsidR="00B16409" w:rsidRPr="00DD7BD8">
        <w:rPr>
          <w:rFonts w:eastAsia="Calibri"/>
        </w:rPr>
        <w:lastRenderedPageBreak/>
        <w:t xml:space="preserve">How will </w:t>
      </w:r>
      <w:r w:rsidR="0026134B">
        <w:rPr>
          <w:rFonts w:eastAsia="Calibri"/>
        </w:rPr>
        <w:t xml:space="preserve">the chosen option be </w:t>
      </w:r>
      <w:r w:rsidR="00B16409" w:rsidRPr="00DD7BD8">
        <w:rPr>
          <w:rFonts w:eastAsia="Calibri"/>
        </w:rPr>
        <w:t>implement</w:t>
      </w:r>
      <w:r w:rsidR="0026134B">
        <w:rPr>
          <w:rFonts w:eastAsia="Calibri"/>
        </w:rPr>
        <w:t>ed</w:t>
      </w:r>
      <w:r w:rsidR="00B16409" w:rsidRPr="00DD7BD8">
        <w:rPr>
          <w:rFonts w:eastAsia="Calibri"/>
        </w:rPr>
        <w:t xml:space="preserve"> and evaluate</w:t>
      </w:r>
      <w:r w:rsidR="0026134B">
        <w:rPr>
          <w:rFonts w:eastAsia="Calibri"/>
        </w:rPr>
        <w:t>d</w:t>
      </w:r>
      <w:r w:rsidR="00B16409" w:rsidRPr="00DD7BD8">
        <w:rPr>
          <w:rFonts w:eastAsia="Calibri"/>
        </w:rPr>
        <w:t>?</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5302A555" w14:textId="2689B844" w:rsidR="001D0783" w:rsidRDefault="001D0783" w:rsidP="00161240">
      <w:pPr>
        <w:pStyle w:val="Heading2"/>
        <w:numPr>
          <w:ilvl w:val="1"/>
          <w:numId w:val="77"/>
        </w:numPr>
      </w:pPr>
      <w:bookmarkStart w:id="593" w:name="_Toc65227396"/>
      <w:bookmarkStart w:id="594" w:name="_Toc65339178"/>
      <w:bookmarkStart w:id="595" w:name="_Toc65341110"/>
      <w:bookmarkStart w:id="596" w:name="_Toc65402193"/>
      <w:bookmarkStart w:id="597" w:name="_Toc65405426"/>
      <w:bookmarkStart w:id="598" w:name="_Toc65499085"/>
      <w:bookmarkStart w:id="599" w:name="_Toc65499514"/>
      <w:bookmarkStart w:id="600" w:name="_Toc67923613"/>
      <w:bookmarkStart w:id="601" w:name="_Toc67926850"/>
      <w:bookmarkStart w:id="602" w:name="_Toc68614709"/>
      <w:bookmarkStart w:id="603" w:name="_Toc69201412"/>
      <w:bookmarkStart w:id="604" w:name="_Toc69941633"/>
      <w:bookmarkStart w:id="605" w:name="_Toc70419859"/>
      <w:bookmarkStart w:id="606" w:name="_Toc72394939"/>
      <w:bookmarkStart w:id="607" w:name="_Toc72395682"/>
      <w:bookmarkStart w:id="608" w:name="_Toc65329424"/>
      <w:bookmarkStart w:id="609" w:name="_Toc65332783"/>
      <w:bookmarkEnd w:id="593"/>
      <w:r>
        <w:t>Challenges</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569DEBE4" w14:textId="08A1A8E5" w:rsidR="001D0783" w:rsidRDefault="001D0783">
      <w:pPr>
        <w:spacing w:before="0" w:after="160" w:line="276" w:lineRule="auto"/>
      </w:pPr>
      <w:r>
        <w:t>The major implementation challenge of the polic</w:t>
      </w:r>
      <w:r w:rsidR="00363EA5">
        <w:t>y proposal will be</w:t>
      </w:r>
      <w:r w:rsidR="000B7DAA">
        <w:t xml:space="preserve"> establishing </w:t>
      </w:r>
      <w:r w:rsidR="00712834">
        <w:t xml:space="preserve">fit for purpose legislation, with adequate stakeholder consultation and </w:t>
      </w:r>
      <w:r w:rsidR="000B7DAA">
        <w:t xml:space="preserve">ensuring </w:t>
      </w:r>
      <w:r w:rsidR="00712834">
        <w:t xml:space="preserve">the appropriate delivery mechanisms are </w:t>
      </w:r>
      <w:r w:rsidR="00363EA5">
        <w:t xml:space="preserve">in place </w:t>
      </w:r>
      <w:r w:rsidR="00712834">
        <w:t xml:space="preserve">to support </w:t>
      </w:r>
      <w:r w:rsidR="00363EA5">
        <w:t>the commencement of legislation on 1</w:t>
      </w:r>
      <w:r w:rsidR="006110F3">
        <w:t> </w:t>
      </w:r>
      <w:r w:rsidR="00363EA5">
        <w:t xml:space="preserve">July 2021 </w:t>
      </w:r>
      <w:r w:rsidR="00712834">
        <w:t xml:space="preserve">in relation to the </w:t>
      </w:r>
      <w:r w:rsidR="007C52C0">
        <w:t>FSSP</w:t>
      </w:r>
      <w:r w:rsidR="00712834">
        <w:t xml:space="preserve"> and </w:t>
      </w:r>
      <w:r w:rsidR="007C52C0">
        <w:t>MSO</w:t>
      </w:r>
      <w:r w:rsidR="002B6924">
        <w:t>.</w:t>
      </w:r>
    </w:p>
    <w:p w14:paraId="6FBC4F6B" w14:textId="535CC79A" w:rsidR="00C52A4E" w:rsidRPr="00202960" w:rsidRDefault="00C52A4E" w:rsidP="0061480B">
      <w:pPr>
        <w:pStyle w:val="BodyText"/>
        <w:spacing w:line="276" w:lineRule="auto"/>
        <w:rPr>
          <w:rFonts w:cs="Arial"/>
        </w:rPr>
      </w:pPr>
      <w:r w:rsidRPr="0061480B">
        <w:rPr>
          <w:rFonts w:ascii="Arial" w:hAnsi="Arial" w:cs="Arial"/>
        </w:rPr>
        <w:t xml:space="preserve">One issue </w:t>
      </w:r>
      <w:r w:rsidR="00156E75">
        <w:rPr>
          <w:rFonts w:ascii="Arial" w:hAnsi="Arial" w:cs="Arial"/>
        </w:rPr>
        <w:t xml:space="preserve">for Government </w:t>
      </w:r>
      <w:r w:rsidRPr="0061480B">
        <w:rPr>
          <w:rFonts w:ascii="Arial" w:hAnsi="Arial" w:cs="Arial"/>
        </w:rPr>
        <w:t xml:space="preserve">to </w:t>
      </w:r>
      <w:r w:rsidR="00156E75">
        <w:rPr>
          <w:rFonts w:ascii="Arial" w:hAnsi="Arial" w:cs="Arial"/>
        </w:rPr>
        <w:t xml:space="preserve">consider in the longer term </w:t>
      </w:r>
      <w:r w:rsidRPr="0061480B">
        <w:rPr>
          <w:rFonts w:ascii="Arial" w:hAnsi="Arial" w:cs="Arial"/>
        </w:rPr>
        <w:t xml:space="preserve">will be the ongoing challenge of ensuring sectors do not </w:t>
      </w:r>
      <w:r w:rsidR="00156E75">
        <w:rPr>
          <w:rFonts w:ascii="Arial" w:hAnsi="Arial" w:cs="Arial"/>
        </w:rPr>
        <w:t xml:space="preserve">use the MSO to further justify scaling back business continuity arrangements. </w:t>
      </w:r>
      <w:r>
        <w:rPr>
          <w:rFonts w:ascii="Arial" w:hAnsi="Arial" w:cs="Arial"/>
        </w:rPr>
        <w:t xml:space="preserve">For example, </w:t>
      </w:r>
      <w:r w:rsidR="00156E75" w:rsidRPr="00B01881">
        <w:rPr>
          <w:rFonts w:ascii="Arial" w:hAnsi="Arial" w:cs="Arial"/>
        </w:rPr>
        <w:t>if Industry is now holding above commercial stocks</w:t>
      </w:r>
      <w:r w:rsidR="00156E75">
        <w:rPr>
          <w:rFonts w:ascii="Arial" w:hAnsi="Arial" w:cs="Arial"/>
        </w:rPr>
        <w:t xml:space="preserve"> levels, sectors may use this as an opportunity to further reduce costs related to emergency </w:t>
      </w:r>
      <w:r w:rsidRPr="00B01881">
        <w:rPr>
          <w:rFonts w:ascii="Arial" w:hAnsi="Arial" w:cs="Arial"/>
        </w:rPr>
        <w:t>contractual arrangement</w:t>
      </w:r>
      <w:r w:rsidR="00156E75">
        <w:rPr>
          <w:rFonts w:ascii="Arial" w:hAnsi="Arial" w:cs="Arial"/>
        </w:rPr>
        <w:t>s</w:t>
      </w:r>
      <w:r w:rsidRPr="00B01881">
        <w:rPr>
          <w:rFonts w:ascii="Arial" w:hAnsi="Arial" w:cs="Arial"/>
        </w:rPr>
        <w:t xml:space="preserve"> or hold </w:t>
      </w:r>
      <w:r w:rsidR="00156E75">
        <w:rPr>
          <w:rFonts w:ascii="Arial" w:hAnsi="Arial" w:cs="Arial"/>
        </w:rPr>
        <w:t>their own supplies</w:t>
      </w:r>
      <w:r w:rsidRPr="00B01881">
        <w:rPr>
          <w:rFonts w:ascii="Arial" w:hAnsi="Arial" w:cs="Arial"/>
        </w:rPr>
        <w:t>.</w:t>
      </w:r>
    </w:p>
    <w:p w14:paraId="55C0D79F" w14:textId="5E3FCB0E" w:rsidR="0080191D" w:rsidRDefault="001D0783" w:rsidP="00161240">
      <w:pPr>
        <w:pStyle w:val="Heading2"/>
        <w:numPr>
          <w:ilvl w:val="1"/>
          <w:numId w:val="77"/>
        </w:numPr>
      </w:pPr>
      <w:bookmarkStart w:id="610" w:name="_Toc65339179"/>
      <w:bookmarkStart w:id="611" w:name="_Toc65341111"/>
      <w:bookmarkStart w:id="612" w:name="_Toc65402194"/>
      <w:bookmarkStart w:id="613" w:name="_Toc65405427"/>
      <w:bookmarkStart w:id="614" w:name="_Toc65499086"/>
      <w:bookmarkStart w:id="615" w:name="_Toc65499515"/>
      <w:bookmarkStart w:id="616" w:name="_Toc67923614"/>
      <w:bookmarkStart w:id="617" w:name="_Toc67926851"/>
      <w:bookmarkStart w:id="618" w:name="_Toc68614710"/>
      <w:bookmarkStart w:id="619" w:name="_Toc69201413"/>
      <w:bookmarkStart w:id="620" w:name="_Toc69941634"/>
      <w:bookmarkStart w:id="621" w:name="_Toc70419860"/>
      <w:bookmarkStart w:id="622" w:name="_Toc72394940"/>
      <w:bookmarkStart w:id="623" w:name="_Toc72395683"/>
      <w:r>
        <w:t>Implementation</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0994251B" w14:textId="3CD90E2B" w:rsidR="00B21D46" w:rsidRPr="00B21D46" w:rsidRDefault="00B21D46" w:rsidP="0061480B">
      <w:pPr>
        <w:spacing w:line="276" w:lineRule="auto"/>
      </w:pPr>
      <w:r>
        <w:t xml:space="preserve">Following </w:t>
      </w:r>
      <w:r w:rsidR="00712834">
        <w:t xml:space="preserve">Government decision on the </w:t>
      </w:r>
      <w:r>
        <w:t>Fuel Security Package</w:t>
      </w:r>
      <w:r w:rsidR="00712834">
        <w:t>, the Department</w:t>
      </w:r>
      <w:r>
        <w:t xml:space="preserve"> will enter a period of regulatory and administrative oversight of the framework. In this phase</w:t>
      </w:r>
      <w:r w:rsidR="000B7DAA">
        <w:t>,</w:t>
      </w:r>
      <w:r>
        <w:t xml:space="preserve"> it is expected the ongoing costs will primarily relate to </w:t>
      </w:r>
      <w:r w:rsidR="0097634D">
        <w:t xml:space="preserve">staffing </w:t>
      </w:r>
      <w:r>
        <w:t xml:space="preserve">and </w:t>
      </w:r>
      <w:r w:rsidR="00712834">
        <w:t xml:space="preserve">specific regulatory functions with anticipated </w:t>
      </w:r>
      <w:r>
        <w:t xml:space="preserve">efficiencies stemming from the consolidation of the regulatory and administrative functions to be delivered by a joint unit within the Department. There will be approximately 40-50 industry participants regulated or impacted by the Fuel Security Framework on an ongoing basis.  </w:t>
      </w:r>
    </w:p>
    <w:p w14:paraId="45DE0FCB" w14:textId="17861199" w:rsidR="001D0783" w:rsidRPr="001D0783" w:rsidRDefault="001D0783" w:rsidP="00824E7A">
      <w:pPr>
        <w:pStyle w:val="Heading3"/>
        <w:numPr>
          <w:ilvl w:val="2"/>
          <w:numId w:val="77"/>
        </w:numPr>
      </w:pPr>
      <w:bookmarkStart w:id="624" w:name="_Toc69939645"/>
      <w:bookmarkStart w:id="625" w:name="_Toc69941635"/>
      <w:bookmarkStart w:id="626" w:name="_Toc69951478"/>
      <w:bookmarkStart w:id="627" w:name="_Toc69975961"/>
      <w:bookmarkStart w:id="628" w:name="_Toc70066339"/>
      <w:bookmarkStart w:id="629" w:name="_Toc70419861"/>
      <w:bookmarkStart w:id="630" w:name="_Toc70607257"/>
      <w:bookmarkStart w:id="631" w:name="_Toc70607315"/>
      <w:bookmarkStart w:id="632" w:name="_Toc70607829"/>
      <w:bookmarkStart w:id="633" w:name="_Toc70609321"/>
      <w:bookmarkStart w:id="634" w:name="_Toc71107440"/>
      <w:bookmarkStart w:id="635" w:name="_Toc69939646"/>
      <w:bookmarkStart w:id="636" w:name="_Toc69941636"/>
      <w:bookmarkStart w:id="637" w:name="_Toc69975962"/>
      <w:bookmarkStart w:id="638" w:name="_Toc70066340"/>
      <w:bookmarkStart w:id="639" w:name="_Toc70419862"/>
      <w:bookmarkStart w:id="640" w:name="_Toc70607258"/>
      <w:bookmarkStart w:id="641" w:name="_Toc70607316"/>
      <w:bookmarkStart w:id="642" w:name="_Toc70607830"/>
      <w:bookmarkStart w:id="643" w:name="_Toc70609322"/>
      <w:bookmarkStart w:id="644" w:name="_Toc71107441"/>
      <w:bookmarkStart w:id="645" w:name="_Toc69939647"/>
      <w:bookmarkStart w:id="646" w:name="_Toc69941637"/>
      <w:bookmarkStart w:id="647" w:name="_Toc69975963"/>
      <w:bookmarkStart w:id="648" w:name="_Toc70066341"/>
      <w:bookmarkStart w:id="649" w:name="_Toc70419863"/>
      <w:bookmarkStart w:id="650" w:name="_Toc70607259"/>
      <w:bookmarkStart w:id="651" w:name="_Toc70607317"/>
      <w:bookmarkStart w:id="652" w:name="_Toc70607831"/>
      <w:bookmarkStart w:id="653" w:name="_Toc70609323"/>
      <w:bookmarkStart w:id="654" w:name="_Toc71107442"/>
      <w:bookmarkStart w:id="655" w:name="_Toc69939648"/>
      <w:bookmarkStart w:id="656" w:name="_Toc69941638"/>
      <w:bookmarkStart w:id="657" w:name="_Toc69975964"/>
      <w:bookmarkStart w:id="658" w:name="_Toc70066342"/>
      <w:bookmarkStart w:id="659" w:name="_Toc70419864"/>
      <w:bookmarkStart w:id="660" w:name="_Toc70607260"/>
      <w:bookmarkStart w:id="661" w:name="_Toc70607318"/>
      <w:bookmarkStart w:id="662" w:name="_Toc70607832"/>
      <w:bookmarkStart w:id="663" w:name="_Toc70609324"/>
      <w:bookmarkStart w:id="664" w:name="_Toc71107443"/>
      <w:bookmarkStart w:id="665" w:name="_Toc65339180"/>
      <w:bookmarkStart w:id="666" w:name="_Toc65341112"/>
      <w:bookmarkStart w:id="667" w:name="_Toc65402195"/>
      <w:bookmarkStart w:id="668" w:name="_Toc65405428"/>
      <w:bookmarkStart w:id="669" w:name="_Toc65499087"/>
      <w:bookmarkStart w:id="670" w:name="_Toc65499516"/>
      <w:bookmarkStart w:id="671" w:name="_Toc67923615"/>
      <w:bookmarkStart w:id="672" w:name="_Toc67926852"/>
      <w:bookmarkStart w:id="673" w:name="_Toc68614711"/>
      <w:bookmarkStart w:id="674" w:name="_Toc69201415"/>
      <w:bookmarkStart w:id="675" w:name="_Toc69941639"/>
      <w:bookmarkStart w:id="676" w:name="_Toc70419865"/>
      <w:bookmarkStart w:id="677" w:name="_Toc72394941"/>
      <w:bookmarkStart w:id="678" w:name="_Toc72395684"/>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t>Fuel Security Service Payment</w:t>
      </w:r>
      <w:bookmarkEnd w:id="665"/>
      <w:bookmarkEnd w:id="666"/>
      <w:bookmarkEnd w:id="667"/>
      <w:bookmarkEnd w:id="668"/>
      <w:bookmarkEnd w:id="669"/>
      <w:bookmarkEnd w:id="670"/>
      <w:bookmarkEnd w:id="671"/>
      <w:bookmarkEnd w:id="672"/>
      <w:bookmarkEnd w:id="673"/>
      <w:bookmarkEnd w:id="674"/>
      <w:bookmarkEnd w:id="675"/>
      <w:r>
        <w:t xml:space="preserve"> </w:t>
      </w:r>
      <w:r w:rsidR="00BD3A3E">
        <w:t>and Refinery Upgrades</w:t>
      </w:r>
      <w:bookmarkEnd w:id="676"/>
      <w:bookmarkEnd w:id="677"/>
      <w:bookmarkEnd w:id="678"/>
    </w:p>
    <w:p w14:paraId="54464C33" w14:textId="5E3FECF3" w:rsidR="001D0783" w:rsidRPr="001D0783" w:rsidRDefault="001D0783">
      <w:pPr>
        <w:spacing w:before="0" w:after="160" w:line="276" w:lineRule="auto"/>
      </w:pPr>
      <w:r w:rsidRPr="001D0783">
        <w:t xml:space="preserve">Implementation will focus </w:t>
      </w:r>
      <w:r w:rsidR="0097634D">
        <w:t>the collection and assurance of production data from refine</w:t>
      </w:r>
      <w:r w:rsidR="00DC79FD">
        <w:t>rie</w:t>
      </w:r>
      <w:r w:rsidR="0097634D">
        <w:t xml:space="preserve">s, and </w:t>
      </w:r>
      <w:r w:rsidRPr="001D0783">
        <w:t>administering the payment, but will also include the assess</w:t>
      </w:r>
      <w:r w:rsidR="00597999">
        <w:t>ment</w:t>
      </w:r>
      <w:r w:rsidRPr="001D0783">
        <w:t xml:space="preserve"> of applications against criteria as set out in the</w:t>
      </w:r>
      <w:r w:rsidR="00C16263">
        <w:t xml:space="preserve"> legislative</w:t>
      </w:r>
      <w:r w:rsidRPr="001D0783">
        <w:t xml:space="preserve"> instruments, and making recommendations on whether funding should be disbursed, and determining payment amounts. </w:t>
      </w:r>
      <w:r w:rsidR="00C16263">
        <w:t>Activities include:</w:t>
      </w:r>
    </w:p>
    <w:p w14:paraId="4B276E04" w14:textId="1EA0EF92" w:rsidR="008D2D21" w:rsidRPr="00232291" w:rsidRDefault="001D0783" w:rsidP="00B86109">
      <w:pPr>
        <w:pStyle w:val="ListParagraph"/>
        <w:numPr>
          <w:ilvl w:val="0"/>
          <w:numId w:val="18"/>
        </w:numPr>
        <w:spacing w:before="0" w:after="160" w:line="276" w:lineRule="auto"/>
        <w:rPr>
          <w:rFonts w:ascii="Arial" w:hAnsi="Arial" w:cs="Arial"/>
        </w:rPr>
      </w:pPr>
      <w:r w:rsidRPr="00232291">
        <w:rPr>
          <w:rFonts w:ascii="Arial" w:hAnsi="Arial" w:cs="Arial"/>
        </w:rPr>
        <w:t xml:space="preserve">Verification with reported production under POFR Act </w:t>
      </w:r>
    </w:p>
    <w:p w14:paraId="42EE6FC5" w14:textId="3EF68C1A" w:rsidR="008D2D21" w:rsidRPr="000B00F0" w:rsidRDefault="001D0783" w:rsidP="00EA3D68">
      <w:pPr>
        <w:pStyle w:val="ListParagraph"/>
        <w:numPr>
          <w:ilvl w:val="0"/>
          <w:numId w:val="18"/>
        </w:numPr>
        <w:spacing w:before="0" w:after="160" w:line="276" w:lineRule="auto"/>
        <w:rPr>
          <w:rFonts w:cs="Arial"/>
        </w:rPr>
      </w:pPr>
      <w:r w:rsidRPr="00EA3D68">
        <w:rPr>
          <w:rFonts w:ascii="Arial" w:hAnsi="Arial" w:cs="Arial"/>
        </w:rPr>
        <w:t xml:space="preserve">Tracking and acquittal of administered expenditure </w:t>
      </w:r>
    </w:p>
    <w:p w14:paraId="0A8FE678" w14:textId="5584080A" w:rsidR="008D2D21" w:rsidRPr="007547F9" w:rsidRDefault="008D2D21" w:rsidP="00EA3D68">
      <w:pPr>
        <w:tabs>
          <w:tab w:val="left" w:pos="709"/>
          <w:tab w:val="left" w:pos="743"/>
        </w:tabs>
        <w:spacing w:line="276" w:lineRule="auto"/>
        <w:rPr>
          <w:rFonts w:cs="Arial"/>
        </w:rPr>
      </w:pPr>
      <w:r w:rsidRPr="009978D0">
        <w:rPr>
          <w:rFonts w:cstheme="minorHAnsi"/>
        </w:rPr>
        <w:t xml:space="preserve">The </w:t>
      </w:r>
      <w:r w:rsidR="00DD1D3C">
        <w:rPr>
          <w:rFonts w:cstheme="minorHAnsi"/>
        </w:rPr>
        <w:t>Government</w:t>
      </w:r>
      <w:r w:rsidRPr="00DD1D3C">
        <w:rPr>
          <w:rFonts w:cstheme="minorHAnsi"/>
        </w:rPr>
        <w:t xml:space="preserve"> will</w:t>
      </w:r>
      <w:r w:rsidR="00DD1D3C">
        <w:rPr>
          <w:rFonts w:cstheme="minorHAnsi"/>
        </w:rPr>
        <w:t xml:space="preserve"> also</w:t>
      </w:r>
      <w:r w:rsidRPr="009978D0">
        <w:rPr>
          <w:rFonts w:cstheme="minorHAnsi"/>
        </w:rPr>
        <w:t xml:space="preserve"> support refiners to undertake the infrastructure investment required to comply with </w:t>
      </w:r>
      <w:r>
        <w:rPr>
          <w:rFonts w:cstheme="minorHAnsi"/>
        </w:rPr>
        <w:t>improved fuel quality standards</w:t>
      </w:r>
      <w:r w:rsidRPr="009978D0">
        <w:rPr>
          <w:rFonts w:cstheme="minorHAnsi"/>
        </w:rPr>
        <w:t>.</w:t>
      </w:r>
      <w:r>
        <w:rPr>
          <w:rFonts w:cstheme="minorHAnsi"/>
        </w:rPr>
        <w:t xml:space="preserve"> </w:t>
      </w:r>
      <w:r w:rsidRPr="00EA3D68">
        <w:rPr>
          <w:rFonts w:cstheme="minorHAnsi"/>
        </w:rPr>
        <w:t xml:space="preserve">The program will require refiners to provide a business case for the grant and </w:t>
      </w:r>
      <w:r w:rsidR="00DD1D3C">
        <w:rPr>
          <w:rFonts w:cstheme="minorHAnsi"/>
        </w:rPr>
        <w:t xml:space="preserve">will </w:t>
      </w:r>
      <w:r w:rsidRPr="00EA3D68">
        <w:rPr>
          <w:rFonts w:cstheme="minorHAnsi"/>
        </w:rPr>
        <w:t xml:space="preserve">incorporate a financial penalty if a refinery leaves before </w:t>
      </w:r>
      <w:r>
        <w:rPr>
          <w:rFonts w:cstheme="minorHAnsi"/>
        </w:rPr>
        <w:t>the end of the commitment period.</w:t>
      </w:r>
      <w:r w:rsidRPr="008D2D21">
        <w:rPr>
          <w:rFonts w:cstheme="minorHAnsi"/>
        </w:rPr>
        <w:t xml:space="preserve"> </w:t>
      </w:r>
      <w:r w:rsidR="00DD1D3C">
        <w:rPr>
          <w:rFonts w:cstheme="minorHAnsi"/>
        </w:rPr>
        <w:t>T</w:t>
      </w:r>
      <w:r w:rsidRPr="00DD1D3C">
        <w:rPr>
          <w:rFonts w:cstheme="minorHAnsi"/>
        </w:rPr>
        <w:t>he</w:t>
      </w:r>
      <w:r w:rsidRPr="009978D0">
        <w:rPr>
          <w:rFonts w:cstheme="minorHAnsi"/>
        </w:rPr>
        <w:t xml:space="preserve"> grants will be delivered by the Business Grants</w:t>
      </w:r>
      <w:r>
        <w:rPr>
          <w:rFonts w:cstheme="minorHAnsi"/>
        </w:rPr>
        <w:t xml:space="preserve"> </w:t>
      </w:r>
      <w:r w:rsidRPr="009978D0">
        <w:rPr>
          <w:rFonts w:cstheme="minorHAnsi"/>
        </w:rPr>
        <w:t xml:space="preserve">Hub which is a specialised design, management and delivery body with </w:t>
      </w:r>
      <w:r w:rsidRPr="0052316D">
        <w:rPr>
          <w:rFonts w:cstheme="minorHAnsi"/>
        </w:rPr>
        <w:t xml:space="preserve">extensive </w:t>
      </w:r>
      <w:r w:rsidRPr="000B00F0">
        <w:rPr>
          <w:rFonts w:cs="Arial"/>
        </w:rPr>
        <w:t xml:space="preserve">expertise and capability in delivering similar programs. </w:t>
      </w:r>
    </w:p>
    <w:p w14:paraId="68730C6C" w14:textId="4EB094D9" w:rsidR="00C72E9F" w:rsidRDefault="00597999" w:rsidP="00EA3D68">
      <w:pPr>
        <w:tabs>
          <w:tab w:val="left" w:pos="709"/>
          <w:tab w:val="left" w:pos="743"/>
        </w:tabs>
        <w:spacing w:line="276" w:lineRule="auto"/>
        <w:rPr>
          <w:rFonts w:cs="Arial"/>
        </w:rPr>
      </w:pPr>
      <w:r w:rsidRPr="00C454EC">
        <w:rPr>
          <w:rFonts w:cs="Arial"/>
        </w:rPr>
        <w:t xml:space="preserve">Refineries will </w:t>
      </w:r>
      <w:r w:rsidR="00EE188B" w:rsidRPr="00005FF8">
        <w:rPr>
          <w:rFonts w:cs="Arial"/>
        </w:rPr>
        <w:t>continue to report as required under the POFR Act, and will also be required to separately notify certain additional matters prescribed by the legislation</w:t>
      </w:r>
      <w:r w:rsidRPr="00005FF8">
        <w:rPr>
          <w:rFonts w:cs="Arial"/>
        </w:rPr>
        <w:t xml:space="preserve">. </w:t>
      </w:r>
      <w:r w:rsidR="00EE188B" w:rsidRPr="009169E1">
        <w:rPr>
          <w:rFonts w:cs="Arial"/>
        </w:rPr>
        <w:t>Refineries may also be required to undertake compliance audits regarding POFR reporting</w:t>
      </w:r>
      <w:r w:rsidR="00EE188B" w:rsidRPr="00377B72">
        <w:rPr>
          <w:rFonts w:cs="Arial"/>
        </w:rPr>
        <w:t>. It</w:t>
      </w:r>
      <w:r w:rsidRPr="00377B72">
        <w:rPr>
          <w:rFonts w:cs="Arial"/>
        </w:rPr>
        <w:t xml:space="preserve"> is expected that refineries will be able to </w:t>
      </w:r>
      <w:r w:rsidR="00C913BC" w:rsidRPr="00A07B7F">
        <w:rPr>
          <w:rFonts w:cs="Arial"/>
        </w:rPr>
        <w:t>absorb</w:t>
      </w:r>
      <w:r w:rsidRPr="00D62459">
        <w:rPr>
          <w:rFonts w:cs="Arial"/>
        </w:rPr>
        <w:t xml:space="preserve"> this </w:t>
      </w:r>
      <w:r w:rsidR="00EE188B" w:rsidRPr="00EA3D68">
        <w:rPr>
          <w:rFonts w:cs="Arial"/>
        </w:rPr>
        <w:t xml:space="preserve">cost </w:t>
      </w:r>
      <w:r w:rsidRPr="00EA3D68">
        <w:rPr>
          <w:rFonts w:cs="Arial"/>
        </w:rPr>
        <w:t xml:space="preserve">as part of the compliance activities to participate in the scheme. </w:t>
      </w:r>
    </w:p>
    <w:p w14:paraId="674B255E" w14:textId="77777777" w:rsidR="009065C0" w:rsidRPr="009065C0" w:rsidRDefault="009065C0" w:rsidP="00EA3D68">
      <w:pPr>
        <w:tabs>
          <w:tab w:val="left" w:pos="709"/>
          <w:tab w:val="left" w:pos="743"/>
        </w:tabs>
        <w:spacing w:line="276" w:lineRule="auto"/>
        <w:rPr>
          <w:rFonts w:cs="Arial"/>
          <w:sz w:val="144"/>
        </w:rPr>
      </w:pPr>
    </w:p>
    <w:p w14:paraId="22CB8900" w14:textId="1C136EE5" w:rsidR="001D0783" w:rsidRPr="00EA3D68" w:rsidRDefault="001D0783" w:rsidP="00824E7A">
      <w:pPr>
        <w:pStyle w:val="Heading3"/>
        <w:numPr>
          <w:ilvl w:val="2"/>
          <w:numId w:val="77"/>
        </w:numPr>
        <w:rPr>
          <w:rFonts w:cs="Arial"/>
        </w:rPr>
      </w:pPr>
      <w:bookmarkStart w:id="679" w:name="_Toc70419866"/>
      <w:bookmarkStart w:id="680" w:name="_Toc70607262"/>
      <w:bookmarkStart w:id="681" w:name="_Toc70607320"/>
      <w:bookmarkStart w:id="682" w:name="_Toc70607834"/>
      <w:bookmarkStart w:id="683" w:name="_Toc70609326"/>
      <w:bookmarkStart w:id="684" w:name="_Toc71107445"/>
      <w:bookmarkStart w:id="685" w:name="_Toc65339181"/>
      <w:bookmarkStart w:id="686" w:name="_Toc65341113"/>
      <w:bookmarkStart w:id="687" w:name="_Toc65402196"/>
      <w:bookmarkStart w:id="688" w:name="_Toc65405429"/>
      <w:bookmarkStart w:id="689" w:name="_Toc65499088"/>
      <w:bookmarkStart w:id="690" w:name="_Toc65499517"/>
      <w:bookmarkStart w:id="691" w:name="_Toc67923616"/>
      <w:bookmarkStart w:id="692" w:name="_Toc67926853"/>
      <w:bookmarkStart w:id="693" w:name="_Toc68614712"/>
      <w:bookmarkStart w:id="694" w:name="_Toc69201416"/>
      <w:bookmarkStart w:id="695" w:name="_Toc69941640"/>
      <w:bookmarkStart w:id="696" w:name="_Toc70419867"/>
      <w:bookmarkStart w:id="697" w:name="_Toc72394942"/>
      <w:bookmarkStart w:id="698" w:name="_Toc72395685"/>
      <w:bookmarkEnd w:id="679"/>
      <w:bookmarkEnd w:id="680"/>
      <w:bookmarkEnd w:id="681"/>
      <w:bookmarkEnd w:id="682"/>
      <w:bookmarkEnd w:id="683"/>
      <w:bookmarkEnd w:id="684"/>
      <w:r w:rsidRPr="00EA3D68">
        <w:rPr>
          <w:rFonts w:cs="Arial"/>
        </w:rPr>
        <w:lastRenderedPageBreak/>
        <w:t>Minimum Stockholding Obligation</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41C04827" w14:textId="43B8FDAA" w:rsidR="00B21D46" w:rsidRPr="00786C4E" w:rsidRDefault="00B21D46" w:rsidP="00B21D46">
      <w:pPr>
        <w:rPr>
          <w:rFonts w:cs="Arial"/>
        </w:rPr>
      </w:pPr>
      <w:r w:rsidRPr="00786C4E">
        <w:rPr>
          <w:rFonts w:cs="Arial"/>
        </w:rPr>
        <w:t xml:space="preserve">Compliance and enforcement activities associated with the </w:t>
      </w:r>
      <w:r w:rsidR="00FD6151" w:rsidRPr="00786C4E">
        <w:rPr>
          <w:rFonts w:cs="Arial"/>
        </w:rPr>
        <w:t>MSO</w:t>
      </w:r>
      <w:r w:rsidRPr="00786C4E">
        <w:rPr>
          <w:rFonts w:cs="Arial"/>
        </w:rPr>
        <w:t xml:space="preserve"> include: </w:t>
      </w:r>
    </w:p>
    <w:p w14:paraId="16CFFC8D" w14:textId="6F928020" w:rsidR="002331E4" w:rsidRPr="007547F9" w:rsidRDefault="002331E4">
      <w:pPr>
        <w:pStyle w:val="ListParagraph"/>
        <w:numPr>
          <w:ilvl w:val="0"/>
          <w:numId w:val="18"/>
        </w:numPr>
        <w:spacing w:before="0" w:after="160" w:line="276" w:lineRule="auto"/>
        <w:rPr>
          <w:rFonts w:ascii="Arial" w:hAnsi="Arial" w:cs="Arial"/>
        </w:rPr>
      </w:pPr>
      <w:r w:rsidRPr="00EA3D68">
        <w:rPr>
          <w:rFonts w:ascii="Arial" w:hAnsi="Arial" w:cs="Arial"/>
        </w:rPr>
        <w:t xml:space="preserve">Engagement with, and education of, regulated entities on their regulatory requirements </w:t>
      </w:r>
    </w:p>
    <w:p w14:paraId="089CE16E" w14:textId="624A4E00" w:rsidR="00B21D46" w:rsidRPr="00005FF8" w:rsidRDefault="00B21D46">
      <w:pPr>
        <w:pStyle w:val="ListParagraph"/>
        <w:numPr>
          <w:ilvl w:val="0"/>
          <w:numId w:val="18"/>
        </w:numPr>
        <w:spacing w:before="0" w:after="160" w:line="276" w:lineRule="auto"/>
        <w:rPr>
          <w:rFonts w:ascii="Arial" w:hAnsi="Arial" w:cs="Arial"/>
        </w:rPr>
      </w:pPr>
      <w:r w:rsidRPr="00C454EC">
        <w:rPr>
          <w:rFonts w:ascii="Arial" w:hAnsi="Arial" w:cs="Arial"/>
        </w:rPr>
        <w:t xml:space="preserve">Monitoring compliance: desktop audits on a monthly basis and comprehensive independent audits of regulated entities </w:t>
      </w:r>
    </w:p>
    <w:p w14:paraId="0580E399" w14:textId="2E29793F" w:rsidR="00B21D46" w:rsidRPr="009169E1" w:rsidRDefault="00B21D46" w:rsidP="00B86109">
      <w:pPr>
        <w:pStyle w:val="ListParagraph"/>
        <w:numPr>
          <w:ilvl w:val="0"/>
          <w:numId w:val="18"/>
        </w:numPr>
        <w:spacing w:before="0" w:after="160" w:line="276" w:lineRule="auto"/>
        <w:rPr>
          <w:rFonts w:ascii="Arial" w:hAnsi="Arial" w:cs="Arial"/>
        </w:rPr>
      </w:pPr>
      <w:r w:rsidRPr="00005FF8">
        <w:rPr>
          <w:rFonts w:ascii="Arial" w:hAnsi="Arial" w:cs="Arial"/>
        </w:rPr>
        <w:t xml:space="preserve">Identifying, receiving and assessing allegations of non-compliance;  </w:t>
      </w:r>
    </w:p>
    <w:p w14:paraId="3CA8259F" w14:textId="635CE598" w:rsidR="00B21D46" w:rsidRPr="009169E1" w:rsidRDefault="00B21D46" w:rsidP="00B86109">
      <w:pPr>
        <w:pStyle w:val="ListParagraph"/>
        <w:numPr>
          <w:ilvl w:val="0"/>
          <w:numId w:val="18"/>
        </w:numPr>
        <w:spacing w:before="0" w:after="160" w:line="276" w:lineRule="auto"/>
        <w:rPr>
          <w:rFonts w:ascii="Arial" w:hAnsi="Arial" w:cs="Arial"/>
        </w:rPr>
      </w:pPr>
      <w:r w:rsidRPr="009169E1">
        <w:rPr>
          <w:rFonts w:ascii="Arial" w:hAnsi="Arial" w:cs="Arial"/>
        </w:rPr>
        <w:t>Identifying and responding to instances of non-compliance including developing, preparing and managing enforcement responses to non-compliance</w:t>
      </w:r>
    </w:p>
    <w:p w14:paraId="7252CC6B" w14:textId="4836E87A" w:rsidR="00B21D46" w:rsidRPr="00EA3D68" w:rsidRDefault="00B8130D" w:rsidP="00B86109">
      <w:pPr>
        <w:pStyle w:val="ListParagraph"/>
        <w:numPr>
          <w:ilvl w:val="0"/>
          <w:numId w:val="18"/>
        </w:numPr>
        <w:spacing w:before="0" w:after="160" w:line="276" w:lineRule="auto"/>
        <w:rPr>
          <w:rFonts w:ascii="Arial" w:hAnsi="Arial" w:cs="Arial"/>
        </w:rPr>
      </w:pPr>
      <w:r w:rsidRPr="00D62459">
        <w:rPr>
          <w:rFonts w:ascii="Arial" w:hAnsi="Arial" w:cs="Arial"/>
        </w:rPr>
        <w:t xml:space="preserve">New </w:t>
      </w:r>
      <w:r w:rsidR="00B21D46" w:rsidRPr="00EA3D68">
        <w:rPr>
          <w:rFonts w:ascii="Arial" w:hAnsi="Arial" w:cs="Arial"/>
        </w:rPr>
        <w:t xml:space="preserve">reporting requirements, </w:t>
      </w:r>
      <w:r w:rsidR="002331E4" w:rsidRPr="00EA3D68">
        <w:rPr>
          <w:rFonts w:ascii="Arial" w:hAnsi="Arial" w:cs="Arial"/>
        </w:rPr>
        <w:t>to be determined in consultation with industry with the development of Ministerial Rules</w:t>
      </w:r>
    </w:p>
    <w:p w14:paraId="486EBB4E" w14:textId="19B92B7A" w:rsidR="00C52A4E" w:rsidRPr="009065C0" w:rsidRDefault="00B21D46" w:rsidP="00EA3D68">
      <w:pPr>
        <w:pStyle w:val="ListParagraph"/>
        <w:numPr>
          <w:ilvl w:val="0"/>
          <w:numId w:val="18"/>
        </w:numPr>
        <w:spacing w:before="0" w:after="160" w:line="276" w:lineRule="auto"/>
        <w:rPr>
          <w:rFonts w:ascii="Arial" w:hAnsi="Arial" w:cs="Arial"/>
        </w:rPr>
      </w:pPr>
      <w:r w:rsidRPr="00EA3D68">
        <w:rPr>
          <w:rFonts w:ascii="Arial" w:hAnsi="Arial" w:cs="Arial"/>
        </w:rPr>
        <w:t xml:space="preserve">Development of a national inventory and ICT processes for example, additional module of PSIMS to be developed to manage the new data reporting streams, as well as the calculations of the obligation and the compliance functions. </w:t>
      </w:r>
    </w:p>
    <w:p w14:paraId="5276438E" w14:textId="2E4587EC" w:rsidR="0078491B" w:rsidRPr="00C03077" w:rsidRDefault="00347991" w:rsidP="00BD556D">
      <w:pPr>
        <w:pStyle w:val="Heading1"/>
        <w:tabs>
          <w:tab w:val="clear" w:pos="567"/>
          <w:tab w:val="left" w:pos="0"/>
        </w:tabs>
        <w:ind w:left="0" w:firstLine="0"/>
        <w:rPr>
          <w:rFonts w:ascii="Calibri" w:hAnsi="Calibri" w:cs="Times New Roman"/>
        </w:rPr>
      </w:pPr>
      <w:bookmarkStart w:id="699" w:name="_Toc65339184"/>
      <w:bookmarkStart w:id="700" w:name="_Toc65341116"/>
      <w:bookmarkStart w:id="701" w:name="_Toc65402199"/>
      <w:bookmarkStart w:id="702" w:name="_Toc65405432"/>
      <w:bookmarkStart w:id="703" w:name="_Toc65499090"/>
      <w:bookmarkStart w:id="704" w:name="_Toc65499519"/>
      <w:bookmarkStart w:id="705" w:name="_Toc67923618"/>
      <w:bookmarkStart w:id="706" w:name="_Toc67926855"/>
      <w:bookmarkStart w:id="707" w:name="_Toc68614714"/>
      <w:bookmarkStart w:id="708" w:name="_Toc69201417"/>
      <w:bookmarkStart w:id="709" w:name="_Toc69941641"/>
      <w:bookmarkStart w:id="710" w:name="_Toc70419868"/>
      <w:bookmarkStart w:id="711" w:name="_Toc72394943"/>
      <w:bookmarkStart w:id="712" w:name="_Toc72395686"/>
      <w:r w:rsidRPr="00EA3D68">
        <w:lastRenderedPageBreak/>
        <w:t xml:space="preserve">Appendix A: </w:t>
      </w:r>
      <w:bookmarkStart w:id="713" w:name="_Toc65228340"/>
      <w:bookmarkStart w:id="714" w:name="_Toc65247723"/>
      <w:bookmarkStart w:id="715" w:name="_Toc65250679"/>
      <w:bookmarkStart w:id="716" w:name="_Toc65253456"/>
      <w:r w:rsidR="000849BC" w:rsidRPr="00EA3D68">
        <w:t>Emergency stockholding approaches in IEA member</w:t>
      </w:r>
      <w:r w:rsidR="000849BC" w:rsidRPr="00C03077">
        <w:rPr>
          <w:rFonts w:eastAsia="Times New Roman" w:cs="Times New Roman"/>
          <w:sz w:val="26"/>
          <w:szCs w:val="26"/>
        </w:rPr>
        <w:t xml:space="preserve"> nations</w:t>
      </w:r>
      <w:bookmarkEnd w:id="608"/>
      <w:bookmarkEnd w:id="609"/>
      <w:bookmarkEnd w:id="699"/>
      <w:bookmarkEnd w:id="700"/>
      <w:bookmarkEnd w:id="701"/>
      <w:bookmarkEnd w:id="702"/>
      <w:bookmarkEnd w:id="703"/>
      <w:bookmarkEnd w:id="704"/>
      <w:bookmarkEnd w:id="705"/>
      <w:bookmarkEnd w:id="706"/>
      <w:bookmarkEnd w:id="707"/>
      <w:bookmarkEnd w:id="708"/>
      <w:bookmarkEnd w:id="709"/>
      <w:bookmarkEnd w:id="710"/>
      <w:bookmarkEnd w:id="713"/>
      <w:bookmarkEnd w:id="714"/>
      <w:bookmarkEnd w:id="715"/>
      <w:bookmarkEnd w:id="716"/>
      <w:bookmarkEnd w:id="711"/>
      <w:bookmarkEnd w:id="712"/>
    </w:p>
    <w:tbl>
      <w:tblPr>
        <w:tblStyle w:val="ColorfulList-Accent52"/>
        <w:tblW w:w="9640" w:type="dxa"/>
        <w:tblInd w:w="-142" w:type="dxa"/>
        <w:tblLayout w:type="fixed"/>
        <w:tblLook w:val="04A0" w:firstRow="1" w:lastRow="0" w:firstColumn="1" w:lastColumn="0" w:noHBand="0" w:noVBand="1"/>
        <w:tblDescription w:val="This table presents a list of countries and their approaches to meeting their IEA obligations. "/>
      </w:tblPr>
      <w:tblGrid>
        <w:gridCol w:w="1276"/>
        <w:gridCol w:w="1985"/>
        <w:gridCol w:w="1276"/>
        <w:gridCol w:w="1134"/>
        <w:gridCol w:w="1417"/>
        <w:gridCol w:w="851"/>
        <w:gridCol w:w="708"/>
        <w:gridCol w:w="993"/>
      </w:tblGrid>
      <w:tr w:rsidR="0078491B" w:rsidRPr="00236E50" w14:paraId="72D6D4C0" w14:textId="77777777" w:rsidTr="0048398E">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1276" w:type="dxa"/>
            <w:vMerge w:val="restart"/>
            <w:shd w:val="clear" w:color="auto" w:fill="005677"/>
          </w:tcPr>
          <w:p w14:paraId="7A8B0617" w14:textId="77777777" w:rsidR="0078491B" w:rsidRPr="00236E50" w:rsidRDefault="0078491B" w:rsidP="00D41BE4">
            <w:pPr>
              <w:keepNext/>
              <w:keepLines/>
              <w:spacing w:before="0" w:after="0"/>
              <w:rPr>
                <w:rFonts w:ascii="Calibri" w:eastAsia="Calibri" w:hAnsi="Calibri" w:cs="Times New Roman"/>
                <w:sz w:val="18"/>
                <w:szCs w:val="18"/>
              </w:rPr>
            </w:pPr>
            <w:r w:rsidRPr="00236E50">
              <w:rPr>
                <w:rFonts w:ascii="Calibri" w:eastAsia="Calibri" w:hAnsi="Calibri" w:cs="Times New Roman"/>
                <w:sz w:val="18"/>
                <w:szCs w:val="18"/>
              </w:rPr>
              <w:t>Country</w:t>
            </w:r>
          </w:p>
        </w:tc>
        <w:tc>
          <w:tcPr>
            <w:tcW w:w="1985" w:type="dxa"/>
            <w:vMerge w:val="restart"/>
            <w:shd w:val="clear" w:color="auto" w:fill="005677"/>
          </w:tcPr>
          <w:p w14:paraId="42759A0A" w14:textId="77777777" w:rsidR="0078491B" w:rsidRPr="00236E50" w:rsidRDefault="0078491B" w:rsidP="00D41BE4">
            <w:pPr>
              <w:keepNext/>
              <w:keepLines/>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Structure of stockholding responsibility</w:t>
            </w:r>
          </w:p>
        </w:tc>
        <w:tc>
          <w:tcPr>
            <w:tcW w:w="2410" w:type="dxa"/>
            <w:gridSpan w:val="2"/>
            <w:shd w:val="clear" w:color="auto" w:fill="005677"/>
          </w:tcPr>
          <w:p w14:paraId="34A34AE0" w14:textId="77777777" w:rsidR="0078491B" w:rsidRPr="00236E50" w:rsidRDefault="0078491B" w:rsidP="00D41BE4">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Initial setup costs</w:t>
            </w:r>
          </w:p>
        </w:tc>
        <w:tc>
          <w:tcPr>
            <w:tcW w:w="3969" w:type="dxa"/>
            <w:gridSpan w:val="4"/>
            <w:shd w:val="clear" w:color="auto" w:fill="005677"/>
          </w:tcPr>
          <w:p w14:paraId="777C33A9" w14:textId="77777777" w:rsidR="0078491B" w:rsidRPr="00236E50" w:rsidRDefault="0078491B" w:rsidP="00D41BE4">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Ongoing costs</w:t>
            </w:r>
          </w:p>
        </w:tc>
      </w:tr>
      <w:tr w:rsidR="0078491B" w:rsidRPr="00236E50" w14:paraId="31992F06" w14:textId="77777777" w:rsidTr="0048398E">
        <w:trPr>
          <w:cnfStyle w:val="100000000000" w:firstRow="1" w:lastRow="0" w:firstColumn="0" w:lastColumn="0" w:oddVBand="0" w:evenVBand="0" w:oddHBand="0" w:evenHBand="0" w:firstRowFirstColumn="0" w:firstRowLastColumn="0" w:lastRowFirstColumn="0" w:lastRowLastColumn="0"/>
          <w:trHeight w:val="380"/>
          <w:tblHeader/>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005677"/>
          </w:tcPr>
          <w:p w14:paraId="36ACBB6B" w14:textId="77777777" w:rsidR="0078491B" w:rsidRPr="00236E50" w:rsidRDefault="0078491B" w:rsidP="00D41BE4">
            <w:pPr>
              <w:keepNext/>
              <w:keepLines/>
              <w:spacing w:before="0" w:after="0"/>
              <w:rPr>
                <w:rFonts w:ascii="Calibri" w:eastAsia="Calibri" w:hAnsi="Calibri" w:cs="Times New Roman"/>
                <w:sz w:val="18"/>
                <w:szCs w:val="18"/>
              </w:rPr>
            </w:pPr>
          </w:p>
        </w:tc>
        <w:tc>
          <w:tcPr>
            <w:tcW w:w="1985" w:type="dxa"/>
            <w:vMerge/>
            <w:shd w:val="clear" w:color="auto" w:fill="005677"/>
          </w:tcPr>
          <w:p w14:paraId="1B9EC07B" w14:textId="77777777" w:rsidR="0078491B" w:rsidRPr="00236E50" w:rsidRDefault="0078491B" w:rsidP="00D41BE4">
            <w:pPr>
              <w:keepNext/>
              <w:keepLines/>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276" w:type="dxa"/>
            <w:shd w:val="clear" w:color="auto" w:fill="005677"/>
          </w:tcPr>
          <w:p w14:paraId="344AE289" w14:textId="77777777" w:rsidR="0078491B" w:rsidRPr="00236E50" w:rsidRDefault="0078491B" w:rsidP="00D41BE4">
            <w:pPr>
              <w:keepNext/>
              <w:keepLines/>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 w:val="18"/>
                <w:szCs w:val="18"/>
              </w:rPr>
            </w:pPr>
            <w:r w:rsidRPr="00236E50">
              <w:rPr>
                <w:rFonts w:ascii="Calibri" w:eastAsia="Calibri" w:hAnsi="Calibri" w:cs="Times New Roman"/>
                <w:sz w:val="18"/>
                <w:szCs w:val="18"/>
              </w:rPr>
              <w:t>Government budget</w:t>
            </w:r>
          </w:p>
        </w:tc>
        <w:tc>
          <w:tcPr>
            <w:tcW w:w="1134" w:type="dxa"/>
            <w:tcBorders>
              <w:right w:val="single" w:sz="12" w:space="0" w:color="FFFFFF" w:themeColor="background1"/>
            </w:tcBorders>
            <w:shd w:val="clear" w:color="auto" w:fill="005677"/>
          </w:tcPr>
          <w:p w14:paraId="37E16FEC" w14:textId="77777777" w:rsidR="0078491B" w:rsidRPr="00236E50" w:rsidRDefault="0078491B" w:rsidP="00D41BE4">
            <w:pPr>
              <w:keepNext/>
              <w:keepLines/>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 w:val="18"/>
                <w:szCs w:val="18"/>
              </w:rPr>
            </w:pPr>
            <w:r w:rsidRPr="00236E50">
              <w:rPr>
                <w:rFonts w:ascii="Calibri" w:eastAsia="Calibri" w:hAnsi="Calibri" w:cs="Times New Roman"/>
                <w:sz w:val="18"/>
                <w:szCs w:val="18"/>
              </w:rPr>
              <w:t>Bank loans/ Bond issues</w:t>
            </w:r>
          </w:p>
        </w:tc>
        <w:tc>
          <w:tcPr>
            <w:tcW w:w="1417" w:type="dxa"/>
            <w:tcBorders>
              <w:left w:val="single" w:sz="12" w:space="0" w:color="FFFFFF" w:themeColor="background1"/>
            </w:tcBorders>
            <w:shd w:val="clear" w:color="auto" w:fill="005677"/>
          </w:tcPr>
          <w:p w14:paraId="5E8F7584" w14:textId="77777777" w:rsidR="0078491B" w:rsidRPr="00236E50" w:rsidRDefault="0078491B" w:rsidP="00D41BE4">
            <w:pPr>
              <w:keepNext/>
              <w:keepLines/>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 w:val="18"/>
                <w:szCs w:val="18"/>
              </w:rPr>
            </w:pPr>
            <w:r w:rsidRPr="00236E50">
              <w:rPr>
                <w:rFonts w:ascii="Calibri" w:eastAsia="Calibri" w:hAnsi="Calibri" w:cs="Times New Roman"/>
                <w:sz w:val="18"/>
                <w:szCs w:val="18"/>
              </w:rPr>
              <w:t>Government budget</w:t>
            </w:r>
          </w:p>
        </w:tc>
        <w:tc>
          <w:tcPr>
            <w:tcW w:w="851" w:type="dxa"/>
            <w:shd w:val="clear" w:color="auto" w:fill="005677"/>
          </w:tcPr>
          <w:p w14:paraId="409C3F6A" w14:textId="77777777" w:rsidR="0078491B" w:rsidRPr="00236E50" w:rsidRDefault="0078491B" w:rsidP="00D41BE4">
            <w:pPr>
              <w:keepNext/>
              <w:keepLines/>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 w:val="18"/>
                <w:szCs w:val="18"/>
              </w:rPr>
            </w:pPr>
            <w:r w:rsidRPr="00236E50">
              <w:rPr>
                <w:rFonts w:ascii="Calibri" w:eastAsia="Calibri" w:hAnsi="Calibri" w:cs="Times New Roman"/>
                <w:sz w:val="18"/>
                <w:szCs w:val="18"/>
              </w:rPr>
              <w:t>Levy on industry</w:t>
            </w:r>
          </w:p>
        </w:tc>
        <w:tc>
          <w:tcPr>
            <w:tcW w:w="708" w:type="dxa"/>
            <w:shd w:val="clear" w:color="auto" w:fill="005677"/>
          </w:tcPr>
          <w:p w14:paraId="4539A604" w14:textId="77777777" w:rsidR="0078491B" w:rsidRPr="00236E50" w:rsidRDefault="0078491B" w:rsidP="00D41BE4">
            <w:pPr>
              <w:keepNext/>
              <w:keepLines/>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 w:val="18"/>
                <w:szCs w:val="18"/>
              </w:rPr>
            </w:pPr>
            <w:r w:rsidRPr="00236E50">
              <w:rPr>
                <w:rFonts w:ascii="Calibri" w:eastAsia="Calibri" w:hAnsi="Calibri" w:cs="Times New Roman"/>
                <w:sz w:val="18"/>
                <w:szCs w:val="18"/>
              </w:rPr>
              <w:t>Tax/ excise duty</w:t>
            </w:r>
          </w:p>
        </w:tc>
        <w:tc>
          <w:tcPr>
            <w:tcW w:w="993" w:type="dxa"/>
            <w:shd w:val="clear" w:color="auto" w:fill="005677"/>
          </w:tcPr>
          <w:p w14:paraId="4FA2BF7E" w14:textId="77777777" w:rsidR="0078491B" w:rsidRPr="00236E50" w:rsidRDefault="0078491B" w:rsidP="00D41BE4">
            <w:pPr>
              <w:keepNext/>
              <w:keepLines/>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 w:val="18"/>
                <w:szCs w:val="18"/>
              </w:rPr>
            </w:pPr>
            <w:r w:rsidRPr="00236E50">
              <w:rPr>
                <w:rFonts w:ascii="Calibri" w:eastAsia="Calibri" w:hAnsi="Calibri" w:cs="Times New Roman"/>
                <w:sz w:val="18"/>
                <w:szCs w:val="18"/>
              </w:rPr>
              <w:t xml:space="preserve">Company </w:t>
            </w:r>
          </w:p>
        </w:tc>
      </w:tr>
      <w:tr w:rsidR="0078491B" w:rsidRPr="00236E50" w14:paraId="38966B74"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CADC262"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 xml:space="preserve">United States </w:t>
            </w:r>
          </w:p>
        </w:tc>
        <w:tc>
          <w:tcPr>
            <w:tcW w:w="1985" w:type="dxa"/>
          </w:tcPr>
          <w:p w14:paraId="11071534"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Government</w:t>
            </w:r>
          </w:p>
        </w:tc>
        <w:tc>
          <w:tcPr>
            <w:tcW w:w="1276" w:type="dxa"/>
          </w:tcPr>
          <w:p w14:paraId="57C51912"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134" w:type="dxa"/>
            <w:tcBorders>
              <w:right w:val="single" w:sz="12" w:space="0" w:color="FFFFFF" w:themeColor="background1"/>
            </w:tcBorders>
          </w:tcPr>
          <w:p w14:paraId="3F5FB5AF"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417" w:type="dxa"/>
            <w:tcBorders>
              <w:left w:val="single" w:sz="12" w:space="0" w:color="FFFFFF" w:themeColor="background1"/>
            </w:tcBorders>
          </w:tcPr>
          <w:p w14:paraId="55C9D4DD"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851" w:type="dxa"/>
          </w:tcPr>
          <w:p w14:paraId="3AF7F768"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708" w:type="dxa"/>
          </w:tcPr>
          <w:p w14:paraId="55DB1172"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503912E3"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r>
      <w:tr w:rsidR="0078491B" w:rsidRPr="00236E50" w14:paraId="11C82F17"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7DA50493" w14:textId="77777777" w:rsidR="0078491B" w:rsidRPr="00236E50" w:rsidRDefault="0078491B" w:rsidP="00D41BE4">
            <w:pPr>
              <w:keepNext/>
              <w:keepLines/>
              <w:spacing w:before="0" w:after="60"/>
              <w:rPr>
                <w:rFonts w:ascii="Calibri" w:eastAsia="Calibri" w:hAnsi="Calibri" w:cs="Times New Roman"/>
                <w:sz w:val="18"/>
                <w:szCs w:val="18"/>
                <w:vertAlign w:val="superscript"/>
              </w:rPr>
            </w:pPr>
            <w:r w:rsidRPr="00236E50">
              <w:rPr>
                <w:rFonts w:ascii="Calibri" w:eastAsia="Calibri" w:hAnsi="Calibri" w:cs="Times New Roman"/>
                <w:sz w:val="18"/>
                <w:szCs w:val="18"/>
              </w:rPr>
              <w:t>New Zealand</w:t>
            </w:r>
            <w:r w:rsidRPr="00236E50">
              <w:rPr>
                <w:rFonts w:ascii="Calibri" w:eastAsia="Calibri" w:hAnsi="Calibri" w:cs="Times New Roman"/>
                <w:sz w:val="18"/>
                <w:szCs w:val="18"/>
                <w:vertAlign w:val="superscript"/>
              </w:rPr>
              <w:t>1</w:t>
            </w:r>
          </w:p>
        </w:tc>
        <w:tc>
          <w:tcPr>
            <w:tcW w:w="1985" w:type="dxa"/>
          </w:tcPr>
          <w:p w14:paraId="3EAD6786"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Government</w:t>
            </w:r>
          </w:p>
        </w:tc>
        <w:tc>
          <w:tcPr>
            <w:tcW w:w="1276" w:type="dxa"/>
          </w:tcPr>
          <w:p w14:paraId="1D695DB8"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134" w:type="dxa"/>
            <w:tcBorders>
              <w:right w:val="single" w:sz="12" w:space="0" w:color="FFFFFF" w:themeColor="background1"/>
            </w:tcBorders>
          </w:tcPr>
          <w:p w14:paraId="6E3D0DBE"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417" w:type="dxa"/>
            <w:tcBorders>
              <w:left w:val="single" w:sz="12" w:space="0" w:color="FFFFFF" w:themeColor="background1"/>
            </w:tcBorders>
          </w:tcPr>
          <w:p w14:paraId="3745312D"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851" w:type="dxa"/>
          </w:tcPr>
          <w:p w14:paraId="747C6EA0"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708" w:type="dxa"/>
          </w:tcPr>
          <w:p w14:paraId="64ACE3D0"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993" w:type="dxa"/>
          </w:tcPr>
          <w:p w14:paraId="57AC8DC9"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r>
      <w:tr w:rsidR="0078491B" w:rsidRPr="00236E50" w14:paraId="112B9F62"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7C33B61"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Czech Republic</w:t>
            </w:r>
          </w:p>
        </w:tc>
        <w:tc>
          <w:tcPr>
            <w:tcW w:w="1985" w:type="dxa"/>
          </w:tcPr>
          <w:p w14:paraId="27C9D0A8"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Government</w:t>
            </w:r>
          </w:p>
        </w:tc>
        <w:tc>
          <w:tcPr>
            <w:tcW w:w="1276" w:type="dxa"/>
          </w:tcPr>
          <w:p w14:paraId="04567D66"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134" w:type="dxa"/>
            <w:tcBorders>
              <w:right w:val="single" w:sz="12" w:space="0" w:color="FFFFFF" w:themeColor="background1"/>
            </w:tcBorders>
          </w:tcPr>
          <w:p w14:paraId="051566A9"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417" w:type="dxa"/>
            <w:tcBorders>
              <w:left w:val="single" w:sz="12" w:space="0" w:color="FFFFFF" w:themeColor="background1"/>
            </w:tcBorders>
          </w:tcPr>
          <w:p w14:paraId="21100224"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851" w:type="dxa"/>
          </w:tcPr>
          <w:p w14:paraId="7E2EE103"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708" w:type="dxa"/>
          </w:tcPr>
          <w:p w14:paraId="677B2A4C"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7B128956"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r>
      <w:tr w:rsidR="0078491B" w:rsidRPr="00236E50" w14:paraId="2EAF6A6A"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518E1EE2"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Belgium</w:t>
            </w:r>
          </w:p>
        </w:tc>
        <w:tc>
          <w:tcPr>
            <w:tcW w:w="1985" w:type="dxa"/>
          </w:tcPr>
          <w:p w14:paraId="5443AB5A"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Government agency</w:t>
            </w:r>
          </w:p>
        </w:tc>
        <w:tc>
          <w:tcPr>
            <w:tcW w:w="1276" w:type="dxa"/>
          </w:tcPr>
          <w:p w14:paraId="43118113"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134" w:type="dxa"/>
            <w:tcBorders>
              <w:bottom w:val="single" w:sz="12" w:space="0" w:color="FFFFFF" w:themeColor="background1"/>
              <w:right w:val="single" w:sz="12" w:space="0" w:color="FFFFFF" w:themeColor="background1"/>
            </w:tcBorders>
          </w:tcPr>
          <w:p w14:paraId="11918687"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16E2AD9B"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851" w:type="dxa"/>
          </w:tcPr>
          <w:p w14:paraId="112ACE81"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708" w:type="dxa"/>
          </w:tcPr>
          <w:p w14:paraId="3240F15F"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993" w:type="dxa"/>
          </w:tcPr>
          <w:p w14:paraId="0078A06F"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r>
      <w:tr w:rsidR="0078491B" w:rsidRPr="00236E50" w14:paraId="51E93A67"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A921ECE"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Estonia</w:t>
            </w:r>
          </w:p>
        </w:tc>
        <w:tc>
          <w:tcPr>
            <w:tcW w:w="1985" w:type="dxa"/>
          </w:tcPr>
          <w:p w14:paraId="72B48FF3"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Government agency</w:t>
            </w:r>
          </w:p>
        </w:tc>
        <w:tc>
          <w:tcPr>
            <w:tcW w:w="1276" w:type="dxa"/>
          </w:tcPr>
          <w:p w14:paraId="14034DEF"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134" w:type="dxa"/>
            <w:tcBorders>
              <w:top w:val="single" w:sz="12" w:space="0" w:color="FFFFFF" w:themeColor="background1"/>
              <w:right w:val="single" w:sz="12" w:space="0" w:color="FFFFFF" w:themeColor="background1"/>
            </w:tcBorders>
          </w:tcPr>
          <w:p w14:paraId="5DD1943A"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417" w:type="dxa"/>
            <w:tcBorders>
              <w:left w:val="single" w:sz="12" w:space="0" w:color="FFFFFF" w:themeColor="background1"/>
            </w:tcBorders>
          </w:tcPr>
          <w:p w14:paraId="4C305D12"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851" w:type="dxa"/>
          </w:tcPr>
          <w:p w14:paraId="766F59DF"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708" w:type="dxa"/>
          </w:tcPr>
          <w:p w14:paraId="28D7B427"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7627049F"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r>
      <w:tr w:rsidR="0078491B" w:rsidRPr="00236E50" w14:paraId="54801D0B"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7B7257F5"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Ireland</w:t>
            </w:r>
          </w:p>
        </w:tc>
        <w:tc>
          <w:tcPr>
            <w:tcW w:w="1985" w:type="dxa"/>
          </w:tcPr>
          <w:p w14:paraId="6CA54A56"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Government agency</w:t>
            </w:r>
          </w:p>
        </w:tc>
        <w:tc>
          <w:tcPr>
            <w:tcW w:w="1276" w:type="dxa"/>
          </w:tcPr>
          <w:p w14:paraId="1C21BAA8"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55028AC8"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5D930CFF"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851" w:type="dxa"/>
          </w:tcPr>
          <w:p w14:paraId="6D667384"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708" w:type="dxa"/>
          </w:tcPr>
          <w:p w14:paraId="0E6A89D7"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993" w:type="dxa"/>
          </w:tcPr>
          <w:p w14:paraId="2836AC63"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r>
      <w:tr w:rsidR="0078491B" w:rsidRPr="00236E50" w14:paraId="0CEBAEC2"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1E708FC"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Italy</w:t>
            </w:r>
          </w:p>
        </w:tc>
        <w:tc>
          <w:tcPr>
            <w:tcW w:w="1985" w:type="dxa"/>
          </w:tcPr>
          <w:p w14:paraId="27508B28"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Government agency</w:t>
            </w:r>
          </w:p>
        </w:tc>
        <w:tc>
          <w:tcPr>
            <w:tcW w:w="1276" w:type="dxa"/>
          </w:tcPr>
          <w:p w14:paraId="57F74EAD"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4592382F"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15824E26"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851" w:type="dxa"/>
          </w:tcPr>
          <w:p w14:paraId="42FCD0EF"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708" w:type="dxa"/>
          </w:tcPr>
          <w:p w14:paraId="77E84573"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24BD4ACF"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1748A290"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489C0DDC"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Slovak Republic</w:t>
            </w:r>
          </w:p>
        </w:tc>
        <w:tc>
          <w:tcPr>
            <w:tcW w:w="1985" w:type="dxa"/>
          </w:tcPr>
          <w:p w14:paraId="25CC9268"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Government agency</w:t>
            </w:r>
          </w:p>
        </w:tc>
        <w:tc>
          <w:tcPr>
            <w:tcW w:w="1276" w:type="dxa"/>
          </w:tcPr>
          <w:p w14:paraId="34195F52"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134" w:type="dxa"/>
            <w:tcBorders>
              <w:right w:val="single" w:sz="12" w:space="0" w:color="FFFFFF" w:themeColor="background1"/>
            </w:tcBorders>
          </w:tcPr>
          <w:p w14:paraId="4C6AA7D4"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417" w:type="dxa"/>
            <w:tcBorders>
              <w:left w:val="single" w:sz="12" w:space="0" w:color="FFFFFF" w:themeColor="background1"/>
            </w:tcBorders>
          </w:tcPr>
          <w:p w14:paraId="32B53E18"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851" w:type="dxa"/>
          </w:tcPr>
          <w:p w14:paraId="6E1BDC88"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708" w:type="dxa"/>
          </w:tcPr>
          <w:p w14:paraId="3DE847FD"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993" w:type="dxa"/>
          </w:tcPr>
          <w:p w14:paraId="131E950C"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r>
      <w:tr w:rsidR="0078491B" w:rsidRPr="00236E50" w14:paraId="21C6FAD8"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8912070"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Japan</w:t>
            </w:r>
          </w:p>
        </w:tc>
        <w:tc>
          <w:tcPr>
            <w:tcW w:w="1985" w:type="dxa"/>
          </w:tcPr>
          <w:p w14:paraId="52965662"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b/>
                <w:sz w:val="18"/>
                <w:szCs w:val="18"/>
              </w:rPr>
              <w:t>Government</w:t>
            </w:r>
            <w:r w:rsidRPr="00236E50">
              <w:rPr>
                <w:rFonts w:ascii="Calibri" w:eastAsia="Calibri" w:hAnsi="Calibri" w:cs="Times New Roman"/>
                <w:sz w:val="18"/>
                <w:szCs w:val="18"/>
              </w:rPr>
              <w:t>/Industry obligation</w:t>
            </w:r>
          </w:p>
        </w:tc>
        <w:tc>
          <w:tcPr>
            <w:tcW w:w="1276" w:type="dxa"/>
          </w:tcPr>
          <w:p w14:paraId="6C7CC471"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134" w:type="dxa"/>
            <w:tcBorders>
              <w:right w:val="single" w:sz="12" w:space="0" w:color="FFFFFF" w:themeColor="background1"/>
            </w:tcBorders>
          </w:tcPr>
          <w:p w14:paraId="098910E6"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417" w:type="dxa"/>
            <w:tcBorders>
              <w:left w:val="single" w:sz="12" w:space="0" w:color="FFFFFF" w:themeColor="background1"/>
            </w:tcBorders>
          </w:tcPr>
          <w:p w14:paraId="6A5A061E"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851" w:type="dxa"/>
          </w:tcPr>
          <w:p w14:paraId="1AA9A071"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708" w:type="dxa"/>
          </w:tcPr>
          <w:p w14:paraId="787CC5F8"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65C3C0C4"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1B78A276"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6991E990"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Republic of Korea</w:t>
            </w:r>
          </w:p>
        </w:tc>
        <w:tc>
          <w:tcPr>
            <w:tcW w:w="1985" w:type="dxa"/>
          </w:tcPr>
          <w:p w14:paraId="1DBA22E4"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Industry obligation/</w:t>
            </w:r>
            <w:r w:rsidRPr="00236E50">
              <w:rPr>
                <w:rFonts w:ascii="Calibri" w:eastAsia="Calibri" w:hAnsi="Calibri" w:cs="Times New Roman"/>
                <w:b/>
                <w:sz w:val="18"/>
                <w:szCs w:val="18"/>
              </w:rPr>
              <w:t>government</w:t>
            </w:r>
          </w:p>
        </w:tc>
        <w:tc>
          <w:tcPr>
            <w:tcW w:w="1276" w:type="dxa"/>
          </w:tcPr>
          <w:p w14:paraId="08D935AF"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134" w:type="dxa"/>
            <w:tcBorders>
              <w:right w:val="single" w:sz="12" w:space="0" w:color="FFFFFF" w:themeColor="background1"/>
            </w:tcBorders>
          </w:tcPr>
          <w:p w14:paraId="0FED3E8A"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417" w:type="dxa"/>
            <w:tcBorders>
              <w:left w:val="single" w:sz="12" w:space="0" w:color="FFFFFF" w:themeColor="background1"/>
            </w:tcBorders>
          </w:tcPr>
          <w:p w14:paraId="1B84DDF2"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851" w:type="dxa"/>
          </w:tcPr>
          <w:p w14:paraId="53434E07"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708" w:type="dxa"/>
          </w:tcPr>
          <w:p w14:paraId="58153676"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993" w:type="dxa"/>
          </w:tcPr>
          <w:p w14:paraId="40D7377E"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60DD1AF0"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DFD397E"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Poland</w:t>
            </w:r>
          </w:p>
        </w:tc>
        <w:tc>
          <w:tcPr>
            <w:tcW w:w="1985" w:type="dxa"/>
          </w:tcPr>
          <w:p w14:paraId="7693928D"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b/>
                <w:sz w:val="18"/>
                <w:szCs w:val="18"/>
              </w:rPr>
              <w:t>Industry obligation</w:t>
            </w:r>
            <w:r w:rsidRPr="00236E50">
              <w:rPr>
                <w:rFonts w:ascii="Calibri" w:eastAsia="Calibri" w:hAnsi="Calibri" w:cs="Times New Roman"/>
                <w:sz w:val="18"/>
                <w:szCs w:val="18"/>
              </w:rPr>
              <w:t>/government</w:t>
            </w:r>
          </w:p>
        </w:tc>
        <w:tc>
          <w:tcPr>
            <w:tcW w:w="1276" w:type="dxa"/>
          </w:tcPr>
          <w:p w14:paraId="166A2E20"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134" w:type="dxa"/>
            <w:tcBorders>
              <w:right w:val="single" w:sz="12" w:space="0" w:color="FFFFFF" w:themeColor="background1"/>
            </w:tcBorders>
          </w:tcPr>
          <w:p w14:paraId="027841B1"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417" w:type="dxa"/>
            <w:tcBorders>
              <w:left w:val="single" w:sz="12" w:space="0" w:color="FFFFFF" w:themeColor="background1"/>
            </w:tcBorders>
          </w:tcPr>
          <w:p w14:paraId="5A7CE264"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851" w:type="dxa"/>
          </w:tcPr>
          <w:p w14:paraId="0405EDED"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708" w:type="dxa"/>
          </w:tcPr>
          <w:p w14:paraId="72854E2C"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7F14ED36"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18"/>
                <w:szCs w:val="18"/>
              </w:rPr>
            </w:pPr>
            <w:r w:rsidRPr="00236E50">
              <w:rPr>
                <w:rFonts w:ascii="Calibri" w:eastAsia="Calibri" w:hAnsi="Calibri" w:cs="Times New Roman"/>
                <w:b/>
                <w:sz w:val="18"/>
                <w:szCs w:val="18"/>
              </w:rPr>
              <w:sym w:font="Wingdings 2" w:char="F050"/>
            </w:r>
          </w:p>
        </w:tc>
      </w:tr>
      <w:tr w:rsidR="0078491B" w:rsidRPr="00236E50" w14:paraId="2FF63324"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1D5F5FCD"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Spain</w:t>
            </w:r>
          </w:p>
        </w:tc>
        <w:tc>
          <w:tcPr>
            <w:tcW w:w="1985" w:type="dxa"/>
          </w:tcPr>
          <w:p w14:paraId="6EEB038D"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Agency/</w:t>
            </w:r>
            <w:r w:rsidRPr="00236E50">
              <w:rPr>
                <w:rFonts w:ascii="Calibri" w:eastAsia="Calibri" w:hAnsi="Calibri" w:cs="Times New Roman"/>
                <w:b/>
                <w:sz w:val="18"/>
                <w:szCs w:val="18"/>
              </w:rPr>
              <w:t>Industry obligation</w:t>
            </w:r>
          </w:p>
        </w:tc>
        <w:tc>
          <w:tcPr>
            <w:tcW w:w="1276" w:type="dxa"/>
          </w:tcPr>
          <w:p w14:paraId="48F42E62"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5AA450AC"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6CB7C5FA"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851" w:type="dxa"/>
          </w:tcPr>
          <w:p w14:paraId="6132EC73"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708" w:type="dxa"/>
          </w:tcPr>
          <w:p w14:paraId="79A5CF84"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993" w:type="dxa"/>
          </w:tcPr>
          <w:p w14:paraId="6916EFB0"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18"/>
                <w:szCs w:val="18"/>
              </w:rPr>
            </w:pPr>
            <w:r w:rsidRPr="00236E50">
              <w:rPr>
                <w:rFonts w:ascii="Calibri" w:eastAsia="Calibri" w:hAnsi="Calibri" w:cs="Times New Roman"/>
                <w:b/>
                <w:sz w:val="18"/>
                <w:szCs w:val="18"/>
              </w:rPr>
              <w:sym w:font="Wingdings 2" w:char="F050"/>
            </w:r>
          </w:p>
        </w:tc>
      </w:tr>
      <w:tr w:rsidR="0078491B" w:rsidRPr="00236E50" w14:paraId="3C6C5868"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314BDC1"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Finland</w:t>
            </w:r>
          </w:p>
        </w:tc>
        <w:tc>
          <w:tcPr>
            <w:tcW w:w="1985" w:type="dxa"/>
          </w:tcPr>
          <w:p w14:paraId="1DC04824"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b/>
                <w:sz w:val="18"/>
                <w:szCs w:val="18"/>
              </w:rPr>
              <w:t>Agency</w:t>
            </w:r>
            <w:r w:rsidRPr="00236E50">
              <w:rPr>
                <w:rFonts w:ascii="Calibri" w:eastAsia="Calibri" w:hAnsi="Calibri" w:cs="Times New Roman"/>
                <w:sz w:val="18"/>
                <w:szCs w:val="18"/>
              </w:rPr>
              <w:t>/Industry obligation</w:t>
            </w:r>
          </w:p>
        </w:tc>
        <w:tc>
          <w:tcPr>
            <w:tcW w:w="1276" w:type="dxa"/>
          </w:tcPr>
          <w:p w14:paraId="749C5B4D"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134" w:type="dxa"/>
            <w:tcBorders>
              <w:right w:val="single" w:sz="12" w:space="0" w:color="FFFFFF" w:themeColor="background1"/>
            </w:tcBorders>
          </w:tcPr>
          <w:p w14:paraId="2D678B17"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417" w:type="dxa"/>
            <w:tcBorders>
              <w:left w:val="single" w:sz="12" w:space="0" w:color="FFFFFF" w:themeColor="background1"/>
            </w:tcBorders>
          </w:tcPr>
          <w:p w14:paraId="784FBD68"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851" w:type="dxa"/>
          </w:tcPr>
          <w:p w14:paraId="262226A2"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708" w:type="dxa"/>
          </w:tcPr>
          <w:p w14:paraId="0730E567"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18"/>
                <w:szCs w:val="18"/>
              </w:rPr>
            </w:pPr>
            <w:r w:rsidRPr="00236E50">
              <w:rPr>
                <w:rFonts w:ascii="Calibri" w:eastAsia="Calibri" w:hAnsi="Calibri" w:cs="Times New Roman"/>
                <w:b/>
                <w:sz w:val="18"/>
                <w:szCs w:val="18"/>
              </w:rPr>
              <w:sym w:font="Wingdings 2" w:char="F050"/>
            </w:r>
          </w:p>
        </w:tc>
        <w:tc>
          <w:tcPr>
            <w:tcW w:w="993" w:type="dxa"/>
          </w:tcPr>
          <w:p w14:paraId="79DD5E01"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43B79721"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238853FE"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Netherlands</w:t>
            </w:r>
          </w:p>
        </w:tc>
        <w:tc>
          <w:tcPr>
            <w:tcW w:w="1985" w:type="dxa"/>
          </w:tcPr>
          <w:p w14:paraId="400AF251"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Agency/</w:t>
            </w:r>
            <w:r w:rsidRPr="00236E50">
              <w:rPr>
                <w:rFonts w:ascii="Calibri" w:eastAsia="Calibri" w:hAnsi="Calibri" w:cs="Times New Roman"/>
                <w:b/>
                <w:sz w:val="18"/>
                <w:szCs w:val="18"/>
              </w:rPr>
              <w:t>Industry obligation</w:t>
            </w:r>
          </w:p>
        </w:tc>
        <w:tc>
          <w:tcPr>
            <w:tcW w:w="1276" w:type="dxa"/>
          </w:tcPr>
          <w:p w14:paraId="7EFEEC5B"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14BE6495"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672575FA"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851" w:type="dxa"/>
          </w:tcPr>
          <w:p w14:paraId="232BED76"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708" w:type="dxa"/>
          </w:tcPr>
          <w:p w14:paraId="67418216"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993" w:type="dxa"/>
          </w:tcPr>
          <w:p w14:paraId="57286500"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18"/>
                <w:szCs w:val="18"/>
              </w:rPr>
            </w:pPr>
            <w:r w:rsidRPr="00236E50">
              <w:rPr>
                <w:rFonts w:ascii="Calibri" w:eastAsia="Calibri" w:hAnsi="Calibri" w:cs="Times New Roman"/>
                <w:b/>
                <w:sz w:val="18"/>
                <w:szCs w:val="18"/>
              </w:rPr>
              <w:sym w:font="Wingdings 2" w:char="F050"/>
            </w:r>
          </w:p>
        </w:tc>
      </w:tr>
      <w:tr w:rsidR="0078491B" w:rsidRPr="00236E50" w14:paraId="6CF3C8AF"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52D9691"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Portugal</w:t>
            </w:r>
          </w:p>
        </w:tc>
        <w:tc>
          <w:tcPr>
            <w:tcW w:w="1985" w:type="dxa"/>
          </w:tcPr>
          <w:p w14:paraId="70F620C0"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Agency/</w:t>
            </w:r>
            <w:r w:rsidRPr="00236E50">
              <w:rPr>
                <w:rFonts w:ascii="Calibri" w:eastAsia="Calibri" w:hAnsi="Calibri" w:cs="Times New Roman"/>
                <w:b/>
                <w:sz w:val="18"/>
                <w:szCs w:val="18"/>
              </w:rPr>
              <w:t>Industry obligation</w:t>
            </w:r>
          </w:p>
        </w:tc>
        <w:tc>
          <w:tcPr>
            <w:tcW w:w="1276" w:type="dxa"/>
          </w:tcPr>
          <w:p w14:paraId="2D534B21"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6F7601AF"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1D2B8878"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851" w:type="dxa"/>
          </w:tcPr>
          <w:p w14:paraId="2A1F1AAB"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708" w:type="dxa"/>
          </w:tcPr>
          <w:p w14:paraId="064ED902"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19E7CEC3"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18"/>
                <w:szCs w:val="18"/>
              </w:rPr>
            </w:pPr>
            <w:r w:rsidRPr="00236E50">
              <w:rPr>
                <w:rFonts w:ascii="Calibri" w:eastAsia="Calibri" w:hAnsi="Calibri" w:cs="Times New Roman"/>
                <w:b/>
                <w:sz w:val="18"/>
                <w:szCs w:val="18"/>
              </w:rPr>
              <w:sym w:font="Wingdings 2" w:char="F050"/>
            </w:r>
          </w:p>
        </w:tc>
      </w:tr>
      <w:tr w:rsidR="0078491B" w:rsidRPr="00236E50" w14:paraId="756AB6ED"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5F66C41A"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France</w:t>
            </w:r>
          </w:p>
        </w:tc>
        <w:tc>
          <w:tcPr>
            <w:tcW w:w="1985" w:type="dxa"/>
          </w:tcPr>
          <w:p w14:paraId="047E1442"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b/>
                <w:sz w:val="18"/>
                <w:szCs w:val="18"/>
              </w:rPr>
              <w:t>Agency</w:t>
            </w:r>
            <w:r w:rsidRPr="00236E50">
              <w:rPr>
                <w:rFonts w:ascii="Calibri" w:eastAsia="Calibri" w:hAnsi="Calibri" w:cs="Times New Roman"/>
                <w:sz w:val="18"/>
                <w:szCs w:val="18"/>
              </w:rPr>
              <w:t>/Industry body/Industry obligation</w:t>
            </w:r>
          </w:p>
        </w:tc>
        <w:tc>
          <w:tcPr>
            <w:tcW w:w="1276" w:type="dxa"/>
          </w:tcPr>
          <w:p w14:paraId="73DBD049"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52D27615"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6F08DD51"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851" w:type="dxa"/>
          </w:tcPr>
          <w:p w14:paraId="421F5686"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18"/>
                <w:szCs w:val="18"/>
              </w:rPr>
            </w:pPr>
            <w:r w:rsidRPr="00236E50">
              <w:rPr>
                <w:rFonts w:ascii="Calibri" w:eastAsia="Calibri" w:hAnsi="Calibri" w:cs="Times New Roman"/>
                <w:b/>
                <w:sz w:val="18"/>
                <w:szCs w:val="18"/>
              </w:rPr>
              <w:sym w:font="Wingdings 2" w:char="F050"/>
            </w:r>
          </w:p>
        </w:tc>
        <w:tc>
          <w:tcPr>
            <w:tcW w:w="708" w:type="dxa"/>
          </w:tcPr>
          <w:p w14:paraId="47473450"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993" w:type="dxa"/>
          </w:tcPr>
          <w:p w14:paraId="11AEAE8B"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5F936061"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9F8974A"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Norway</w:t>
            </w:r>
          </w:p>
        </w:tc>
        <w:tc>
          <w:tcPr>
            <w:tcW w:w="1985" w:type="dxa"/>
          </w:tcPr>
          <w:p w14:paraId="70D0A8A7"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Industry obligation</w:t>
            </w:r>
          </w:p>
        </w:tc>
        <w:tc>
          <w:tcPr>
            <w:tcW w:w="1276" w:type="dxa"/>
          </w:tcPr>
          <w:p w14:paraId="0FE30668"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13798173"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3767DF10"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851" w:type="dxa"/>
          </w:tcPr>
          <w:p w14:paraId="26E52AD4"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708" w:type="dxa"/>
          </w:tcPr>
          <w:p w14:paraId="40A8BB77"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242CA3C4"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4A125302"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33E562B3"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Luxembourg</w:t>
            </w:r>
          </w:p>
        </w:tc>
        <w:tc>
          <w:tcPr>
            <w:tcW w:w="1985" w:type="dxa"/>
          </w:tcPr>
          <w:p w14:paraId="0208315E"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Industry obligation</w:t>
            </w:r>
          </w:p>
        </w:tc>
        <w:tc>
          <w:tcPr>
            <w:tcW w:w="1276" w:type="dxa"/>
          </w:tcPr>
          <w:p w14:paraId="0F5A8971"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1F576090"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76203ABE"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851" w:type="dxa"/>
          </w:tcPr>
          <w:p w14:paraId="4D7A8156"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708" w:type="dxa"/>
          </w:tcPr>
          <w:p w14:paraId="6FC092E3"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993" w:type="dxa"/>
          </w:tcPr>
          <w:p w14:paraId="49CFF5B7"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5D5A71E1"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C075249"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Greece</w:t>
            </w:r>
          </w:p>
        </w:tc>
        <w:tc>
          <w:tcPr>
            <w:tcW w:w="1985" w:type="dxa"/>
          </w:tcPr>
          <w:p w14:paraId="7FEC9D32"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 xml:space="preserve">Industry obligation </w:t>
            </w:r>
          </w:p>
        </w:tc>
        <w:tc>
          <w:tcPr>
            <w:tcW w:w="1276" w:type="dxa"/>
          </w:tcPr>
          <w:p w14:paraId="33578FD6"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4135C435"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46B4F953"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851" w:type="dxa"/>
          </w:tcPr>
          <w:p w14:paraId="27CDB75A"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708" w:type="dxa"/>
          </w:tcPr>
          <w:p w14:paraId="19FFB524"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01D4D776"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0B089354"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71CF9E6D"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Sweden</w:t>
            </w:r>
          </w:p>
        </w:tc>
        <w:tc>
          <w:tcPr>
            <w:tcW w:w="1985" w:type="dxa"/>
          </w:tcPr>
          <w:p w14:paraId="44FDBCB3"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Industry obligation</w:t>
            </w:r>
          </w:p>
        </w:tc>
        <w:tc>
          <w:tcPr>
            <w:tcW w:w="1276" w:type="dxa"/>
          </w:tcPr>
          <w:p w14:paraId="553CF7AB"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1EF63064"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65AB3AED"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851" w:type="dxa"/>
          </w:tcPr>
          <w:p w14:paraId="750084B0"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708" w:type="dxa"/>
          </w:tcPr>
          <w:p w14:paraId="2FEF580A"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993" w:type="dxa"/>
          </w:tcPr>
          <w:p w14:paraId="0C11341A"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1B979643"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308B4BC"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Turkey</w:t>
            </w:r>
          </w:p>
        </w:tc>
        <w:tc>
          <w:tcPr>
            <w:tcW w:w="1985" w:type="dxa"/>
          </w:tcPr>
          <w:p w14:paraId="600A8B7A"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Industry obligation</w:t>
            </w:r>
          </w:p>
        </w:tc>
        <w:tc>
          <w:tcPr>
            <w:tcW w:w="1276" w:type="dxa"/>
          </w:tcPr>
          <w:p w14:paraId="0F95B8D7"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7DE0CAB2"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33CD1084"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851" w:type="dxa"/>
          </w:tcPr>
          <w:p w14:paraId="5CFF698C"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708" w:type="dxa"/>
          </w:tcPr>
          <w:p w14:paraId="4D8118A5"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6C9B4449"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2BFB8F0E"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216C57FE"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United Kingdom</w:t>
            </w:r>
          </w:p>
        </w:tc>
        <w:tc>
          <w:tcPr>
            <w:tcW w:w="1985" w:type="dxa"/>
          </w:tcPr>
          <w:p w14:paraId="547861F8"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Industry obligation</w:t>
            </w:r>
          </w:p>
        </w:tc>
        <w:tc>
          <w:tcPr>
            <w:tcW w:w="1276" w:type="dxa"/>
          </w:tcPr>
          <w:p w14:paraId="295357DD"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7D5E7AEB"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2C9E8E12"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851" w:type="dxa"/>
          </w:tcPr>
          <w:p w14:paraId="59BD1663"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708" w:type="dxa"/>
          </w:tcPr>
          <w:p w14:paraId="4610C99A"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993" w:type="dxa"/>
          </w:tcPr>
          <w:p w14:paraId="0D12F988"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4A6C7524"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CABCBD9"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Austria</w:t>
            </w:r>
          </w:p>
        </w:tc>
        <w:tc>
          <w:tcPr>
            <w:tcW w:w="1985" w:type="dxa"/>
          </w:tcPr>
          <w:p w14:paraId="15B833C7"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Industry body/Industry obligation</w:t>
            </w:r>
          </w:p>
        </w:tc>
        <w:tc>
          <w:tcPr>
            <w:tcW w:w="1276" w:type="dxa"/>
          </w:tcPr>
          <w:p w14:paraId="56A71B27"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63C99A68"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48356F8F"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851" w:type="dxa"/>
          </w:tcPr>
          <w:p w14:paraId="45058A61"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708" w:type="dxa"/>
          </w:tcPr>
          <w:p w14:paraId="009A8562"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42FBA16C"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13D9B582"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3DD6C144"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Denmark</w:t>
            </w:r>
          </w:p>
        </w:tc>
        <w:tc>
          <w:tcPr>
            <w:tcW w:w="1985" w:type="dxa"/>
          </w:tcPr>
          <w:p w14:paraId="72C129B6"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Industry body/Industry obligation</w:t>
            </w:r>
          </w:p>
        </w:tc>
        <w:tc>
          <w:tcPr>
            <w:tcW w:w="1276" w:type="dxa"/>
          </w:tcPr>
          <w:p w14:paraId="776A2D6A"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3F5D36EA"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417" w:type="dxa"/>
            <w:tcBorders>
              <w:left w:val="single" w:sz="12" w:space="0" w:color="FFFFFF" w:themeColor="background1"/>
            </w:tcBorders>
          </w:tcPr>
          <w:p w14:paraId="76108F23"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851" w:type="dxa"/>
          </w:tcPr>
          <w:p w14:paraId="745033A3"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708" w:type="dxa"/>
          </w:tcPr>
          <w:p w14:paraId="43D9F338"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vertAlign w:val="superscript"/>
              </w:rPr>
            </w:pPr>
            <w:r w:rsidRPr="00236E50">
              <w:rPr>
                <w:rFonts w:ascii="Calibri" w:eastAsia="Calibri" w:hAnsi="Calibri" w:cs="Times New Roman"/>
                <w:sz w:val="18"/>
                <w:szCs w:val="18"/>
              </w:rPr>
              <w:sym w:font="Wingdings 2" w:char="F050"/>
            </w:r>
            <w:r w:rsidRPr="00236E50">
              <w:rPr>
                <w:rFonts w:ascii="Calibri" w:eastAsia="Calibri" w:hAnsi="Calibri" w:cs="Times New Roman"/>
                <w:sz w:val="18"/>
                <w:szCs w:val="18"/>
                <w:vertAlign w:val="superscript"/>
              </w:rPr>
              <w:t>2</w:t>
            </w:r>
          </w:p>
        </w:tc>
        <w:tc>
          <w:tcPr>
            <w:tcW w:w="993" w:type="dxa"/>
          </w:tcPr>
          <w:p w14:paraId="1B5480B1"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r>
      <w:tr w:rsidR="0078491B" w:rsidRPr="00236E50" w14:paraId="4998ABBF"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2150057"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Switzerland</w:t>
            </w:r>
          </w:p>
        </w:tc>
        <w:tc>
          <w:tcPr>
            <w:tcW w:w="1985" w:type="dxa"/>
          </w:tcPr>
          <w:p w14:paraId="1ABAC15B"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Industry body/Industry obligation</w:t>
            </w:r>
          </w:p>
        </w:tc>
        <w:tc>
          <w:tcPr>
            <w:tcW w:w="1276" w:type="dxa"/>
          </w:tcPr>
          <w:p w14:paraId="099878EF"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39641721"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4FD83091"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851" w:type="dxa"/>
          </w:tcPr>
          <w:p w14:paraId="33CC13E0"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708" w:type="dxa"/>
          </w:tcPr>
          <w:p w14:paraId="3723531D"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61385819"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r>
      <w:tr w:rsidR="0078491B" w:rsidRPr="00236E50" w14:paraId="70A17D43"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0101911D"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Germany</w:t>
            </w:r>
          </w:p>
        </w:tc>
        <w:tc>
          <w:tcPr>
            <w:tcW w:w="1985" w:type="dxa"/>
          </w:tcPr>
          <w:p w14:paraId="3428A707"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Industry body</w:t>
            </w:r>
          </w:p>
        </w:tc>
        <w:tc>
          <w:tcPr>
            <w:tcW w:w="1276" w:type="dxa"/>
          </w:tcPr>
          <w:p w14:paraId="169C98CE"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109ECCFA"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417" w:type="dxa"/>
            <w:tcBorders>
              <w:left w:val="single" w:sz="12" w:space="0" w:color="FFFFFF" w:themeColor="background1"/>
            </w:tcBorders>
          </w:tcPr>
          <w:p w14:paraId="372A3C25"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851" w:type="dxa"/>
          </w:tcPr>
          <w:p w14:paraId="6A5224CD"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708" w:type="dxa"/>
          </w:tcPr>
          <w:p w14:paraId="6C5ACE65"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993" w:type="dxa"/>
          </w:tcPr>
          <w:p w14:paraId="72ACF78B"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r>
      <w:tr w:rsidR="0078491B" w:rsidRPr="00236E50" w14:paraId="518F9D00"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E4F7796"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Hungary</w:t>
            </w:r>
          </w:p>
        </w:tc>
        <w:tc>
          <w:tcPr>
            <w:tcW w:w="1985" w:type="dxa"/>
          </w:tcPr>
          <w:p w14:paraId="49ABA642"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Industry body</w:t>
            </w:r>
          </w:p>
        </w:tc>
        <w:tc>
          <w:tcPr>
            <w:tcW w:w="1276" w:type="dxa"/>
          </w:tcPr>
          <w:p w14:paraId="59161A0D"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3FF24A07"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4D0EB832"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851" w:type="dxa"/>
          </w:tcPr>
          <w:p w14:paraId="48BD4535"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708" w:type="dxa"/>
          </w:tcPr>
          <w:p w14:paraId="2014E370"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5C6609B7"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r>
    </w:tbl>
    <w:p w14:paraId="0E7C1875" w14:textId="0B45190C" w:rsidR="0078491B" w:rsidRPr="00380B98" w:rsidRDefault="0078491B" w:rsidP="00380B98">
      <w:pPr>
        <w:spacing w:before="0" w:after="0"/>
        <w:contextualSpacing/>
        <w:rPr>
          <w:rFonts w:ascii="Calibri" w:eastAsia="Calibri" w:hAnsi="Calibri" w:cs="Times New Roman"/>
          <w:sz w:val="15"/>
          <w:szCs w:val="15"/>
        </w:rPr>
      </w:pPr>
      <w:r w:rsidRPr="00380B98">
        <w:rPr>
          <w:rFonts w:ascii="Calibri" w:eastAsia="Calibri" w:hAnsi="Calibri" w:cs="Times New Roman"/>
          <w:sz w:val="15"/>
          <w:szCs w:val="15"/>
          <w:vertAlign w:val="superscript"/>
        </w:rPr>
        <w:t>1</w:t>
      </w:r>
      <w:r w:rsidRPr="00380B98">
        <w:rPr>
          <w:rFonts w:ascii="Calibri" w:eastAsia="Calibri" w:hAnsi="Calibri" w:cs="Times New Roman"/>
          <w:sz w:val="15"/>
          <w:szCs w:val="15"/>
        </w:rPr>
        <w:t xml:space="preserve"> To meet IEA requirements, New Zealand Government holds 18 days of emergency oil stocks in the form of ticketed stock above commercial stocks. It will transfer the funding mechanism from general taxation to fuel users through the Petroleum or Engine Fuel Monitoring Levy.</w:t>
      </w:r>
      <w:r w:rsidR="00380B98" w:rsidRPr="00380B98">
        <w:rPr>
          <w:rFonts w:ascii="Calibri" w:eastAsia="Calibri" w:hAnsi="Calibri" w:cs="Times New Roman"/>
          <w:sz w:val="15"/>
          <w:szCs w:val="15"/>
        </w:rPr>
        <w:br/>
      </w:r>
      <w:r w:rsidRPr="00380B98">
        <w:rPr>
          <w:rFonts w:ascii="Calibri" w:eastAsia="Calibri" w:hAnsi="Calibri" w:cs="Times New Roman"/>
          <w:sz w:val="15"/>
          <w:szCs w:val="15"/>
          <w:vertAlign w:val="superscript"/>
        </w:rPr>
        <w:t>2</w:t>
      </w:r>
      <w:r w:rsidRPr="00380B98">
        <w:rPr>
          <w:rFonts w:ascii="Calibri" w:eastAsia="Calibri" w:hAnsi="Calibri" w:cs="Times New Roman"/>
          <w:sz w:val="15"/>
          <w:szCs w:val="15"/>
        </w:rPr>
        <w:t xml:space="preserve"> Denmark no longer applies a levy to meet the cost of the industry obligation as the body has sufficient resources.</w:t>
      </w:r>
      <w:r w:rsidRPr="00380B98">
        <w:rPr>
          <w:rFonts w:ascii="Calibri" w:eastAsia="Calibri" w:hAnsi="Calibri" w:cs="Times New Roman"/>
          <w:sz w:val="15"/>
          <w:szCs w:val="15"/>
        </w:rPr>
        <w:br/>
        <w:t xml:space="preserve">Some countries have a shared responsibility for the obligated stockholding. The </w:t>
      </w:r>
      <w:r w:rsidRPr="00380B98">
        <w:rPr>
          <w:rFonts w:ascii="Calibri" w:eastAsia="Calibri" w:hAnsi="Calibri" w:cs="Times New Roman"/>
          <w:b/>
          <w:sz w:val="15"/>
          <w:szCs w:val="15"/>
        </w:rPr>
        <w:t>bolded</w:t>
      </w:r>
      <w:r w:rsidRPr="00380B98">
        <w:rPr>
          <w:rFonts w:ascii="Calibri" w:eastAsia="Calibri" w:hAnsi="Calibri" w:cs="Times New Roman"/>
          <w:sz w:val="15"/>
          <w:szCs w:val="15"/>
        </w:rPr>
        <w:t xml:space="preserve"> text identifies which structure and funding arrangement is used to meet the majority of the stockholding. </w:t>
      </w:r>
    </w:p>
    <w:p w14:paraId="49C2F40E" w14:textId="77777777" w:rsidR="0078491B" w:rsidRPr="00380B98" w:rsidRDefault="0078491B" w:rsidP="00380B98">
      <w:pPr>
        <w:spacing w:before="0" w:after="200"/>
        <w:contextualSpacing/>
        <w:rPr>
          <w:rFonts w:ascii="Calibri" w:eastAsia="Calibri" w:hAnsi="Calibri" w:cs="Times New Roman"/>
          <w:sz w:val="15"/>
          <w:szCs w:val="15"/>
        </w:rPr>
      </w:pPr>
      <w:r w:rsidRPr="00380B98">
        <w:rPr>
          <w:rFonts w:ascii="Calibri" w:eastAsia="Calibri" w:hAnsi="Calibri" w:cs="Times New Roman"/>
          <w:sz w:val="15"/>
          <w:szCs w:val="15"/>
        </w:rPr>
        <w:t xml:space="preserve">Source: IEA, Energy Security Supply 2014. </w:t>
      </w:r>
    </w:p>
    <w:p w14:paraId="34CDA504" w14:textId="38BFFF57" w:rsidR="00706155" w:rsidRPr="0061480B" w:rsidRDefault="00706155" w:rsidP="00C17DA0">
      <w:pPr>
        <w:pStyle w:val="BodyText"/>
        <w:rPr>
          <w:rFonts w:ascii="Cambria" w:eastAsia="Times New Roman" w:hAnsi="Cambria"/>
          <w:b/>
          <w:bCs/>
          <w:i/>
          <w:sz w:val="28"/>
          <w:szCs w:val="26"/>
        </w:rPr>
      </w:pPr>
      <w:r w:rsidRPr="0061480B">
        <w:rPr>
          <w:b/>
        </w:rPr>
        <w:lastRenderedPageBreak/>
        <w:t>SUMMARY OF IEA MEMBER APPROACHES TO COMPLIANCE (2017)</w:t>
      </w:r>
    </w:p>
    <w:tbl>
      <w:tblPr>
        <w:tblStyle w:val="TableGrid3"/>
        <w:tblW w:w="5000" w:type="pct"/>
        <w:tblLook w:val="04A0" w:firstRow="1" w:lastRow="0" w:firstColumn="1" w:lastColumn="0" w:noHBand="0" w:noVBand="1"/>
        <w:tblDescription w:val="A summary of IEA member approaches to compliance from 2017. Countries are listed down the left hand side, with their approaches to various mechanisms outlined in the table. "/>
      </w:tblPr>
      <w:tblGrid>
        <w:gridCol w:w="1487"/>
        <w:gridCol w:w="1396"/>
        <w:gridCol w:w="1107"/>
        <w:gridCol w:w="1504"/>
        <w:gridCol w:w="1791"/>
        <w:gridCol w:w="1731"/>
      </w:tblGrid>
      <w:tr w:rsidR="00706155" w:rsidRPr="008029B2" w14:paraId="0A0FF9F7" w14:textId="77777777" w:rsidTr="00B5518A">
        <w:trPr>
          <w:cnfStyle w:val="100000000000" w:firstRow="1" w:lastRow="0" w:firstColumn="0" w:lastColumn="0" w:oddVBand="0" w:evenVBand="0" w:oddHBand="0" w:evenHBand="0" w:firstRowFirstColumn="0" w:firstRowLastColumn="0" w:lastRowFirstColumn="0" w:lastRowLastColumn="0"/>
          <w:tblHeader/>
        </w:trPr>
        <w:tc>
          <w:tcPr>
            <w:tcW w:w="825" w:type="pct"/>
            <w:shd w:val="clear" w:color="auto" w:fill="005677"/>
          </w:tcPr>
          <w:p w14:paraId="7AF540E4" w14:textId="77777777" w:rsidR="00706155" w:rsidRPr="00B5518A" w:rsidRDefault="00706155" w:rsidP="00706155">
            <w:pPr>
              <w:spacing w:before="0" w:after="40"/>
              <w:rPr>
                <w:b/>
                <w:color w:val="FFFFFF" w:themeColor="background1"/>
                <w:sz w:val="18"/>
              </w:rPr>
            </w:pPr>
            <w:r w:rsidRPr="00B5518A">
              <w:rPr>
                <w:b/>
                <w:color w:val="FFFFFF" w:themeColor="background1"/>
                <w:sz w:val="18"/>
              </w:rPr>
              <w:t>Country</w:t>
            </w:r>
          </w:p>
        </w:tc>
        <w:tc>
          <w:tcPr>
            <w:tcW w:w="774" w:type="pct"/>
            <w:shd w:val="clear" w:color="auto" w:fill="005677"/>
          </w:tcPr>
          <w:p w14:paraId="2DC769FC" w14:textId="77777777" w:rsidR="00706155" w:rsidRPr="00B5518A" w:rsidRDefault="00706155" w:rsidP="00706155">
            <w:pPr>
              <w:spacing w:before="0" w:after="40"/>
              <w:rPr>
                <w:b/>
                <w:color w:val="FFFFFF" w:themeColor="background1"/>
                <w:sz w:val="18"/>
              </w:rPr>
            </w:pPr>
            <w:r w:rsidRPr="00B5518A">
              <w:rPr>
                <w:b/>
                <w:color w:val="FFFFFF" w:themeColor="background1"/>
                <w:sz w:val="18"/>
              </w:rPr>
              <w:t>Public Stocks</w:t>
            </w:r>
          </w:p>
        </w:tc>
        <w:tc>
          <w:tcPr>
            <w:tcW w:w="613" w:type="pct"/>
            <w:shd w:val="clear" w:color="auto" w:fill="005677"/>
          </w:tcPr>
          <w:p w14:paraId="5639A576" w14:textId="77777777" w:rsidR="00706155" w:rsidRPr="00B5518A" w:rsidRDefault="00706155" w:rsidP="00706155">
            <w:pPr>
              <w:spacing w:before="0" w:after="40"/>
              <w:rPr>
                <w:b/>
                <w:color w:val="FFFFFF" w:themeColor="background1"/>
                <w:sz w:val="18"/>
              </w:rPr>
            </w:pPr>
            <w:r w:rsidRPr="00B5518A">
              <w:rPr>
                <w:b/>
                <w:color w:val="FFFFFF" w:themeColor="background1"/>
                <w:sz w:val="18"/>
              </w:rPr>
              <w:t>Industry Obligation</w:t>
            </w:r>
          </w:p>
        </w:tc>
        <w:tc>
          <w:tcPr>
            <w:tcW w:w="834" w:type="pct"/>
            <w:shd w:val="clear" w:color="auto" w:fill="005677"/>
          </w:tcPr>
          <w:p w14:paraId="7C8D938E" w14:textId="77777777" w:rsidR="00706155" w:rsidRPr="00B5518A" w:rsidRDefault="00706155" w:rsidP="00706155">
            <w:pPr>
              <w:spacing w:before="0" w:after="40"/>
              <w:rPr>
                <w:b/>
                <w:color w:val="FFFFFF" w:themeColor="background1"/>
                <w:sz w:val="18"/>
              </w:rPr>
            </w:pPr>
            <w:r w:rsidRPr="00B5518A">
              <w:rPr>
                <w:b/>
                <w:color w:val="FFFFFF" w:themeColor="background1"/>
                <w:sz w:val="18"/>
              </w:rPr>
              <w:t>Tickets</w:t>
            </w:r>
          </w:p>
        </w:tc>
        <w:tc>
          <w:tcPr>
            <w:tcW w:w="993" w:type="pct"/>
            <w:shd w:val="clear" w:color="auto" w:fill="005677"/>
          </w:tcPr>
          <w:p w14:paraId="5E6299CF" w14:textId="77777777" w:rsidR="00706155" w:rsidRPr="00B5518A" w:rsidRDefault="00706155" w:rsidP="00706155">
            <w:pPr>
              <w:spacing w:before="0" w:after="40"/>
              <w:rPr>
                <w:b/>
                <w:color w:val="FFFFFF" w:themeColor="background1"/>
                <w:sz w:val="18"/>
              </w:rPr>
            </w:pPr>
            <w:r w:rsidRPr="00B5518A">
              <w:rPr>
                <w:b/>
                <w:color w:val="FFFFFF" w:themeColor="background1"/>
                <w:sz w:val="18"/>
              </w:rPr>
              <w:t>Funding</w:t>
            </w:r>
          </w:p>
        </w:tc>
        <w:tc>
          <w:tcPr>
            <w:tcW w:w="961" w:type="pct"/>
            <w:shd w:val="clear" w:color="auto" w:fill="005677"/>
          </w:tcPr>
          <w:p w14:paraId="07B37158" w14:textId="77777777" w:rsidR="00706155" w:rsidRPr="00B5518A" w:rsidRDefault="00706155" w:rsidP="00706155">
            <w:pPr>
              <w:spacing w:before="0" w:after="40"/>
              <w:rPr>
                <w:b/>
                <w:color w:val="FFFFFF" w:themeColor="background1"/>
                <w:sz w:val="18"/>
              </w:rPr>
            </w:pPr>
            <w:r w:rsidRPr="00B5518A">
              <w:rPr>
                <w:b/>
                <w:color w:val="FFFFFF" w:themeColor="background1"/>
                <w:sz w:val="18"/>
              </w:rPr>
              <w:t>Administration</w:t>
            </w:r>
          </w:p>
        </w:tc>
      </w:tr>
      <w:tr w:rsidR="00706155" w:rsidRPr="008029B2" w14:paraId="5038F4FE"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tcPr>
          <w:p w14:paraId="21F526AA" w14:textId="77777777" w:rsidR="00706155" w:rsidRPr="008029B2" w:rsidRDefault="00706155" w:rsidP="00706155">
            <w:pPr>
              <w:spacing w:before="0" w:after="40"/>
              <w:rPr>
                <w:color w:val="000000"/>
                <w:sz w:val="18"/>
              </w:rPr>
            </w:pPr>
            <w:r w:rsidRPr="008029B2">
              <w:rPr>
                <w:color w:val="000000"/>
                <w:sz w:val="18"/>
              </w:rPr>
              <w:t>Australia</w:t>
            </w:r>
          </w:p>
        </w:tc>
        <w:tc>
          <w:tcPr>
            <w:tcW w:w="774" w:type="pct"/>
            <w:shd w:val="clear" w:color="auto" w:fill="FFFFFF" w:themeFill="background1"/>
          </w:tcPr>
          <w:p w14:paraId="54D9087F" w14:textId="77777777" w:rsidR="00706155" w:rsidRPr="008029B2" w:rsidRDefault="00706155" w:rsidP="00706155">
            <w:pPr>
              <w:spacing w:before="0" w:after="40"/>
              <w:jc w:val="center"/>
              <w:rPr>
                <w:sz w:val="18"/>
              </w:rPr>
            </w:pPr>
            <w:r w:rsidRPr="008029B2">
              <w:rPr>
                <w:sz w:val="18"/>
              </w:rPr>
              <w:t>No</w:t>
            </w:r>
          </w:p>
        </w:tc>
        <w:tc>
          <w:tcPr>
            <w:tcW w:w="613" w:type="pct"/>
            <w:shd w:val="clear" w:color="auto" w:fill="FFFFFF" w:themeFill="background1"/>
          </w:tcPr>
          <w:p w14:paraId="2527C794" w14:textId="77777777" w:rsidR="00706155" w:rsidRPr="008029B2" w:rsidRDefault="00706155" w:rsidP="00706155">
            <w:pPr>
              <w:spacing w:before="0" w:after="40"/>
              <w:jc w:val="center"/>
              <w:rPr>
                <w:sz w:val="18"/>
              </w:rPr>
            </w:pPr>
            <w:r w:rsidRPr="008029B2">
              <w:rPr>
                <w:sz w:val="18"/>
              </w:rPr>
              <w:t>No</w:t>
            </w:r>
          </w:p>
        </w:tc>
        <w:tc>
          <w:tcPr>
            <w:tcW w:w="834" w:type="pct"/>
            <w:shd w:val="clear" w:color="auto" w:fill="FFFFFF" w:themeFill="background1"/>
          </w:tcPr>
          <w:p w14:paraId="022051A2"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2CE877AA" w14:textId="77777777" w:rsidR="00706155" w:rsidRPr="008029B2" w:rsidRDefault="00706155" w:rsidP="00706155">
            <w:pPr>
              <w:spacing w:before="0" w:after="40"/>
              <w:jc w:val="center"/>
              <w:rPr>
                <w:sz w:val="18"/>
              </w:rPr>
            </w:pPr>
            <w:r w:rsidRPr="008029B2">
              <w:rPr>
                <w:sz w:val="18"/>
              </w:rPr>
              <w:t>Budget</w:t>
            </w:r>
          </w:p>
        </w:tc>
        <w:tc>
          <w:tcPr>
            <w:tcW w:w="961" w:type="pct"/>
            <w:shd w:val="clear" w:color="auto" w:fill="FFFFFF" w:themeFill="background1"/>
          </w:tcPr>
          <w:p w14:paraId="6D4376FF" w14:textId="77777777" w:rsidR="00706155" w:rsidRPr="008029B2" w:rsidRDefault="00706155" w:rsidP="00706155">
            <w:pPr>
              <w:spacing w:before="0" w:after="40"/>
              <w:jc w:val="center"/>
              <w:rPr>
                <w:sz w:val="18"/>
              </w:rPr>
            </w:pPr>
            <w:r w:rsidRPr="008029B2">
              <w:rPr>
                <w:sz w:val="18"/>
              </w:rPr>
              <w:t>Department</w:t>
            </w:r>
          </w:p>
        </w:tc>
      </w:tr>
      <w:tr w:rsidR="00706155" w:rsidRPr="008029B2" w14:paraId="3FB0A808"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tcPr>
          <w:p w14:paraId="341BA4E4" w14:textId="77777777" w:rsidR="00706155" w:rsidRPr="008029B2" w:rsidRDefault="00706155" w:rsidP="00706155">
            <w:pPr>
              <w:spacing w:before="0" w:after="40"/>
              <w:rPr>
                <w:color w:val="000000"/>
                <w:sz w:val="18"/>
              </w:rPr>
            </w:pPr>
            <w:r w:rsidRPr="008029B2">
              <w:rPr>
                <w:color w:val="000000"/>
                <w:sz w:val="18"/>
              </w:rPr>
              <w:t>Japan</w:t>
            </w:r>
          </w:p>
        </w:tc>
        <w:tc>
          <w:tcPr>
            <w:tcW w:w="774" w:type="pct"/>
            <w:shd w:val="clear" w:color="auto" w:fill="FFFFFF" w:themeFill="background1"/>
          </w:tcPr>
          <w:p w14:paraId="239198E5" w14:textId="77777777" w:rsidR="00706155" w:rsidRPr="008029B2" w:rsidRDefault="00706155" w:rsidP="00706155">
            <w:pPr>
              <w:spacing w:before="0" w:after="40"/>
              <w:jc w:val="center"/>
              <w:rPr>
                <w:sz w:val="18"/>
              </w:rPr>
            </w:pPr>
            <w:r w:rsidRPr="008029B2">
              <w:rPr>
                <w:sz w:val="18"/>
              </w:rPr>
              <w:t>Yes</w:t>
            </w:r>
          </w:p>
        </w:tc>
        <w:tc>
          <w:tcPr>
            <w:tcW w:w="613" w:type="pct"/>
            <w:shd w:val="clear" w:color="auto" w:fill="FFFFFF" w:themeFill="background1"/>
          </w:tcPr>
          <w:p w14:paraId="23A34968"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4A43E7CF" w14:textId="77777777" w:rsidR="00706155" w:rsidRPr="008029B2" w:rsidRDefault="00706155" w:rsidP="00706155">
            <w:pPr>
              <w:spacing w:before="0" w:after="40"/>
              <w:jc w:val="center"/>
              <w:rPr>
                <w:sz w:val="18"/>
              </w:rPr>
            </w:pPr>
            <w:r w:rsidRPr="008029B2">
              <w:rPr>
                <w:sz w:val="18"/>
              </w:rPr>
              <w:t>No</w:t>
            </w:r>
          </w:p>
        </w:tc>
        <w:tc>
          <w:tcPr>
            <w:tcW w:w="993" w:type="pct"/>
            <w:shd w:val="clear" w:color="auto" w:fill="FFFFFF" w:themeFill="background1"/>
          </w:tcPr>
          <w:p w14:paraId="2A20BF8D" w14:textId="77777777" w:rsidR="00706155" w:rsidRPr="008029B2" w:rsidRDefault="00706155" w:rsidP="00706155">
            <w:pPr>
              <w:spacing w:before="0" w:after="40"/>
              <w:jc w:val="center"/>
              <w:rPr>
                <w:sz w:val="18"/>
              </w:rPr>
            </w:pPr>
            <w:r w:rsidRPr="008029B2">
              <w:rPr>
                <w:sz w:val="18"/>
              </w:rPr>
              <w:t>Budget &amp; Pass Through</w:t>
            </w:r>
          </w:p>
        </w:tc>
        <w:tc>
          <w:tcPr>
            <w:tcW w:w="961" w:type="pct"/>
            <w:shd w:val="clear" w:color="auto" w:fill="FFFFFF" w:themeFill="background1"/>
          </w:tcPr>
          <w:p w14:paraId="45614569" w14:textId="77777777" w:rsidR="00706155" w:rsidRPr="008029B2" w:rsidRDefault="00706155" w:rsidP="00706155">
            <w:pPr>
              <w:spacing w:before="0" w:after="40"/>
              <w:jc w:val="center"/>
              <w:rPr>
                <w:sz w:val="18"/>
              </w:rPr>
            </w:pPr>
            <w:r w:rsidRPr="008029B2">
              <w:rPr>
                <w:sz w:val="18"/>
              </w:rPr>
              <w:t>Department</w:t>
            </w:r>
          </w:p>
        </w:tc>
      </w:tr>
      <w:tr w:rsidR="00706155" w:rsidRPr="008029B2" w14:paraId="1271F060"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tcPr>
          <w:p w14:paraId="772B2168" w14:textId="77777777" w:rsidR="00706155" w:rsidRPr="008029B2" w:rsidRDefault="00706155" w:rsidP="00706155">
            <w:pPr>
              <w:spacing w:before="0" w:after="40"/>
              <w:rPr>
                <w:color w:val="000000"/>
                <w:sz w:val="18"/>
              </w:rPr>
            </w:pPr>
            <w:r w:rsidRPr="008029B2">
              <w:rPr>
                <w:color w:val="000000"/>
                <w:sz w:val="18"/>
              </w:rPr>
              <w:t>Korea</w:t>
            </w:r>
          </w:p>
        </w:tc>
        <w:tc>
          <w:tcPr>
            <w:tcW w:w="774" w:type="pct"/>
            <w:shd w:val="clear" w:color="auto" w:fill="FFFFFF" w:themeFill="background1"/>
          </w:tcPr>
          <w:p w14:paraId="4CAD7F34" w14:textId="77777777" w:rsidR="00706155" w:rsidRPr="008029B2" w:rsidRDefault="00706155" w:rsidP="00706155">
            <w:pPr>
              <w:spacing w:before="0" w:after="40"/>
              <w:jc w:val="center"/>
              <w:rPr>
                <w:sz w:val="18"/>
              </w:rPr>
            </w:pPr>
            <w:r w:rsidRPr="008029B2">
              <w:rPr>
                <w:sz w:val="18"/>
              </w:rPr>
              <w:t>Yes</w:t>
            </w:r>
          </w:p>
        </w:tc>
        <w:tc>
          <w:tcPr>
            <w:tcW w:w="613" w:type="pct"/>
            <w:shd w:val="clear" w:color="auto" w:fill="FFFFFF" w:themeFill="background1"/>
          </w:tcPr>
          <w:p w14:paraId="36F5C170"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0D0AAD79" w14:textId="77777777" w:rsidR="00706155" w:rsidRPr="008029B2" w:rsidRDefault="00706155" w:rsidP="00706155">
            <w:pPr>
              <w:spacing w:before="0" w:after="40"/>
              <w:jc w:val="center"/>
              <w:rPr>
                <w:sz w:val="18"/>
              </w:rPr>
            </w:pPr>
            <w:r w:rsidRPr="008029B2">
              <w:rPr>
                <w:sz w:val="18"/>
              </w:rPr>
              <w:t>No</w:t>
            </w:r>
          </w:p>
        </w:tc>
        <w:tc>
          <w:tcPr>
            <w:tcW w:w="993" w:type="pct"/>
            <w:shd w:val="clear" w:color="auto" w:fill="FFFFFF" w:themeFill="background1"/>
          </w:tcPr>
          <w:p w14:paraId="6DADAEE1" w14:textId="77777777" w:rsidR="00706155" w:rsidRPr="008029B2" w:rsidRDefault="00706155" w:rsidP="00706155">
            <w:pPr>
              <w:spacing w:before="0" w:after="40"/>
              <w:jc w:val="center"/>
              <w:rPr>
                <w:sz w:val="18"/>
              </w:rPr>
            </w:pPr>
            <w:r w:rsidRPr="008029B2">
              <w:rPr>
                <w:sz w:val="18"/>
              </w:rPr>
              <w:t>Budget &amp; Pass Through</w:t>
            </w:r>
          </w:p>
        </w:tc>
        <w:tc>
          <w:tcPr>
            <w:tcW w:w="961" w:type="pct"/>
            <w:shd w:val="clear" w:color="auto" w:fill="FFFFFF" w:themeFill="background1"/>
          </w:tcPr>
          <w:p w14:paraId="3B1AE939" w14:textId="77777777" w:rsidR="00706155" w:rsidRPr="008029B2" w:rsidRDefault="00706155" w:rsidP="00706155">
            <w:pPr>
              <w:spacing w:before="0" w:after="40"/>
              <w:jc w:val="center"/>
              <w:rPr>
                <w:sz w:val="18"/>
              </w:rPr>
            </w:pPr>
            <w:r w:rsidRPr="008029B2">
              <w:rPr>
                <w:sz w:val="18"/>
              </w:rPr>
              <w:t>SOE</w:t>
            </w:r>
          </w:p>
        </w:tc>
      </w:tr>
      <w:tr w:rsidR="00706155" w:rsidRPr="008029B2" w14:paraId="3BAFF378"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vAlign w:val="center"/>
          </w:tcPr>
          <w:p w14:paraId="381F3CFC" w14:textId="77777777" w:rsidR="00706155" w:rsidRPr="008029B2" w:rsidRDefault="00706155" w:rsidP="00706155">
            <w:pPr>
              <w:spacing w:before="0" w:after="40"/>
              <w:rPr>
                <w:rFonts w:eastAsia="Times New Roman" w:cs="Arial"/>
                <w:color w:val="000000"/>
                <w:sz w:val="18"/>
              </w:rPr>
            </w:pPr>
            <w:r w:rsidRPr="008029B2">
              <w:rPr>
                <w:rFonts w:eastAsia="Times New Roman" w:cs="Arial"/>
                <w:color w:val="000000"/>
                <w:sz w:val="18"/>
              </w:rPr>
              <w:t>Austria</w:t>
            </w:r>
          </w:p>
        </w:tc>
        <w:tc>
          <w:tcPr>
            <w:tcW w:w="774" w:type="pct"/>
            <w:shd w:val="clear" w:color="auto" w:fill="FFFFFF" w:themeFill="background1"/>
          </w:tcPr>
          <w:p w14:paraId="21736C89" w14:textId="77777777" w:rsidR="00706155" w:rsidRPr="008029B2" w:rsidRDefault="00706155" w:rsidP="00706155">
            <w:pPr>
              <w:spacing w:before="0" w:after="40"/>
              <w:jc w:val="center"/>
              <w:rPr>
                <w:sz w:val="18"/>
              </w:rPr>
            </w:pPr>
            <w:r w:rsidRPr="008029B2">
              <w:rPr>
                <w:sz w:val="18"/>
              </w:rPr>
              <w:t>Yes</w:t>
            </w:r>
          </w:p>
        </w:tc>
        <w:tc>
          <w:tcPr>
            <w:tcW w:w="613" w:type="pct"/>
            <w:shd w:val="clear" w:color="auto" w:fill="FFFFFF" w:themeFill="background1"/>
          </w:tcPr>
          <w:p w14:paraId="64178734" w14:textId="77777777" w:rsidR="00706155" w:rsidRPr="008029B2" w:rsidRDefault="00706155" w:rsidP="00706155">
            <w:pPr>
              <w:spacing w:before="0" w:after="40"/>
              <w:jc w:val="center"/>
              <w:rPr>
                <w:sz w:val="18"/>
              </w:rPr>
            </w:pPr>
            <w:r w:rsidRPr="008029B2">
              <w:rPr>
                <w:sz w:val="18"/>
              </w:rPr>
              <w:t>Hybrid</w:t>
            </w:r>
          </w:p>
        </w:tc>
        <w:tc>
          <w:tcPr>
            <w:tcW w:w="834" w:type="pct"/>
            <w:shd w:val="clear" w:color="auto" w:fill="FFFFFF" w:themeFill="background1"/>
          </w:tcPr>
          <w:p w14:paraId="75AAC202" w14:textId="77777777" w:rsidR="00706155" w:rsidRPr="008029B2" w:rsidRDefault="00706155" w:rsidP="00706155">
            <w:pPr>
              <w:spacing w:before="0" w:after="40"/>
              <w:jc w:val="center"/>
              <w:rPr>
                <w:sz w:val="18"/>
              </w:rPr>
            </w:pPr>
            <w:r w:rsidRPr="008029B2">
              <w:rPr>
                <w:sz w:val="18"/>
              </w:rPr>
              <w:t>No</w:t>
            </w:r>
          </w:p>
        </w:tc>
        <w:tc>
          <w:tcPr>
            <w:tcW w:w="993" w:type="pct"/>
            <w:shd w:val="clear" w:color="auto" w:fill="FFFFFF" w:themeFill="background1"/>
          </w:tcPr>
          <w:p w14:paraId="32E1CB0D" w14:textId="77777777" w:rsidR="00706155" w:rsidRPr="008029B2" w:rsidRDefault="00706155" w:rsidP="00706155">
            <w:pPr>
              <w:spacing w:before="0" w:after="40"/>
              <w:jc w:val="center"/>
              <w:rPr>
                <w:sz w:val="18"/>
              </w:rPr>
            </w:pPr>
            <w:r w:rsidRPr="008029B2">
              <w:rPr>
                <w:sz w:val="18"/>
              </w:rPr>
              <w:t>Pass Through</w:t>
            </w:r>
          </w:p>
        </w:tc>
        <w:tc>
          <w:tcPr>
            <w:tcW w:w="961" w:type="pct"/>
            <w:shd w:val="clear" w:color="auto" w:fill="FFFFFF" w:themeFill="background1"/>
          </w:tcPr>
          <w:p w14:paraId="1B37832C" w14:textId="77777777" w:rsidR="00706155" w:rsidRPr="008029B2" w:rsidRDefault="00706155" w:rsidP="00706155">
            <w:pPr>
              <w:spacing w:before="0" w:after="40"/>
              <w:jc w:val="center"/>
              <w:rPr>
                <w:sz w:val="18"/>
              </w:rPr>
            </w:pPr>
            <w:r w:rsidRPr="008029B2">
              <w:rPr>
                <w:sz w:val="18"/>
              </w:rPr>
              <w:t>Private Agency</w:t>
            </w:r>
          </w:p>
        </w:tc>
      </w:tr>
      <w:tr w:rsidR="00706155" w:rsidRPr="008029B2" w14:paraId="362680A2"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681C1D2E" w14:textId="77777777" w:rsidR="00706155" w:rsidRPr="008029B2" w:rsidRDefault="006A6B29" w:rsidP="00706155">
            <w:pPr>
              <w:spacing w:before="0" w:after="40"/>
              <w:rPr>
                <w:rFonts w:eastAsia="Times New Roman" w:cs="Arial"/>
                <w:color w:val="000000"/>
                <w:sz w:val="18"/>
              </w:rPr>
            </w:pPr>
            <w:hyperlink r:id="rId24" w:tgtFrame="_blank" w:tooltip="Energy Security - Finland" w:history="1">
              <w:r w:rsidR="00706155" w:rsidRPr="008029B2">
                <w:rPr>
                  <w:rFonts w:eastAsia="Times New Roman" w:cs="Arial"/>
                  <w:color w:val="000000"/>
                  <w:sz w:val="18"/>
                </w:rPr>
                <w:t>Finland</w:t>
              </w:r>
            </w:hyperlink>
          </w:p>
        </w:tc>
        <w:tc>
          <w:tcPr>
            <w:tcW w:w="774" w:type="pct"/>
            <w:shd w:val="clear" w:color="auto" w:fill="FFFFFF" w:themeFill="background1"/>
          </w:tcPr>
          <w:p w14:paraId="19985EB5" w14:textId="77777777" w:rsidR="00706155" w:rsidRPr="008029B2" w:rsidRDefault="00706155" w:rsidP="00706155">
            <w:pPr>
              <w:spacing w:before="0" w:after="40"/>
              <w:jc w:val="center"/>
              <w:rPr>
                <w:sz w:val="18"/>
              </w:rPr>
            </w:pPr>
            <w:r w:rsidRPr="008029B2">
              <w:rPr>
                <w:sz w:val="18"/>
              </w:rPr>
              <w:t>Yes</w:t>
            </w:r>
          </w:p>
        </w:tc>
        <w:tc>
          <w:tcPr>
            <w:tcW w:w="613" w:type="pct"/>
            <w:shd w:val="clear" w:color="auto" w:fill="FFFFFF" w:themeFill="background1"/>
          </w:tcPr>
          <w:p w14:paraId="0575F5F0"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1968A3CC" w14:textId="1FA1C57B" w:rsidR="00706155" w:rsidRPr="008029B2" w:rsidRDefault="00B5518A" w:rsidP="00706155">
            <w:pPr>
              <w:spacing w:before="0" w:after="40"/>
              <w:jc w:val="center"/>
              <w:rPr>
                <w:sz w:val="18"/>
              </w:rPr>
            </w:pPr>
            <w:r>
              <w:rPr>
                <w:sz w:val="16"/>
                <w:szCs w:val="18"/>
              </w:rPr>
              <w:t xml:space="preserve"> </w:t>
            </w:r>
            <w:r w:rsidR="00706155" w:rsidRPr="00B5518A">
              <w:rPr>
                <w:sz w:val="18"/>
              </w:rPr>
              <w:t>Yes (not used)</w:t>
            </w:r>
          </w:p>
        </w:tc>
        <w:tc>
          <w:tcPr>
            <w:tcW w:w="993" w:type="pct"/>
            <w:shd w:val="clear" w:color="auto" w:fill="FFFFFF" w:themeFill="background1"/>
          </w:tcPr>
          <w:p w14:paraId="5E609802" w14:textId="77777777" w:rsidR="00706155" w:rsidRPr="008029B2" w:rsidRDefault="00706155" w:rsidP="00706155">
            <w:pPr>
              <w:spacing w:before="0" w:after="40"/>
              <w:jc w:val="center"/>
              <w:rPr>
                <w:sz w:val="18"/>
              </w:rPr>
            </w:pPr>
            <w:r w:rsidRPr="008029B2">
              <w:rPr>
                <w:sz w:val="18"/>
              </w:rPr>
              <w:t>Levy &amp; Pass Through</w:t>
            </w:r>
          </w:p>
        </w:tc>
        <w:tc>
          <w:tcPr>
            <w:tcW w:w="961" w:type="pct"/>
            <w:shd w:val="clear" w:color="auto" w:fill="FFFFFF" w:themeFill="background1"/>
          </w:tcPr>
          <w:p w14:paraId="3AB468D5" w14:textId="77777777" w:rsidR="00706155" w:rsidRPr="008029B2" w:rsidRDefault="00706155" w:rsidP="00706155">
            <w:pPr>
              <w:spacing w:before="0" w:after="40"/>
              <w:jc w:val="center"/>
              <w:rPr>
                <w:sz w:val="18"/>
              </w:rPr>
            </w:pPr>
            <w:r w:rsidRPr="008029B2">
              <w:rPr>
                <w:sz w:val="18"/>
              </w:rPr>
              <w:t>Public Agency</w:t>
            </w:r>
          </w:p>
        </w:tc>
      </w:tr>
      <w:tr w:rsidR="00706155" w:rsidRPr="008029B2" w14:paraId="041A88FA"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vAlign w:val="center"/>
          </w:tcPr>
          <w:p w14:paraId="7E2184BD" w14:textId="77777777" w:rsidR="00706155" w:rsidRPr="008029B2" w:rsidRDefault="006A6B29" w:rsidP="00706155">
            <w:pPr>
              <w:spacing w:before="0" w:after="40"/>
              <w:rPr>
                <w:rFonts w:eastAsia="Times New Roman" w:cs="Arial"/>
                <w:color w:val="000000"/>
                <w:sz w:val="18"/>
              </w:rPr>
            </w:pPr>
            <w:hyperlink r:id="rId25" w:tgtFrame="_blank" w:tooltip="Energy Security - France" w:history="1">
              <w:r w:rsidR="00706155" w:rsidRPr="008029B2">
                <w:rPr>
                  <w:rFonts w:eastAsia="Times New Roman" w:cs="Arial"/>
                  <w:color w:val="000000"/>
                  <w:sz w:val="18"/>
                </w:rPr>
                <w:t>France</w:t>
              </w:r>
            </w:hyperlink>
          </w:p>
        </w:tc>
        <w:tc>
          <w:tcPr>
            <w:tcW w:w="1388" w:type="pct"/>
            <w:gridSpan w:val="2"/>
            <w:shd w:val="clear" w:color="auto" w:fill="FFFFFF" w:themeFill="background1"/>
          </w:tcPr>
          <w:p w14:paraId="66EE4836" w14:textId="77777777" w:rsidR="00706155" w:rsidRPr="008029B2" w:rsidRDefault="00706155" w:rsidP="00706155">
            <w:pPr>
              <w:spacing w:before="0" w:after="40"/>
              <w:jc w:val="center"/>
              <w:rPr>
                <w:sz w:val="16"/>
                <w:szCs w:val="18"/>
              </w:rPr>
            </w:pPr>
            <w:r w:rsidRPr="008029B2">
              <w:rPr>
                <w:sz w:val="16"/>
                <w:szCs w:val="18"/>
              </w:rPr>
              <w:t>Industry must pay for oil stored in public facilities</w:t>
            </w:r>
          </w:p>
        </w:tc>
        <w:tc>
          <w:tcPr>
            <w:tcW w:w="834" w:type="pct"/>
            <w:shd w:val="clear" w:color="auto" w:fill="FFFFFF" w:themeFill="background1"/>
          </w:tcPr>
          <w:p w14:paraId="5E551BB4"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0214AB4D" w14:textId="77777777" w:rsidR="00706155" w:rsidRPr="008029B2" w:rsidRDefault="00706155" w:rsidP="00706155">
            <w:pPr>
              <w:spacing w:before="0" w:after="40"/>
              <w:jc w:val="center"/>
              <w:rPr>
                <w:sz w:val="18"/>
              </w:rPr>
            </w:pPr>
            <w:r w:rsidRPr="008029B2">
              <w:rPr>
                <w:sz w:val="18"/>
              </w:rPr>
              <w:t>Pass Through</w:t>
            </w:r>
          </w:p>
        </w:tc>
        <w:tc>
          <w:tcPr>
            <w:tcW w:w="961" w:type="pct"/>
            <w:shd w:val="clear" w:color="auto" w:fill="FFFFFF" w:themeFill="background1"/>
          </w:tcPr>
          <w:p w14:paraId="6DFC5374" w14:textId="77777777" w:rsidR="00706155" w:rsidRPr="008029B2" w:rsidRDefault="00706155" w:rsidP="00706155">
            <w:pPr>
              <w:spacing w:before="0" w:after="40"/>
              <w:jc w:val="center"/>
              <w:rPr>
                <w:sz w:val="18"/>
              </w:rPr>
            </w:pPr>
            <w:r w:rsidRPr="008029B2">
              <w:rPr>
                <w:sz w:val="18"/>
              </w:rPr>
              <w:t>Private Agency</w:t>
            </w:r>
          </w:p>
        </w:tc>
      </w:tr>
      <w:tr w:rsidR="00706155" w:rsidRPr="008029B2" w14:paraId="505AB040"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09057E5E" w14:textId="77777777" w:rsidR="00706155" w:rsidRPr="008029B2" w:rsidRDefault="006A6B29" w:rsidP="00706155">
            <w:pPr>
              <w:spacing w:before="0" w:after="40"/>
              <w:rPr>
                <w:rFonts w:eastAsia="Times New Roman" w:cs="Arial"/>
                <w:color w:val="000000"/>
                <w:sz w:val="18"/>
              </w:rPr>
            </w:pPr>
            <w:hyperlink r:id="rId26" w:tgtFrame="_blank" w:tooltip="Energy Security - Germany" w:history="1">
              <w:r w:rsidR="00706155" w:rsidRPr="008029B2">
                <w:rPr>
                  <w:rFonts w:eastAsia="Times New Roman" w:cs="Arial"/>
                  <w:color w:val="000000"/>
                  <w:sz w:val="18"/>
                </w:rPr>
                <w:t>Germany</w:t>
              </w:r>
            </w:hyperlink>
          </w:p>
        </w:tc>
        <w:tc>
          <w:tcPr>
            <w:tcW w:w="1388" w:type="pct"/>
            <w:gridSpan w:val="2"/>
            <w:shd w:val="clear" w:color="auto" w:fill="FFFFFF" w:themeFill="background1"/>
          </w:tcPr>
          <w:p w14:paraId="32CDA1AF" w14:textId="77777777" w:rsidR="00706155" w:rsidRPr="008029B2" w:rsidRDefault="00706155" w:rsidP="00706155">
            <w:pPr>
              <w:spacing w:before="0" w:after="40"/>
              <w:jc w:val="center"/>
              <w:rPr>
                <w:sz w:val="16"/>
                <w:szCs w:val="18"/>
              </w:rPr>
            </w:pPr>
            <w:r w:rsidRPr="008029B2">
              <w:rPr>
                <w:sz w:val="16"/>
                <w:szCs w:val="18"/>
              </w:rPr>
              <w:t>Industry must pay for oil stored in public facilities</w:t>
            </w:r>
          </w:p>
        </w:tc>
        <w:tc>
          <w:tcPr>
            <w:tcW w:w="834" w:type="pct"/>
            <w:shd w:val="clear" w:color="auto" w:fill="FFFFFF" w:themeFill="background1"/>
          </w:tcPr>
          <w:p w14:paraId="15C07FA2"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14ED2127" w14:textId="77777777" w:rsidR="00706155" w:rsidRPr="008029B2" w:rsidRDefault="00706155" w:rsidP="00706155">
            <w:pPr>
              <w:spacing w:before="0" w:after="40"/>
              <w:jc w:val="center"/>
              <w:rPr>
                <w:sz w:val="18"/>
              </w:rPr>
            </w:pPr>
            <w:r w:rsidRPr="008029B2">
              <w:rPr>
                <w:sz w:val="18"/>
              </w:rPr>
              <w:t>Pass Through</w:t>
            </w:r>
          </w:p>
        </w:tc>
        <w:tc>
          <w:tcPr>
            <w:tcW w:w="961" w:type="pct"/>
            <w:shd w:val="clear" w:color="auto" w:fill="FFFFFF" w:themeFill="background1"/>
          </w:tcPr>
          <w:p w14:paraId="681D8A97" w14:textId="77777777" w:rsidR="00706155" w:rsidRPr="008029B2" w:rsidRDefault="00706155" w:rsidP="00706155">
            <w:pPr>
              <w:spacing w:before="0" w:after="40"/>
              <w:jc w:val="center"/>
              <w:rPr>
                <w:sz w:val="18"/>
              </w:rPr>
            </w:pPr>
            <w:r w:rsidRPr="008029B2">
              <w:rPr>
                <w:sz w:val="18"/>
              </w:rPr>
              <w:t>Hybrid Agency</w:t>
            </w:r>
          </w:p>
        </w:tc>
      </w:tr>
      <w:tr w:rsidR="00706155" w:rsidRPr="008029B2" w14:paraId="49B542F0"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vAlign w:val="center"/>
          </w:tcPr>
          <w:p w14:paraId="42286895" w14:textId="77777777" w:rsidR="00706155" w:rsidRPr="008029B2" w:rsidRDefault="006A6B29" w:rsidP="00706155">
            <w:pPr>
              <w:spacing w:before="0" w:after="40"/>
              <w:rPr>
                <w:rFonts w:eastAsia="Times New Roman" w:cs="Arial"/>
                <w:color w:val="000000"/>
                <w:sz w:val="18"/>
              </w:rPr>
            </w:pPr>
            <w:hyperlink r:id="rId27" w:tgtFrame="_blank" w:tooltip="Energy Security - Greece" w:history="1">
              <w:r w:rsidR="00706155" w:rsidRPr="008029B2">
                <w:rPr>
                  <w:rFonts w:eastAsia="Times New Roman" w:cs="Arial"/>
                  <w:color w:val="000000"/>
                  <w:sz w:val="18"/>
                </w:rPr>
                <w:t>Greece</w:t>
              </w:r>
            </w:hyperlink>
          </w:p>
        </w:tc>
        <w:tc>
          <w:tcPr>
            <w:tcW w:w="774" w:type="pct"/>
            <w:shd w:val="clear" w:color="auto" w:fill="FFFFFF" w:themeFill="background1"/>
          </w:tcPr>
          <w:p w14:paraId="2340F419" w14:textId="77777777" w:rsidR="00706155" w:rsidRPr="008029B2" w:rsidRDefault="00706155" w:rsidP="00706155">
            <w:pPr>
              <w:spacing w:before="0" w:after="40"/>
              <w:jc w:val="center"/>
              <w:rPr>
                <w:sz w:val="18"/>
              </w:rPr>
            </w:pPr>
            <w:r w:rsidRPr="008029B2">
              <w:rPr>
                <w:sz w:val="18"/>
              </w:rPr>
              <w:t>No</w:t>
            </w:r>
          </w:p>
        </w:tc>
        <w:tc>
          <w:tcPr>
            <w:tcW w:w="613" w:type="pct"/>
            <w:shd w:val="clear" w:color="auto" w:fill="FFFFFF" w:themeFill="background1"/>
          </w:tcPr>
          <w:p w14:paraId="0DE12001"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10956D54"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4F8FF460" w14:textId="77777777" w:rsidR="00706155" w:rsidRPr="008029B2" w:rsidRDefault="00706155" w:rsidP="00706155">
            <w:pPr>
              <w:spacing w:before="0" w:after="40"/>
              <w:jc w:val="center"/>
              <w:rPr>
                <w:sz w:val="18"/>
              </w:rPr>
            </w:pPr>
            <w:r w:rsidRPr="008029B2">
              <w:rPr>
                <w:sz w:val="18"/>
              </w:rPr>
              <w:t>Pass Through</w:t>
            </w:r>
          </w:p>
        </w:tc>
        <w:tc>
          <w:tcPr>
            <w:tcW w:w="961" w:type="pct"/>
            <w:shd w:val="clear" w:color="auto" w:fill="FFFFFF" w:themeFill="background1"/>
          </w:tcPr>
          <w:p w14:paraId="609EDDF1" w14:textId="77777777" w:rsidR="00706155" w:rsidRPr="008029B2" w:rsidRDefault="00706155" w:rsidP="00706155">
            <w:pPr>
              <w:spacing w:before="0" w:after="40"/>
              <w:jc w:val="center"/>
              <w:rPr>
                <w:sz w:val="18"/>
              </w:rPr>
            </w:pPr>
            <w:r w:rsidRPr="008029B2">
              <w:rPr>
                <w:sz w:val="18"/>
              </w:rPr>
              <w:t>Department</w:t>
            </w:r>
          </w:p>
        </w:tc>
      </w:tr>
      <w:tr w:rsidR="00706155" w:rsidRPr="008029B2" w14:paraId="1F8D1744"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49D5C99A" w14:textId="77777777" w:rsidR="00706155" w:rsidRPr="008029B2" w:rsidRDefault="006A6B29" w:rsidP="00706155">
            <w:pPr>
              <w:spacing w:before="0" w:after="40"/>
              <w:rPr>
                <w:rFonts w:eastAsia="Times New Roman" w:cs="Arial"/>
                <w:color w:val="000000"/>
                <w:sz w:val="18"/>
              </w:rPr>
            </w:pPr>
            <w:hyperlink r:id="rId28" w:tgtFrame="_blank" w:tooltip="Energy Security - Hungary" w:history="1">
              <w:r w:rsidR="00706155" w:rsidRPr="008029B2">
                <w:rPr>
                  <w:rFonts w:eastAsia="Times New Roman" w:cs="Arial"/>
                  <w:color w:val="000000"/>
                  <w:sz w:val="18"/>
                </w:rPr>
                <w:t>Hungary</w:t>
              </w:r>
            </w:hyperlink>
          </w:p>
        </w:tc>
        <w:tc>
          <w:tcPr>
            <w:tcW w:w="1388" w:type="pct"/>
            <w:gridSpan w:val="2"/>
            <w:shd w:val="clear" w:color="auto" w:fill="FFFFFF" w:themeFill="background1"/>
          </w:tcPr>
          <w:p w14:paraId="29A3FFAC" w14:textId="77777777" w:rsidR="00706155" w:rsidRPr="008029B2" w:rsidRDefault="00706155" w:rsidP="00706155">
            <w:pPr>
              <w:spacing w:before="0" w:after="40"/>
              <w:jc w:val="center"/>
              <w:rPr>
                <w:sz w:val="18"/>
              </w:rPr>
            </w:pPr>
            <w:r w:rsidRPr="008029B2">
              <w:rPr>
                <w:sz w:val="16"/>
                <w:szCs w:val="18"/>
              </w:rPr>
              <w:t>Industry pays for Public Stocks</w:t>
            </w:r>
          </w:p>
        </w:tc>
        <w:tc>
          <w:tcPr>
            <w:tcW w:w="834" w:type="pct"/>
            <w:shd w:val="clear" w:color="auto" w:fill="FFFFFF" w:themeFill="background1"/>
          </w:tcPr>
          <w:p w14:paraId="13944473" w14:textId="77777777" w:rsidR="00706155" w:rsidRPr="008029B2" w:rsidRDefault="00706155" w:rsidP="00706155">
            <w:pPr>
              <w:spacing w:before="0" w:after="40"/>
              <w:jc w:val="center"/>
              <w:rPr>
                <w:sz w:val="18"/>
              </w:rPr>
            </w:pPr>
            <w:r w:rsidRPr="008029B2">
              <w:rPr>
                <w:sz w:val="18"/>
              </w:rPr>
              <w:t xml:space="preserve">No </w:t>
            </w:r>
            <w:r w:rsidRPr="008029B2">
              <w:rPr>
                <w:sz w:val="16"/>
                <w:szCs w:val="18"/>
              </w:rPr>
              <w:t>(Seller)</w:t>
            </w:r>
          </w:p>
        </w:tc>
        <w:tc>
          <w:tcPr>
            <w:tcW w:w="993" w:type="pct"/>
            <w:shd w:val="clear" w:color="auto" w:fill="FFFFFF" w:themeFill="background1"/>
          </w:tcPr>
          <w:p w14:paraId="3A12B6E3" w14:textId="77777777" w:rsidR="00706155" w:rsidRPr="008029B2" w:rsidRDefault="00706155" w:rsidP="00706155">
            <w:pPr>
              <w:spacing w:before="0" w:after="40"/>
              <w:jc w:val="center"/>
              <w:rPr>
                <w:sz w:val="18"/>
              </w:rPr>
            </w:pPr>
            <w:r w:rsidRPr="008029B2">
              <w:rPr>
                <w:sz w:val="18"/>
              </w:rPr>
              <w:t>Pass Through</w:t>
            </w:r>
          </w:p>
        </w:tc>
        <w:tc>
          <w:tcPr>
            <w:tcW w:w="961" w:type="pct"/>
            <w:shd w:val="clear" w:color="auto" w:fill="FFFFFF" w:themeFill="background1"/>
          </w:tcPr>
          <w:p w14:paraId="7AFEE466" w14:textId="77777777" w:rsidR="00706155" w:rsidRPr="008029B2" w:rsidRDefault="00706155" w:rsidP="00706155">
            <w:pPr>
              <w:spacing w:before="0" w:after="40"/>
              <w:jc w:val="center"/>
              <w:rPr>
                <w:sz w:val="18"/>
              </w:rPr>
            </w:pPr>
            <w:r w:rsidRPr="008029B2">
              <w:rPr>
                <w:sz w:val="18"/>
              </w:rPr>
              <w:t>Private Agency</w:t>
            </w:r>
          </w:p>
        </w:tc>
      </w:tr>
      <w:tr w:rsidR="00706155" w:rsidRPr="008029B2" w14:paraId="2A3DD661"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vAlign w:val="center"/>
          </w:tcPr>
          <w:p w14:paraId="02C24913" w14:textId="77777777" w:rsidR="00706155" w:rsidRPr="008029B2" w:rsidRDefault="006A6B29" w:rsidP="00706155">
            <w:pPr>
              <w:spacing w:before="0" w:after="40"/>
              <w:rPr>
                <w:rFonts w:eastAsia="Times New Roman" w:cs="Arial"/>
                <w:color w:val="000000"/>
                <w:sz w:val="18"/>
              </w:rPr>
            </w:pPr>
            <w:hyperlink r:id="rId29" w:tgtFrame="_blank" w:tooltip="Energy Security - Italy" w:history="1">
              <w:r w:rsidR="00706155" w:rsidRPr="008029B2">
                <w:rPr>
                  <w:rFonts w:eastAsia="Times New Roman" w:cs="Arial"/>
                  <w:color w:val="000000"/>
                  <w:sz w:val="18"/>
                </w:rPr>
                <w:t>Italy</w:t>
              </w:r>
            </w:hyperlink>
          </w:p>
        </w:tc>
        <w:tc>
          <w:tcPr>
            <w:tcW w:w="774" w:type="pct"/>
            <w:shd w:val="clear" w:color="auto" w:fill="FFFFFF" w:themeFill="background1"/>
          </w:tcPr>
          <w:p w14:paraId="727A084F" w14:textId="77777777" w:rsidR="00706155" w:rsidRPr="008029B2" w:rsidRDefault="00706155" w:rsidP="00706155">
            <w:pPr>
              <w:spacing w:before="0" w:after="40"/>
              <w:jc w:val="center"/>
              <w:rPr>
                <w:sz w:val="18"/>
              </w:rPr>
            </w:pPr>
            <w:r w:rsidRPr="008029B2">
              <w:rPr>
                <w:sz w:val="18"/>
              </w:rPr>
              <w:t xml:space="preserve">Yes </w:t>
            </w:r>
            <w:r w:rsidRPr="008029B2">
              <w:rPr>
                <w:sz w:val="16"/>
                <w:szCs w:val="18"/>
              </w:rPr>
              <w:t>(started in 2014)</w:t>
            </w:r>
          </w:p>
        </w:tc>
        <w:tc>
          <w:tcPr>
            <w:tcW w:w="613" w:type="pct"/>
            <w:shd w:val="clear" w:color="auto" w:fill="FFFFFF" w:themeFill="background1"/>
          </w:tcPr>
          <w:p w14:paraId="4E9DB78F"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1397D945"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4376EA42" w14:textId="77777777" w:rsidR="00706155" w:rsidRPr="008029B2" w:rsidRDefault="00706155" w:rsidP="00706155">
            <w:pPr>
              <w:spacing w:before="0" w:after="40"/>
              <w:jc w:val="center"/>
              <w:rPr>
                <w:sz w:val="18"/>
              </w:rPr>
            </w:pPr>
            <w:r w:rsidRPr="008029B2">
              <w:rPr>
                <w:sz w:val="18"/>
              </w:rPr>
              <w:t>Pass Through</w:t>
            </w:r>
          </w:p>
        </w:tc>
        <w:tc>
          <w:tcPr>
            <w:tcW w:w="961" w:type="pct"/>
            <w:shd w:val="clear" w:color="auto" w:fill="FFFFFF" w:themeFill="background1"/>
          </w:tcPr>
          <w:p w14:paraId="4405B6AD" w14:textId="77777777" w:rsidR="00706155" w:rsidRPr="008029B2" w:rsidRDefault="00706155" w:rsidP="00706155">
            <w:pPr>
              <w:spacing w:before="0" w:after="40"/>
              <w:jc w:val="center"/>
              <w:rPr>
                <w:sz w:val="18"/>
              </w:rPr>
            </w:pPr>
            <w:r w:rsidRPr="008029B2">
              <w:rPr>
                <w:sz w:val="18"/>
              </w:rPr>
              <w:t>SOE &amp; Department</w:t>
            </w:r>
          </w:p>
        </w:tc>
      </w:tr>
      <w:tr w:rsidR="00706155" w:rsidRPr="008029B2" w14:paraId="75308BBB"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2155FE50" w14:textId="77777777" w:rsidR="00706155" w:rsidRPr="008029B2" w:rsidRDefault="006A6B29" w:rsidP="00706155">
            <w:pPr>
              <w:spacing w:before="0" w:after="40"/>
              <w:rPr>
                <w:rFonts w:eastAsia="Times New Roman" w:cs="Arial"/>
                <w:color w:val="000000"/>
                <w:sz w:val="18"/>
              </w:rPr>
            </w:pPr>
            <w:hyperlink r:id="rId30" w:tgtFrame="_blank" w:tooltip="Energy Security - Luxembourg" w:history="1">
              <w:r w:rsidR="00706155" w:rsidRPr="008029B2">
                <w:rPr>
                  <w:rFonts w:eastAsia="Times New Roman" w:cs="Arial"/>
                  <w:color w:val="000000"/>
                  <w:sz w:val="18"/>
                </w:rPr>
                <w:t>Luxembourg</w:t>
              </w:r>
            </w:hyperlink>
          </w:p>
        </w:tc>
        <w:tc>
          <w:tcPr>
            <w:tcW w:w="774" w:type="pct"/>
            <w:shd w:val="clear" w:color="auto" w:fill="FFFFFF" w:themeFill="background1"/>
          </w:tcPr>
          <w:p w14:paraId="7B0A09F1" w14:textId="77777777" w:rsidR="00706155" w:rsidRPr="008029B2" w:rsidRDefault="00706155" w:rsidP="00706155">
            <w:pPr>
              <w:spacing w:before="0" w:after="40"/>
              <w:jc w:val="center"/>
              <w:rPr>
                <w:sz w:val="18"/>
              </w:rPr>
            </w:pPr>
            <w:r w:rsidRPr="008029B2">
              <w:rPr>
                <w:sz w:val="18"/>
              </w:rPr>
              <w:t xml:space="preserve">Yes </w:t>
            </w:r>
            <w:r w:rsidRPr="008029B2">
              <w:rPr>
                <w:sz w:val="16"/>
                <w:szCs w:val="18"/>
              </w:rPr>
              <w:t>(started in 2015)</w:t>
            </w:r>
          </w:p>
        </w:tc>
        <w:tc>
          <w:tcPr>
            <w:tcW w:w="613" w:type="pct"/>
            <w:shd w:val="clear" w:color="auto" w:fill="FFFFFF" w:themeFill="background1"/>
          </w:tcPr>
          <w:p w14:paraId="4B2C5C4F"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7FDE22FA"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07F0E0B0" w14:textId="77777777" w:rsidR="00706155" w:rsidRPr="008029B2" w:rsidRDefault="00706155" w:rsidP="00706155">
            <w:pPr>
              <w:spacing w:before="0" w:after="40"/>
              <w:jc w:val="center"/>
              <w:rPr>
                <w:sz w:val="18"/>
              </w:rPr>
            </w:pPr>
            <w:r w:rsidRPr="008029B2">
              <w:rPr>
                <w:sz w:val="18"/>
              </w:rPr>
              <w:t>Pass Through</w:t>
            </w:r>
          </w:p>
        </w:tc>
        <w:tc>
          <w:tcPr>
            <w:tcW w:w="961" w:type="pct"/>
            <w:shd w:val="clear" w:color="auto" w:fill="FFFFFF" w:themeFill="background1"/>
          </w:tcPr>
          <w:p w14:paraId="3EE869D3" w14:textId="77777777" w:rsidR="00706155" w:rsidRPr="008029B2" w:rsidRDefault="00706155" w:rsidP="00706155">
            <w:pPr>
              <w:spacing w:before="0" w:after="40"/>
              <w:jc w:val="center"/>
              <w:rPr>
                <w:sz w:val="18"/>
              </w:rPr>
            </w:pPr>
            <w:r w:rsidRPr="008029B2">
              <w:rPr>
                <w:sz w:val="18"/>
              </w:rPr>
              <w:t>Public Agency</w:t>
            </w:r>
          </w:p>
        </w:tc>
      </w:tr>
      <w:tr w:rsidR="00706155" w:rsidRPr="008029B2" w14:paraId="2F6A26E0"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vAlign w:val="center"/>
          </w:tcPr>
          <w:p w14:paraId="626D7B18" w14:textId="77777777" w:rsidR="00706155" w:rsidRPr="008029B2" w:rsidRDefault="006A6B29" w:rsidP="00706155">
            <w:pPr>
              <w:spacing w:before="0" w:after="40"/>
              <w:rPr>
                <w:rFonts w:eastAsia="Times New Roman" w:cs="Arial"/>
                <w:color w:val="000000"/>
                <w:sz w:val="18"/>
              </w:rPr>
            </w:pPr>
            <w:hyperlink r:id="rId31" w:tgtFrame="_blank" w:tooltip="Energy Security - The Netherlands" w:history="1">
              <w:r w:rsidR="00706155" w:rsidRPr="008029B2">
                <w:rPr>
                  <w:rFonts w:eastAsia="Times New Roman" w:cs="Arial"/>
                  <w:color w:val="000000"/>
                  <w:sz w:val="18"/>
                </w:rPr>
                <w:t>Netherlands</w:t>
              </w:r>
            </w:hyperlink>
          </w:p>
        </w:tc>
        <w:tc>
          <w:tcPr>
            <w:tcW w:w="774" w:type="pct"/>
            <w:shd w:val="clear" w:color="auto" w:fill="FFFFFF" w:themeFill="background1"/>
          </w:tcPr>
          <w:p w14:paraId="1D1832CB" w14:textId="77777777" w:rsidR="00706155" w:rsidRPr="008029B2" w:rsidRDefault="00706155" w:rsidP="00706155">
            <w:pPr>
              <w:spacing w:before="0" w:after="40"/>
              <w:jc w:val="center"/>
              <w:rPr>
                <w:sz w:val="18"/>
              </w:rPr>
            </w:pPr>
            <w:r w:rsidRPr="008029B2">
              <w:rPr>
                <w:sz w:val="18"/>
              </w:rPr>
              <w:t>Yes</w:t>
            </w:r>
          </w:p>
        </w:tc>
        <w:tc>
          <w:tcPr>
            <w:tcW w:w="613" w:type="pct"/>
            <w:shd w:val="clear" w:color="auto" w:fill="FFFFFF" w:themeFill="background1"/>
          </w:tcPr>
          <w:p w14:paraId="44615EE0"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66819C00" w14:textId="77777777" w:rsidR="00706155" w:rsidRPr="008029B2" w:rsidRDefault="00706155" w:rsidP="00706155">
            <w:pPr>
              <w:spacing w:before="0" w:after="40"/>
              <w:jc w:val="center"/>
              <w:rPr>
                <w:sz w:val="18"/>
              </w:rPr>
            </w:pPr>
            <w:r w:rsidRPr="00B5518A">
              <w:rPr>
                <w:sz w:val="18"/>
              </w:rPr>
              <w:t>Yes (domestic only)</w:t>
            </w:r>
          </w:p>
        </w:tc>
        <w:tc>
          <w:tcPr>
            <w:tcW w:w="993" w:type="pct"/>
            <w:shd w:val="clear" w:color="auto" w:fill="FFFFFF" w:themeFill="background1"/>
          </w:tcPr>
          <w:p w14:paraId="154AAA08" w14:textId="77777777" w:rsidR="00706155" w:rsidRPr="008029B2" w:rsidRDefault="00706155" w:rsidP="00706155">
            <w:pPr>
              <w:spacing w:before="0" w:after="40"/>
              <w:jc w:val="center"/>
              <w:rPr>
                <w:sz w:val="18"/>
              </w:rPr>
            </w:pPr>
            <w:r w:rsidRPr="008029B2">
              <w:rPr>
                <w:sz w:val="18"/>
              </w:rPr>
              <w:t>Levy &amp; Pass Through</w:t>
            </w:r>
          </w:p>
        </w:tc>
        <w:tc>
          <w:tcPr>
            <w:tcW w:w="961" w:type="pct"/>
            <w:shd w:val="clear" w:color="auto" w:fill="FFFFFF" w:themeFill="background1"/>
          </w:tcPr>
          <w:p w14:paraId="6C69BC4F" w14:textId="77777777" w:rsidR="00706155" w:rsidRPr="008029B2" w:rsidRDefault="00706155" w:rsidP="00706155">
            <w:pPr>
              <w:spacing w:before="0" w:after="40"/>
              <w:jc w:val="center"/>
              <w:rPr>
                <w:sz w:val="18"/>
              </w:rPr>
            </w:pPr>
            <w:r w:rsidRPr="008029B2">
              <w:rPr>
                <w:sz w:val="18"/>
              </w:rPr>
              <w:t>Public Agency</w:t>
            </w:r>
          </w:p>
        </w:tc>
      </w:tr>
      <w:tr w:rsidR="00706155" w:rsidRPr="008029B2" w14:paraId="7B292047"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166222BD" w14:textId="77777777" w:rsidR="00706155" w:rsidRPr="008029B2" w:rsidRDefault="006A6B29" w:rsidP="00706155">
            <w:pPr>
              <w:spacing w:before="0" w:after="40"/>
              <w:rPr>
                <w:rFonts w:eastAsia="Times New Roman" w:cs="Arial"/>
                <w:color w:val="000000"/>
                <w:sz w:val="18"/>
              </w:rPr>
            </w:pPr>
            <w:hyperlink r:id="rId32" w:tgtFrame="_blank" w:tooltip="Energy Security - Poland" w:history="1">
              <w:r w:rsidR="00706155" w:rsidRPr="008029B2">
                <w:rPr>
                  <w:rFonts w:eastAsia="Times New Roman" w:cs="Arial"/>
                  <w:color w:val="000000"/>
                  <w:sz w:val="18"/>
                </w:rPr>
                <w:t>Poland</w:t>
              </w:r>
            </w:hyperlink>
          </w:p>
        </w:tc>
        <w:tc>
          <w:tcPr>
            <w:tcW w:w="774" w:type="pct"/>
            <w:shd w:val="clear" w:color="auto" w:fill="FFFFFF" w:themeFill="background1"/>
          </w:tcPr>
          <w:p w14:paraId="4DDB6B73" w14:textId="77777777" w:rsidR="00706155" w:rsidRPr="008029B2" w:rsidRDefault="00706155" w:rsidP="00706155">
            <w:pPr>
              <w:spacing w:before="0" w:after="40"/>
              <w:jc w:val="center"/>
              <w:rPr>
                <w:sz w:val="18"/>
              </w:rPr>
            </w:pPr>
            <w:r w:rsidRPr="008029B2">
              <w:rPr>
                <w:sz w:val="18"/>
              </w:rPr>
              <w:t>Yes</w:t>
            </w:r>
          </w:p>
        </w:tc>
        <w:tc>
          <w:tcPr>
            <w:tcW w:w="613" w:type="pct"/>
            <w:shd w:val="clear" w:color="auto" w:fill="FFFFFF" w:themeFill="background1"/>
          </w:tcPr>
          <w:p w14:paraId="75B5FCDB"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61B254D8" w14:textId="59602435" w:rsidR="00706155" w:rsidRPr="00B5518A" w:rsidRDefault="00706155" w:rsidP="00706155">
            <w:pPr>
              <w:spacing w:before="0" w:after="40"/>
              <w:jc w:val="center"/>
              <w:rPr>
                <w:sz w:val="16"/>
                <w:szCs w:val="18"/>
                <w:shd w:val="clear" w:color="auto" w:fill="D9D9D9"/>
              </w:rPr>
            </w:pPr>
            <w:r w:rsidRPr="00B5518A">
              <w:rPr>
                <w:sz w:val="18"/>
              </w:rPr>
              <w:t>Yes (but not used)</w:t>
            </w:r>
          </w:p>
        </w:tc>
        <w:tc>
          <w:tcPr>
            <w:tcW w:w="993" w:type="pct"/>
            <w:shd w:val="clear" w:color="auto" w:fill="FFFFFF" w:themeFill="background1"/>
          </w:tcPr>
          <w:p w14:paraId="116DC2E8" w14:textId="77777777" w:rsidR="00706155" w:rsidRPr="008029B2" w:rsidRDefault="00706155" w:rsidP="00706155">
            <w:pPr>
              <w:spacing w:before="0" w:after="40"/>
              <w:jc w:val="center"/>
              <w:rPr>
                <w:sz w:val="18"/>
              </w:rPr>
            </w:pPr>
            <w:r w:rsidRPr="008029B2">
              <w:rPr>
                <w:sz w:val="18"/>
              </w:rPr>
              <w:t>Budget &amp; Pass Through</w:t>
            </w:r>
          </w:p>
        </w:tc>
        <w:tc>
          <w:tcPr>
            <w:tcW w:w="961" w:type="pct"/>
            <w:shd w:val="clear" w:color="auto" w:fill="FFFFFF" w:themeFill="background1"/>
          </w:tcPr>
          <w:p w14:paraId="3ADAE8FE" w14:textId="77777777" w:rsidR="00706155" w:rsidRPr="008029B2" w:rsidRDefault="00706155" w:rsidP="00706155">
            <w:pPr>
              <w:spacing w:before="0" w:after="40"/>
              <w:jc w:val="center"/>
              <w:rPr>
                <w:sz w:val="18"/>
              </w:rPr>
            </w:pPr>
            <w:r w:rsidRPr="008029B2">
              <w:rPr>
                <w:sz w:val="18"/>
              </w:rPr>
              <w:t>Public Agency</w:t>
            </w:r>
          </w:p>
        </w:tc>
      </w:tr>
      <w:tr w:rsidR="00706155" w:rsidRPr="008029B2" w14:paraId="1C565075"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vAlign w:val="center"/>
          </w:tcPr>
          <w:p w14:paraId="73C832FC" w14:textId="77777777" w:rsidR="00706155" w:rsidRPr="008029B2" w:rsidRDefault="006A6B29" w:rsidP="00706155">
            <w:pPr>
              <w:spacing w:before="0" w:after="40"/>
              <w:rPr>
                <w:rFonts w:eastAsia="Times New Roman" w:cs="Arial"/>
                <w:color w:val="000000"/>
                <w:sz w:val="18"/>
              </w:rPr>
            </w:pPr>
            <w:hyperlink r:id="rId33" w:tgtFrame="_blank" w:tooltip="Energy Security - Portugal" w:history="1">
              <w:r w:rsidR="00706155" w:rsidRPr="008029B2">
                <w:rPr>
                  <w:rFonts w:eastAsia="Times New Roman" w:cs="Arial"/>
                  <w:color w:val="000000"/>
                  <w:sz w:val="18"/>
                </w:rPr>
                <w:t>Portugal</w:t>
              </w:r>
            </w:hyperlink>
          </w:p>
        </w:tc>
        <w:tc>
          <w:tcPr>
            <w:tcW w:w="774" w:type="pct"/>
            <w:shd w:val="clear" w:color="auto" w:fill="FFFFFF" w:themeFill="background1"/>
          </w:tcPr>
          <w:p w14:paraId="6258DCAA" w14:textId="77777777" w:rsidR="00706155" w:rsidRPr="008029B2" w:rsidRDefault="00706155" w:rsidP="00706155">
            <w:pPr>
              <w:spacing w:before="0" w:after="40"/>
              <w:jc w:val="center"/>
              <w:rPr>
                <w:sz w:val="18"/>
              </w:rPr>
            </w:pPr>
            <w:r w:rsidRPr="008029B2">
              <w:rPr>
                <w:sz w:val="18"/>
              </w:rPr>
              <w:t>Yes</w:t>
            </w:r>
          </w:p>
        </w:tc>
        <w:tc>
          <w:tcPr>
            <w:tcW w:w="613" w:type="pct"/>
            <w:shd w:val="clear" w:color="auto" w:fill="FFFFFF" w:themeFill="background1"/>
          </w:tcPr>
          <w:p w14:paraId="06164DFD"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20BA896D"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2F36DC03" w14:textId="77777777" w:rsidR="00706155" w:rsidRPr="008029B2" w:rsidRDefault="00706155" w:rsidP="00706155">
            <w:pPr>
              <w:spacing w:before="0" w:after="40"/>
              <w:jc w:val="center"/>
              <w:rPr>
                <w:sz w:val="18"/>
              </w:rPr>
            </w:pPr>
            <w:r w:rsidRPr="008029B2">
              <w:rPr>
                <w:sz w:val="18"/>
              </w:rPr>
              <w:t>Levy &amp; Pass Through</w:t>
            </w:r>
          </w:p>
        </w:tc>
        <w:tc>
          <w:tcPr>
            <w:tcW w:w="961" w:type="pct"/>
            <w:shd w:val="clear" w:color="auto" w:fill="FFFFFF" w:themeFill="background1"/>
          </w:tcPr>
          <w:p w14:paraId="66A32884" w14:textId="77777777" w:rsidR="00706155" w:rsidRPr="008029B2" w:rsidRDefault="00706155" w:rsidP="00706155">
            <w:pPr>
              <w:spacing w:before="0" w:after="40"/>
              <w:jc w:val="center"/>
              <w:rPr>
                <w:sz w:val="18"/>
              </w:rPr>
            </w:pPr>
            <w:r w:rsidRPr="008029B2">
              <w:rPr>
                <w:sz w:val="18"/>
              </w:rPr>
              <w:t>Public Agency</w:t>
            </w:r>
          </w:p>
        </w:tc>
      </w:tr>
      <w:tr w:rsidR="00706155" w:rsidRPr="008029B2" w14:paraId="78058C1E"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36595FB0" w14:textId="77777777" w:rsidR="00706155" w:rsidRPr="008029B2" w:rsidRDefault="006A6B29" w:rsidP="00706155">
            <w:pPr>
              <w:spacing w:before="0" w:after="40"/>
              <w:rPr>
                <w:rFonts w:eastAsia="Times New Roman" w:cs="Arial"/>
                <w:color w:val="000000"/>
                <w:sz w:val="18"/>
              </w:rPr>
            </w:pPr>
            <w:hyperlink r:id="rId34" w:tgtFrame="_blank" w:tooltip="Energy Security - Spain" w:history="1">
              <w:r w:rsidR="00706155" w:rsidRPr="008029B2">
                <w:rPr>
                  <w:rFonts w:eastAsia="Times New Roman" w:cs="Arial"/>
                  <w:color w:val="000000"/>
                  <w:sz w:val="18"/>
                </w:rPr>
                <w:t>Spain</w:t>
              </w:r>
            </w:hyperlink>
          </w:p>
        </w:tc>
        <w:tc>
          <w:tcPr>
            <w:tcW w:w="774" w:type="pct"/>
            <w:shd w:val="clear" w:color="auto" w:fill="FFFFFF" w:themeFill="background1"/>
          </w:tcPr>
          <w:p w14:paraId="1DB8ABD8" w14:textId="77777777" w:rsidR="00706155" w:rsidRPr="008029B2" w:rsidRDefault="00706155" w:rsidP="00706155">
            <w:pPr>
              <w:spacing w:before="0" w:after="40"/>
              <w:jc w:val="center"/>
              <w:rPr>
                <w:sz w:val="18"/>
              </w:rPr>
            </w:pPr>
            <w:r w:rsidRPr="008029B2">
              <w:rPr>
                <w:sz w:val="18"/>
              </w:rPr>
              <w:t xml:space="preserve">Yes </w:t>
            </w:r>
            <w:r w:rsidRPr="008029B2">
              <w:rPr>
                <w:sz w:val="16"/>
                <w:szCs w:val="18"/>
              </w:rPr>
              <w:t>(paid for by business)</w:t>
            </w:r>
          </w:p>
        </w:tc>
        <w:tc>
          <w:tcPr>
            <w:tcW w:w="613" w:type="pct"/>
            <w:shd w:val="clear" w:color="auto" w:fill="FFFFFF" w:themeFill="background1"/>
          </w:tcPr>
          <w:p w14:paraId="50A54D31"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708F34D4"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40EA95A9" w14:textId="77777777" w:rsidR="00706155" w:rsidRPr="008029B2" w:rsidRDefault="00706155" w:rsidP="00706155">
            <w:pPr>
              <w:spacing w:before="0" w:after="40"/>
              <w:jc w:val="center"/>
              <w:rPr>
                <w:sz w:val="18"/>
              </w:rPr>
            </w:pPr>
            <w:r w:rsidRPr="008029B2">
              <w:rPr>
                <w:sz w:val="18"/>
              </w:rPr>
              <w:t>Pass Through</w:t>
            </w:r>
          </w:p>
        </w:tc>
        <w:tc>
          <w:tcPr>
            <w:tcW w:w="961" w:type="pct"/>
            <w:shd w:val="clear" w:color="auto" w:fill="FFFFFF" w:themeFill="background1"/>
          </w:tcPr>
          <w:p w14:paraId="027C5CEC" w14:textId="77777777" w:rsidR="00706155" w:rsidRPr="008029B2" w:rsidRDefault="00706155" w:rsidP="00706155">
            <w:pPr>
              <w:spacing w:before="0" w:after="40"/>
              <w:jc w:val="center"/>
              <w:rPr>
                <w:sz w:val="18"/>
              </w:rPr>
            </w:pPr>
            <w:r w:rsidRPr="008029B2">
              <w:rPr>
                <w:sz w:val="18"/>
              </w:rPr>
              <w:t>Private Agency</w:t>
            </w:r>
          </w:p>
        </w:tc>
      </w:tr>
      <w:tr w:rsidR="00706155" w:rsidRPr="008029B2" w14:paraId="50D8C4CF"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vAlign w:val="center"/>
          </w:tcPr>
          <w:p w14:paraId="07DD588F" w14:textId="77777777" w:rsidR="00706155" w:rsidRPr="008029B2" w:rsidRDefault="006A6B29" w:rsidP="00706155">
            <w:pPr>
              <w:spacing w:before="0" w:after="40"/>
              <w:rPr>
                <w:rFonts w:eastAsia="Times New Roman" w:cs="Arial"/>
                <w:color w:val="000000"/>
                <w:sz w:val="18"/>
              </w:rPr>
            </w:pPr>
            <w:hyperlink r:id="rId35" w:tgtFrame="_blank" w:tooltip="Energy Security - Sweden" w:history="1">
              <w:r w:rsidR="00706155" w:rsidRPr="008029B2">
                <w:rPr>
                  <w:rFonts w:eastAsia="Times New Roman" w:cs="Arial"/>
                  <w:color w:val="000000"/>
                  <w:sz w:val="18"/>
                </w:rPr>
                <w:t>Sweden</w:t>
              </w:r>
            </w:hyperlink>
          </w:p>
        </w:tc>
        <w:tc>
          <w:tcPr>
            <w:tcW w:w="774" w:type="pct"/>
            <w:shd w:val="clear" w:color="auto" w:fill="FFFFFF" w:themeFill="background1"/>
          </w:tcPr>
          <w:p w14:paraId="519B2184" w14:textId="77777777" w:rsidR="00706155" w:rsidRPr="008029B2" w:rsidRDefault="00706155" w:rsidP="00706155">
            <w:pPr>
              <w:spacing w:before="0" w:after="40"/>
              <w:jc w:val="center"/>
              <w:rPr>
                <w:sz w:val="18"/>
              </w:rPr>
            </w:pPr>
            <w:r w:rsidRPr="008029B2">
              <w:rPr>
                <w:sz w:val="18"/>
              </w:rPr>
              <w:t>No</w:t>
            </w:r>
          </w:p>
        </w:tc>
        <w:tc>
          <w:tcPr>
            <w:tcW w:w="613" w:type="pct"/>
            <w:shd w:val="clear" w:color="auto" w:fill="FFFFFF" w:themeFill="background1"/>
          </w:tcPr>
          <w:p w14:paraId="4761AE4D"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0968A8A7"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0F1AB8A2" w14:textId="77777777" w:rsidR="00706155" w:rsidRPr="008029B2" w:rsidRDefault="00706155" w:rsidP="00706155">
            <w:pPr>
              <w:spacing w:before="0" w:after="40"/>
              <w:jc w:val="center"/>
              <w:rPr>
                <w:sz w:val="18"/>
              </w:rPr>
            </w:pPr>
            <w:r w:rsidRPr="008029B2">
              <w:rPr>
                <w:sz w:val="18"/>
              </w:rPr>
              <w:t>Pass Through</w:t>
            </w:r>
          </w:p>
        </w:tc>
        <w:tc>
          <w:tcPr>
            <w:tcW w:w="961" w:type="pct"/>
            <w:shd w:val="clear" w:color="auto" w:fill="FFFFFF" w:themeFill="background1"/>
          </w:tcPr>
          <w:p w14:paraId="0F29C78A" w14:textId="77777777" w:rsidR="00706155" w:rsidRPr="008029B2" w:rsidRDefault="00706155" w:rsidP="00706155">
            <w:pPr>
              <w:spacing w:before="0" w:after="40"/>
              <w:jc w:val="center"/>
              <w:rPr>
                <w:sz w:val="18"/>
              </w:rPr>
            </w:pPr>
            <w:r w:rsidRPr="008029B2">
              <w:rPr>
                <w:sz w:val="18"/>
              </w:rPr>
              <w:t>Public Agency</w:t>
            </w:r>
          </w:p>
        </w:tc>
      </w:tr>
      <w:tr w:rsidR="00706155" w:rsidRPr="008029B2" w14:paraId="344E7C26"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27032493" w14:textId="77777777" w:rsidR="00706155" w:rsidRPr="008029B2" w:rsidRDefault="006A6B29" w:rsidP="00706155">
            <w:pPr>
              <w:spacing w:before="0" w:after="40"/>
              <w:rPr>
                <w:rFonts w:eastAsia="Times New Roman" w:cs="Arial"/>
                <w:color w:val="000000"/>
                <w:sz w:val="18"/>
              </w:rPr>
            </w:pPr>
            <w:hyperlink r:id="rId36" w:tgtFrame="_blank" w:tooltip="Energy Security - Switzerland" w:history="1">
              <w:r w:rsidR="00706155" w:rsidRPr="008029B2">
                <w:rPr>
                  <w:rFonts w:eastAsia="Times New Roman" w:cs="Arial"/>
                  <w:color w:val="000000"/>
                  <w:sz w:val="18"/>
                </w:rPr>
                <w:t>Switzerland</w:t>
              </w:r>
            </w:hyperlink>
          </w:p>
        </w:tc>
        <w:tc>
          <w:tcPr>
            <w:tcW w:w="774" w:type="pct"/>
            <w:shd w:val="clear" w:color="auto" w:fill="FFFFFF" w:themeFill="background1"/>
          </w:tcPr>
          <w:p w14:paraId="3E9EDA0B" w14:textId="77777777" w:rsidR="00706155" w:rsidRPr="008029B2" w:rsidRDefault="00706155" w:rsidP="00706155">
            <w:pPr>
              <w:spacing w:before="0" w:after="40"/>
              <w:jc w:val="center"/>
              <w:rPr>
                <w:sz w:val="18"/>
              </w:rPr>
            </w:pPr>
            <w:r w:rsidRPr="008029B2">
              <w:rPr>
                <w:sz w:val="18"/>
              </w:rPr>
              <w:t>No</w:t>
            </w:r>
          </w:p>
        </w:tc>
        <w:tc>
          <w:tcPr>
            <w:tcW w:w="613" w:type="pct"/>
            <w:shd w:val="clear" w:color="auto" w:fill="FFFFFF" w:themeFill="background1"/>
          </w:tcPr>
          <w:p w14:paraId="6F1FAC23"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2D1BBA3F" w14:textId="77777777" w:rsidR="00706155" w:rsidRPr="008029B2" w:rsidRDefault="00706155" w:rsidP="00706155">
            <w:pPr>
              <w:spacing w:before="0" w:after="40"/>
              <w:jc w:val="center"/>
              <w:rPr>
                <w:sz w:val="18"/>
              </w:rPr>
            </w:pPr>
            <w:r w:rsidRPr="008029B2">
              <w:rPr>
                <w:sz w:val="18"/>
              </w:rPr>
              <w:t>No</w:t>
            </w:r>
          </w:p>
        </w:tc>
        <w:tc>
          <w:tcPr>
            <w:tcW w:w="993" w:type="pct"/>
            <w:shd w:val="clear" w:color="auto" w:fill="FFFFFF" w:themeFill="background1"/>
          </w:tcPr>
          <w:p w14:paraId="1BC4BC5C" w14:textId="77777777" w:rsidR="00706155" w:rsidRPr="008029B2" w:rsidRDefault="00706155" w:rsidP="00706155">
            <w:pPr>
              <w:spacing w:before="0" w:after="40"/>
              <w:jc w:val="center"/>
              <w:rPr>
                <w:sz w:val="18"/>
              </w:rPr>
            </w:pPr>
            <w:r w:rsidRPr="008029B2">
              <w:rPr>
                <w:sz w:val="18"/>
              </w:rPr>
              <w:t>Levy</w:t>
            </w:r>
          </w:p>
        </w:tc>
        <w:tc>
          <w:tcPr>
            <w:tcW w:w="961" w:type="pct"/>
            <w:shd w:val="clear" w:color="auto" w:fill="FFFFFF" w:themeFill="background1"/>
          </w:tcPr>
          <w:p w14:paraId="657AD51C" w14:textId="77777777" w:rsidR="00706155" w:rsidRPr="008029B2" w:rsidRDefault="00706155" w:rsidP="00706155">
            <w:pPr>
              <w:spacing w:before="0" w:after="40"/>
              <w:jc w:val="center"/>
              <w:rPr>
                <w:sz w:val="18"/>
              </w:rPr>
            </w:pPr>
            <w:r w:rsidRPr="008029B2">
              <w:rPr>
                <w:sz w:val="18"/>
              </w:rPr>
              <w:t>Private Agency</w:t>
            </w:r>
          </w:p>
        </w:tc>
      </w:tr>
      <w:tr w:rsidR="00706155" w:rsidRPr="008029B2" w14:paraId="0EE17E1F"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vAlign w:val="center"/>
          </w:tcPr>
          <w:p w14:paraId="41FD83A3" w14:textId="77777777" w:rsidR="00706155" w:rsidRPr="008029B2" w:rsidRDefault="006A6B29" w:rsidP="00706155">
            <w:pPr>
              <w:spacing w:before="0" w:after="40"/>
              <w:rPr>
                <w:rFonts w:eastAsia="Times New Roman" w:cs="Arial"/>
                <w:color w:val="000000"/>
                <w:sz w:val="18"/>
              </w:rPr>
            </w:pPr>
            <w:hyperlink r:id="rId37" w:tgtFrame="_blank" w:tooltip="Energy Security - Turkey" w:history="1">
              <w:r w:rsidR="00706155" w:rsidRPr="008029B2">
                <w:rPr>
                  <w:rFonts w:eastAsia="Times New Roman" w:cs="Arial"/>
                  <w:color w:val="000000"/>
                  <w:sz w:val="18"/>
                </w:rPr>
                <w:t>Turkey</w:t>
              </w:r>
            </w:hyperlink>
          </w:p>
        </w:tc>
        <w:tc>
          <w:tcPr>
            <w:tcW w:w="774" w:type="pct"/>
            <w:shd w:val="clear" w:color="auto" w:fill="FFFFFF" w:themeFill="background1"/>
          </w:tcPr>
          <w:p w14:paraId="35AFE925" w14:textId="77777777" w:rsidR="00706155" w:rsidRPr="008029B2" w:rsidRDefault="00706155" w:rsidP="00706155">
            <w:pPr>
              <w:spacing w:before="0" w:after="40"/>
              <w:jc w:val="center"/>
              <w:rPr>
                <w:sz w:val="18"/>
              </w:rPr>
            </w:pPr>
            <w:r w:rsidRPr="008029B2">
              <w:rPr>
                <w:sz w:val="18"/>
              </w:rPr>
              <w:t>No</w:t>
            </w:r>
          </w:p>
        </w:tc>
        <w:tc>
          <w:tcPr>
            <w:tcW w:w="613" w:type="pct"/>
            <w:shd w:val="clear" w:color="auto" w:fill="FFFFFF" w:themeFill="background1"/>
          </w:tcPr>
          <w:p w14:paraId="388FFD9E"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070173B0" w14:textId="77777777" w:rsidR="00706155" w:rsidRPr="008029B2" w:rsidRDefault="00706155" w:rsidP="00706155">
            <w:pPr>
              <w:spacing w:before="0" w:after="40"/>
              <w:jc w:val="center"/>
              <w:rPr>
                <w:sz w:val="18"/>
              </w:rPr>
            </w:pPr>
            <w:r w:rsidRPr="008029B2">
              <w:rPr>
                <w:sz w:val="18"/>
              </w:rPr>
              <w:t>No</w:t>
            </w:r>
          </w:p>
        </w:tc>
        <w:tc>
          <w:tcPr>
            <w:tcW w:w="993" w:type="pct"/>
            <w:shd w:val="clear" w:color="auto" w:fill="FFFFFF" w:themeFill="background1"/>
          </w:tcPr>
          <w:p w14:paraId="5DBFDFE2" w14:textId="77777777" w:rsidR="00706155" w:rsidRPr="008029B2" w:rsidRDefault="00706155" w:rsidP="00706155">
            <w:pPr>
              <w:spacing w:before="0" w:after="40"/>
              <w:jc w:val="center"/>
              <w:rPr>
                <w:sz w:val="18"/>
              </w:rPr>
            </w:pPr>
            <w:r w:rsidRPr="008029B2">
              <w:rPr>
                <w:sz w:val="18"/>
              </w:rPr>
              <w:t>Pass Through</w:t>
            </w:r>
          </w:p>
        </w:tc>
        <w:tc>
          <w:tcPr>
            <w:tcW w:w="961" w:type="pct"/>
            <w:shd w:val="clear" w:color="auto" w:fill="FFFFFF" w:themeFill="background1"/>
          </w:tcPr>
          <w:p w14:paraId="24FCBCBE" w14:textId="77777777" w:rsidR="00706155" w:rsidRPr="008029B2" w:rsidRDefault="00706155" w:rsidP="00706155">
            <w:pPr>
              <w:spacing w:before="0" w:after="40"/>
              <w:jc w:val="center"/>
              <w:rPr>
                <w:sz w:val="18"/>
              </w:rPr>
            </w:pPr>
            <w:r w:rsidRPr="008029B2">
              <w:rPr>
                <w:sz w:val="18"/>
              </w:rPr>
              <w:t>Department</w:t>
            </w:r>
          </w:p>
        </w:tc>
      </w:tr>
      <w:tr w:rsidR="00706155" w:rsidRPr="008029B2" w14:paraId="64363923"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7BB02E78" w14:textId="77777777" w:rsidR="00706155" w:rsidRPr="008029B2" w:rsidRDefault="006A6B29" w:rsidP="00706155">
            <w:pPr>
              <w:spacing w:before="0" w:after="40"/>
              <w:rPr>
                <w:rFonts w:eastAsia="Times New Roman" w:cs="Arial"/>
                <w:color w:val="000000"/>
                <w:sz w:val="18"/>
              </w:rPr>
            </w:pPr>
            <w:hyperlink r:id="rId38" w:tgtFrame="_blank" w:tooltip="Energy Security - United Kindgom" w:history="1">
              <w:r w:rsidR="00706155" w:rsidRPr="008029B2">
                <w:rPr>
                  <w:rFonts w:eastAsia="Times New Roman" w:cs="Arial"/>
                  <w:color w:val="000000"/>
                  <w:sz w:val="18"/>
                </w:rPr>
                <w:t>UK</w:t>
              </w:r>
            </w:hyperlink>
          </w:p>
        </w:tc>
        <w:tc>
          <w:tcPr>
            <w:tcW w:w="774" w:type="pct"/>
            <w:shd w:val="clear" w:color="auto" w:fill="FFFFFF" w:themeFill="background1"/>
          </w:tcPr>
          <w:p w14:paraId="30F3AF2D" w14:textId="77777777" w:rsidR="00706155" w:rsidRPr="008029B2" w:rsidRDefault="00706155" w:rsidP="00706155">
            <w:pPr>
              <w:spacing w:before="0" w:after="40"/>
              <w:jc w:val="center"/>
              <w:rPr>
                <w:sz w:val="18"/>
              </w:rPr>
            </w:pPr>
            <w:r w:rsidRPr="008029B2">
              <w:rPr>
                <w:sz w:val="18"/>
              </w:rPr>
              <w:t>No</w:t>
            </w:r>
          </w:p>
        </w:tc>
        <w:tc>
          <w:tcPr>
            <w:tcW w:w="613" w:type="pct"/>
            <w:shd w:val="clear" w:color="auto" w:fill="FFFFFF" w:themeFill="background1"/>
          </w:tcPr>
          <w:p w14:paraId="0F941550"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3F0247DF"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558C1D7D" w14:textId="77777777" w:rsidR="00706155" w:rsidRPr="008029B2" w:rsidRDefault="00706155" w:rsidP="00706155">
            <w:pPr>
              <w:spacing w:before="0" w:after="40"/>
              <w:jc w:val="center"/>
              <w:rPr>
                <w:sz w:val="18"/>
              </w:rPr>
            </w:pPr>
            <w:r w:rsidRPr="008029B2">
              <w:rPr>
                <w:sz w:val="18"/>
              </w:rPr>
              <w:t>Consumer</w:t>
            </w:r>
          </w:p>
        </w:tc>
        <w:tc>
          <w:tcPr>
            <w:tcW w:w="961" w:type="pct"/>
            <w:shd w:val="clear" w:color="auto" w:fill="FFFFFF" w:themeFill="background1"/>
          </w:tcPr>
          <w:p w14:paraId="7B541854" w14:textId="77777777" w:rsidR="00706155" w:rsidRPr="008029B2" w:rsidRDefault="00706155" w:rsidP="00706155">
            <w:pPr>
              <w:spacing w:before="0" w:after="40"/>
              <w:jc w:val="center"/>
              <w:rPr>
                <w:sz w:val="18"/>
              </w:rPr>
            </w:pPr>
            <w:r w:rsidRPr="008029B2">
              <w:rPr>
                <w:sz w:val="18"/>
              </w:rPr>
              <w:t>Department</w:t>
            </w:r>
          </w:p>
        </w:tc>
      </w:tr>
    </w:tbl>
    <w:p w14:paraId="0F3ADFD7" w14:textId="77777777" w:rsidR="00706155" w:rsidRPr="008029B2" w:rsidRDefault="00706155" w:rsidP="00706155">
      <w:pPr>
        <w:spacing w:before="0" w:after="160" w:line="259" w:lineRule="auto"/>
        <w:rPr>
          <w:rFonts w:asciiTheme="minorHAnsi" w:hAnsiTheme="minorHAnsi"/>
          <w:sz w:val="20"/>
        </w:rPr>
      </w:pPr>
    </w:p>
    <w:tbl>
      <w:tblPr>
        <w:tblStyle w:val="TableGrid3"/>
        <w:tblW w:w="5000" w:type="pct"/>
        <w:tblLook w:val="04A0" w:firstRow="1" w:lastRow="0" w:firstColumn="1" w:lastColumn="0" w:noHBand="0" w:noVBand="1"/>
        <w:tblDescription w:val="As above, this table provides a summary of additional IEA member approaches to compliance from 2017. Countries are listed down the left hand side, with their approaches to various mechanisms outlined in the table. "/>
      </w:tblPr>
      <w:tblGrid>
        <w:gridCol w:w="1487"/>
        <w:gridCol w:w="1396"/>
        <w:gridCol w:w="1278"/>
        <w:gridCol w:w="1331"/>
        <w:gridCol w:w="1791"/>
        <w:gridCol w:w="1733"/>
      </w:tblGrid>
      <w:tr w:rsidR="00706155" w:rsidRPr="008029B2" w14:paraId="4F22AD5E" w14:textId="77777777" w:rsidTr="00B5518A">
        <w:trPr>
          <w:cnfStyle w:val="100000000000" w:firstRow="1" w:lastRow="0" w:firstColumn="0" w:lastColumn="0" w:oddVBand="0" w:evenVBand="0" w:oddHBand="0" w:evenHBand="0" w:firstRowFirstColumn="0" w:firstRowLastColumn="0" w:lastRowFirstColumn="0" w:lastRowLastColumn="0"/>
        </w:trPr>
        <w:tc>
          <w:tcPr>
            <w:tcW w:w="825" w:type="pct"/>
            <w:shd w:val="clear" w:color="auto" w:fill="56B4E9"/>
          </w:tcPr>
          <w:p w14:paraId="60A9F2B3" w14:textId="77777777" w:rsidR="00706155" w:rsidRPr="008029B2" w:rsidRDefault="00706155" w:rsidP="00706155">
            <w:pPr>
              <w:spacing w:before="0" w:after="40"/>
              <w:rPr>
                <w:color w:val="000000"/>
                <w:sz w:val="18"/>
              </w:rPr>
            </w:pPr>
            <w:r w:rsidRPr="008029B2">
              <w:rPr>
                <w:color w:val="000000"/>
                <w:sz w:val="18"/>
              </w:rPr>
              <w:t>USA</w:t>
            </w:r>
          </w:p>
        </w:tc>
        <w:tc>
          <w:tcPr>
            <w:tcW w:w="774" w:type="pct"/>
            <w:shd w:val="clear" w:color="auto" w:fill="FFFFFF" w:themeFill="background1"/>
          </w:tcPr>
          <w:p w14:paraId="72D0B4AF" w14:textId="77777777" w:rsidR="00706155" w:rsidRPr="008029B2" w:rsidRDefault="00706155" w:rsidP="00706155">
            <w:pPr>
              <w:spacing w:before="0" w:after="40"/>
              <w:jc w:val="center"/>
              <w:rPr>
                <w:sz w:val="18"/>
              </w:rPr>
            </w:pPr>
            <w:r w:rsidRPr="008029B2">
              <w:rPr>
                <w:sz w:val="18"/>
              </w:rPr>
              <w:t>Yes</w:t>
            </w:r>
          </w:p>
        </w:tc>
        <w:tc>
          <w:tcPr>
            <w:tcW w:w="709" w:type="pct"/>
            <w:shd w:val="clear" w:color="auto" w:fill="FFFFFF" w:themeFill="background1"/>
          </w:tcPr>
          <w:p w14:paraId="4BB0A0D9" w14:textId="77777777" w:rsidR="00706155" w:rsidRPr="008029B2" w:rsidRDefault="00706155" w:rsidP="00706155">
            <w:pPr>
              <w:spacing w:before="0" w:after="40"/>
              <w:jc w:val="center"/>
              <w:rPr>
                <w:sz w:val="18"/>
              </w:rPr>
            </w:pPr>
            <w:r w:rsidRPr="008029B2">
              <w:rPr>
                <w:sz w:val="18"/>
              </w:rPr>
              <w:t>No</w:t>
            </w:r>
          </w:p>
        </w:tc>
        <w:tc>
          <w:tcPr>
            <w:tcW w:w="738" w:type="pct"/>
            <w:shd w:val="clear" w:color="auto" w:fill="FFFFFF" w:themeFill="background1"/>
          </w:tcPr>
          <w:p w14:paraId="521787A9" w14:textId="77777777" w:rsidR="00706155" w:rsidRPr="008029B2" w:rsidRDefault="00706155" w:rsidP="00706155">
            <w:pPr>
              <w:spacing w:before="0" w:after="40"/>
              <w:jc w:val="center"/>
              <w:rPr>
                <w:sz w:val="18"/>
              </w:rPr>
            </w:pPr>
            <w:r w:rsidRPr="008029B2">
              <w:rPr>
                <w:sz w:val="18"/>
              </w:rPr>
              <w:t>No</w:t>
            </w:r>
          </w:p>
        </w:tc>
        <w:tc>
          <w:tcPr>
            <w:tcW w:w="993" w:type="pct"/>
            <w:shd w:val="clear" w:color="auto" w:fill="FFFFFF" w:themeFill="background1"/>
          </w:tcPr>
          <w:p w14:paraId="6BBC4EA3" w14:textId="77777777" w:rsidR="00706155" w:rsidRPr="008029B2" w:rsidRDefault="00706155" w:rsidP="00706155">
            <w:pPr>
              <w:spacing w:before="0" w:after="40"/>
              <w:jc w:val="center"/>
              <w:rPr>
                <w:sz w:val="18"/>
              </w:rPr>
            </w:pPr>
            <w:r w:rsidRPr="008029B2">
              <w:rPr>
                <w:sz w:val="18"/>
              </w:rPr>
              <w:t>Budget</w:t>
            </w:r>
          </w:p>
        </w:tc>
        <w:tc>
          <w:tcPr>
            <w:tcW w:w="961" w:type="pct"/>
            <w:shd w:val="clear" w:color="auto" w:fill="FFFFFF" w:themeFill="background1"/>
          </w:tcPr>
          <w:p w14:paraId="3221A0CD" w14:textId="77777777" w:rsidR="00706155" w:rsidRPr="008029B2" w:rsidRDefault="00706155" w:rsidP="00706155">
            <w:pPr>
              <w:spacing w:before="0" w:after="40"/>
              <w:jc w:val="center"/>
              <w:rPr>
                <w:sz w:val="18"/>
              </w:rPr>
            </w:pPr>
            <w:r w:rsidRPr="008029B2">
              <w:rPr>
                <w:sz w:val="18"/>
              </w:rPr>
              <w:t>Department</w:t>
            </w:r>
          </w:p>
        </w:tc>
      </w:tr>
      <w:tr w:rsidR="00706155" w:rsidRPr="008029B2" w14:paraId="5B6C89C8"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tcPr>
          <w:p w14:paraId="0061C146" w14:textId="77777777" w:rsidR="00706155" w:rsidRPr="008029B2" w:rsidRDefault="00706155" w:rsidP="00706155">
            <w:pPr>
              <w:spacing w:before="0" w:after="40"/>
              <w:rPr>
                <w:color w:val="000000"/>
                <w:sz w:val="18"/>
              </w:rPr>
            </w:pPr>
            <w:r w:rsidRPr="008029B2">
              <w:rPr>
                <w:color w:val="000000"/>
                <w:sz w:val="18"/>
              </w:rPr>
              <w:t>Canada</w:t>
            </w:r>
          </w:p>
        </w:tc>
        <w:tc>
          <w:tcPr>
            <w:tcW w:w="4175" w:type="pct"/>
            <w:gridSpan w:val="5"/>
            <w:shd w:val="clear" w:color="auto" w:fill="FFFFFF" w:themeFill="background1"/>
          </w:tcPr>
          <w:p w14:paraId="414050E7" w14:textId="77777777" w:rsidR="00706155" w:rsidRPr="008029B2" w:rsidRDefault="00706155" w:rsidP="00706155">
            <w:pPr>
              <w:spacing w:before="0" w:after="40"/>
              <w:jc w:val="center"/>
              <w:rPr>
                <w:sz w:val="18"/>
              </w:rPr>
            </w:pPr>
            <w:r w:rsidRPr="008029B2">
              <w:rPr>
                <w:sz w:val="18"/>
              </w:rPr>
              <w:t>Net Exporter: No stocks, tickets or industry obligation</w:t>
            </w:r>
          </w:p>
        </w:tc>
      </w:tr>
      <w:tr w:rsidR="00706155" w:rsidRPr="008029B2" w14:paraId="768642FD"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tcPr>
          <w:p w14:paraId="6DEE9A0A" w14:textId="77777777" w:rsidR="00706155" w:rsidRPr="008029B2" w:rsidRDefault="00706155" w:rsidP="00706155">
            <w:pPr>
              <w:spacing w:before="0" w:after="40"/>
              <w:rPr>
                <w:color w:val="000000"/>
                <w:sz w:val="18"/>
              </w:rPr>
            </w:pPr>
            <w:r w:rsidRPr="008029B2">
              <w:rPr>
                <w:color w:val="000000"/>
                <w:sz w:val="18"/>
              </w:rPr>
              <w:t>New Zealand</w:t>
            </w:r>
          </w:p>
        </w:tc>
        <w:tc>
          <w:tcPr>
            <w:tcW w:w="774" w:type="pct"/>
            <w:shd w:val="clear" w:color="auto" w:fill="FFFFFF" w:themeFill="background1"/>
          </w:tcPr>
          <w:p w14:paraId="75987069" w14:textId="77777777" w:rsidR="00706155" w:rsidRPr="008029B2" w:rsidRDefault="00706155" w:rsidP="00706155">
            <w:pPr>
              <w:spacing w:before="0" w:after="40"/>
              <w:jc w:val="center"/>
              <w:rPr>
                <w:sz w:val="18"/>
              </w:rPr>
            </w:pPr>
            <w:r w:rsidRPr="008029B2">
              <w:rPr>
                <w:sz w:val="18"/>
              </w:rPr>
              <w:t>No</w:t>
            </w:r>
          </w:p>
        </w:tc>
        <w:tc>
          <w:tcPr>
            <w:tcW w:w="709" w:type="pct"/>
            <w:shd w:val="clear" w:color="auto" w:fill="FFFFFF" w:themeFill="background1"/>
          </w:tcPr>
          <w:p w14:paraId="741D52DE" w14:textId="77777777" w:rsidR="00706155" w:rsidRPr="008029B2" w:rsidRDefault="00706155" w:rsidP="00706155">
            <w:pPr>
              <w:spacing w:before="0" w:after="40"/>
              <w:jc w:val="center"/>
              <w:rPr>
                <w:sz w:val="18"/>
              </w:rPr>
            </w:pPr>
            <w:r w:rsidRPr="008029B2">
              <w:rPr>
                <w:sz w:val="18"/>
              </w:rPr>
              <w:t>No</w:t>
            </w:r>
          </w:p>
        </w:tc>
        <w:tc>
          <w:tcPr>
            <w:tcW w:w="738" w:type="pct"/>
            <w:shd w:val="clear" w:color="auto" w:fill="FFFFFF" w:themeFill="background1"/>
          </w:tcPr>
          <w:p w14:paraId="2401100D"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57D190DF" w14:textId="77777777" w:rsidR="00706155" w:rsidRPr="008029B2" w:rsidRDefault="00706155" w:rsidP="00706155">
            <w:pPr>
              <w:spacing w:before="0" w:after="40"/>
              <w:jc w:val="center"/>
              <w:rPr>
                <w:sz w:val="18"/>
              </w:rPr>
            </w:pPr>
            <w:r w:rsidRPr="008029B2">
              <w:rPr>
                <w:sz w:val="18"/>
              </w:rPr>
              <w:t>Levy</w:t>
            </w:r>
          </w:p>
        </w:tc>
        <w:tc>
          <w:tcPr>
            <w:tcW w:w="961" w:type="pct"/>
            <w:shd w:val="clear" w:color="auto" w:fill="FFFFFF" w:themeFill="background1"/>
          </w:tcPr>
          <w:p w14:paraId="1DAFA629" w14:textId="77777777" w:rsidR="00706155" w:rsidRPr="008029B2" w:rsidRDefault="00706155" w:rsidP="00706155">
            <w:pPr>
              <w:spacing w:before="0" w:after="40"/>
              <w:jc w:val="center"/>
              <w:rPr>
                <w:sz w:val="18"/>
              </w:rPr>
            </w:pPr>
            <w:r w:rsidRPr="008029B2">
              <w:rPr>
                <w:sz w:val="18"/>
              </w:rPr>
              <w:t>Department</w:t>
            </w:r>
          </w:p>
        </w:tc>
      </w:tr>
      <w:tr w:rsidR="00706155" w:rsidRPr="008029B2" w14:paraId="558BB71F"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17C4EAC9" w14:textId="77777777" w:rsidR="00706155" w:rsidRPr="008029B2" w:rsidRDefault="006A6B29" w:rsidP="00706155">
            <w:pPr>
              <w:spacing w:before="0" w:after="40"/>
              <w:rPr>
                <w:rFonts w:eastAsia="Times New Roman" w:cs="Arial"/>
                <w:color w:val="000000"/>
                <w:sz w:val="18"/>
              </w:rPr>
            </w:pPr>
            <w:hyperlink r:id="rId39" w:tgtFrame="_blank" w:tooltip="Energy Security - Belgium" w:history="1">
              <w:r w:rsidR="00706155" w:rsidRPr="008029B2">
                <w:rPr>
                  <w:rFonts w:eastAsia="Times New Roman" w:cs="Arial"/>
                  <w:color w:val="000000"/>
                  <w:sz w:val="18"/>
                </w:rPr>
                <w:t>Belgium</w:t>
              </w:r>
            </w:hyperlink>
          </w:p>
        </w:tc>
        <w:tc>
          <w:tcPr>
            <w:tcW w:w="774" w:type="pct"/>
            <w:shd w:val="clear" w:color="auto" w:fill="FFFFFF" w:themeFill="background1"/>
          </w:tcPr>
          <w:p w14:paraId="786FD2B2" w14:textId="77777777" w:rsidR="00706155" w:rsidRPr="008029B2" w:rsidRDefault="00706155" w:rsidP="00706155">
            <w:pPr>
              <w:spacing w:before="0" w:after="40"/>
              <w:jc w:val="center"/>
              <w:rPr>
                <w:sz w:val="18"/>
              </w:rPr>
            </w:pPr>
            <w:r w:rsidRPr="008029B2">
              <w:rPr>
                <w:sz w:val="18"/>
              </w:rPr>
              <w:t>Yes</w:t>
            </w:r>
          </w:p>
        </w:tc>
        <w:tc>
          <w:tcPr>
            <w:tcW w:w="709" w:type="pct"/>
            <w:shd w:val="clear" w:color="auto" w:fill="FFFFFF" w:themeFill="background1"/>
          </w:tcPr>
          <w:p w14:paraId="74F2E0E9" w14:textId="77777777" w:rsidR="00706155" w:rsidRPr="008029B2" w:rsidRDefault="00706155" w:rsidP="00706155">
            <w:pPr>
              <w:spacing w:before="0" w:after="40"/>
              <w:jc w:val="center"/>
              <w:rPr>
                <w:sz w:val="18"/>
              </w:rPr>
            </w:pPr>
            <w:r w:rsidRPr="008029B2">
              <w:rPr>
                <w:sz w:val="18"/>
              </w:rPr>
              <w:t>No</w:t>
            </w:r>
          </w:p>
        </w:tc>
        <w:tc>
          <w:tcPr>
            <w:tcW w:w="738" w:type="pct"/>
            <w:shd w:val="clear" w:color="auto" w:fill="FFFFFF" w:themeFill="background1"/>
          </w:tcPr>
          <w:p w14:paraId="24AB3A5D"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57EAD508" w14:textId="77777777" w:rsidR="00706155" w:rsidRPr="008029B2" w:rsidRDefault="00706155" w:rsidP="00706155">
            <w:pPr>
              <w:spacing w:before="0" w:after="40"/>
              <w:jc w:val="center"/>
              <w:rPr>
                <w:sz w:val="18"/>
              </w:rPr>
            </w:pPr>
            <w:r w:rsidRPr="008029B2">
              <w:rPr>
                <w:sz w:val="18"/>
              </w:rPr>
              <w:t>Levy</w:t>
            </w:r>
          </w:p>
        </w:tc>
        <w:tc>
          <w:tcPr>
            <w:tcW w:w="961" w:type="pct"/>
            <w:shd w:val="clear" w:color="auto" w:fill="FFFFFF" w:themeFill="background1"/>
          </w:tcPr>
          <w:p w14:paraId="66FB662D" w14:textId="77777777" w:rsidR="00706155" w:rsidRPr="008029B2" w:rsidRDefault="00706155" w:rsidP="00706155">
            <w:pPr>
              <w:spacing w:before="0" w:after="40"/>
              <w:jc w:val="center"/>
              <w:rPr>
                <w:sz w:val="18"/>
              </w:rPr>
            </w:pPr>
            <w:r w:rsidRPr="008029B2">
              <w:rPr>
                <w:sz w:val="18"/>
              </w:rPr>
              <w:t>Public Agency</w:t>
            </w:r>
          </w:p>
        </w:tc>
      </w:tr>
      <w:tr w:rsidR="00706155" w:rsidRPr="008029B2" w14:paraId="09251F56"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vAlign w:val="center"/>
          </w:tcPr>
          <w:p w14:paraId="6BFCF3E1" w14:textId="77777777" w:rsidR="00706155" w:rsidRPr="008029B2" w:rsidRDefault="006A6B29" w:rsidP="00706155">
            <w:pPr>
              <w:spacing w:before="0" w:after="40"/>
              <w:rPr>
                <w:rFonts w:eastAsia="Times New Roman" w:cs="Arial"/>
                <w:color w:val="000000"/>
                <w:sz w:val="18"/>
              </w:rPr>
            </w:pPr>
            <w:hyperlink r:id="rId40" w:tgtFrame="_blank" w:tooltip="Energy Security - The Czech Republic" w:history="1">
              <w:r w:rsidR="00706155" w:rsidRPr="008029B2">
                <w:rPr>
                  <w:rFonts w:eastAsia="Times New Roman" w:cs="Arial"/>
                  <w:color w:val="000000"/>
                  <w:sz w:val="18"/>
                </w:rPr>
                <w:t>Czech Rep.</w:t>
              </w:r>
            </w:hyperlink>
          </w:p>
        </w:tc>
        <w:tc>
          <w:tcPr>
            <w:tcW w:w="774" w:type="pct"/>
            <w:shd w:val="clear" w:color="auto" w:fill="FFFFFF" w:themeFill="background1"/>
          </w:tcPr>
          <w:p w14:paraId="6224F3D9" w14:textId="77777777" w:rsidR="00706155" w:rsidRPr="008029B2" w:rsidRDefault="00706155" w:rsidP="00706155">
            <w:pPr>
              <w:spacing w:before="0" w:after="40"/>
              <w:jc w:val="center"/>
              <w:rPr>
                <w:sz w:val="18"/>
              </w:rPr>
            </w:pPr>
            <w:r w:rsidRPr="008029B2">
              <w:rPr>
                <w:sz w:val="18"/>
              </w:rPr>
              <w:t>Yes</w:t>
            </w:r>
          </w:p>
        </w:tc>
        <w:tc>
          <w:tcPr>
            <w:tcW w:w="709" w:type="pct"/>
            <w:shd w:val="clear" w:color="auto" w:fill="FFFFFF" w:themeFill="background1"/>
          </w:tcPr>
          <w:p w14:paraId="3EABC870" w14:textId="77777777" w:rsidR="00706155" w:rsidRPr="008029B2" w:rsidRDefault="00706155" w:rsidP="00706155">
            <w:pPr>
              <w:spacing w:before="0" w:after="40"/>
              <w:jc w:val="center"/>
              <w:rPr>
                <w:sz w:val="18"/>
              </w:rPr>
            </w:pPr>
            <w:r w:rsidRPr="008029B2">
              <w:rPr>
                <w:sz w:val="18"/>
              </w:rPr>
              <w:t>No</w:t>
            </w:r>
          </w:p>
        </w:tc>
        <w:tc>
          <w:tcPr>
            <w:tcW w:w="738" w:type="pct"/>
            <w:shd w:val="clear" w:color="auto" w:fill="FFFFFF" w:themeFill="background1"/>
          </w:tcPr>
          <w:p w14:paraId="5F354D26" w14:textId="77777777" w:rsidR="00706155" w:rsidRPr="008029B2" w:rsidRDefault="00706155" w:rsidP="00706155">
            <w:pPr>
              <w:spacing w:before="0" w:after="40"/>
              <w:jc w:val="center"/>
              <w:rPr>
                <w:sz w:val="18"/>
              </w:rPr>
            </w:pPr>
            <w:r w:rsidRPr="008029B2">
              <w:rPr>
                <w:sz w:val="18"/>
              </w:rPr>
              <w:t>No</w:t>
            </w:r>
          </w:p>
        </w:tc>
        <w:tc>
          <w:tcPr>
            <w:tcW w:w="993" w:type="pct"/>
            <w:shd w:val="clear" w:color="auto" w:fill="FFFFFF" w:themeFill="background1"/>
          </w:tcPr>
          <w:p w14:paraId="1ADD8A31" w14:textId="77777777" w:rsidR="00706155" w:rsidRPr="008029B2" w:rsidRDefault="00706155" w:rsidP="00706155">
            <w:pPr>
              <w:spacing w:before="0" w:after="40"/>
              <w:jc w:val="center"/>
              <w:rPr>
                <w:sz w:val="18"/>
              </w:rPr>
            </w:pPr>
            <w:r w:rsidRPr="008029B2">
              <w:rPr>
                <w:sz w:val="18"/>
              </w:rPr>
              <w:t>Budget</w:t>
            </w:r>
          </w:p>
        </w:tc>
        <w:tc>
          <w:tcPr>
            <w:tcW w:w="961" w:type="pct"/>
            <w:shd w:val="clear" w:color="auto" w:fill="FFFFFF" w:themeFill="background1"/>
          </w:tcPr>
          <w:p w14:paraId="400B360B" w14:textId="77777777" w:rsidR="00706155" w:rsidRPr="008029B2" w:rsidRDefault="00706155" w:rsidP="00706155">
            <w:pPr>
              <w:spacing w:before="0" w:after="40"/>
              <w:jc w:val="center"/>
              <w:rPr>
                <w:sz w:val="18"/>
              </w:rPr>
            </w:pPr>
            <w:r w:rsidRPr="008029B2">
              <w:rPr>
                <w:sz w:val="18"/>
              </w:rPr>
              <w:t>Public Agency</w:t>
            </w:r>
          </w:p>
        </w:tc>
      </w:tr>
      <w:tr w:rsidR="00706155" w:rsidRPr="008029B2" w14:paraId="648E44E8"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702FE9D3" w14:textId="77777777" w:rsidR="00706155" w:rsidRPr="008029B2" w:rsidRDefault="006A6B29" w:rsidP="00706155">
            <w:pPr>
              <w:spacing w:before="0" w:after="40"/>
              <w:rPr>
                <w:rFonts w:eastAsia="Times New Roman" w:cs="Arial"/>
                <w:color w:val="000000"/>
                <w:sz w:val="18"/>
              </w:rPr>
            </w:pPr>
            <w:hyperlink r:id="rId41" w:tgtFrame="_blank" w:tooltip="Energy Security- Denmark" w:history="1">
              <w:r w:rsidR="00706155" w:rsidRPr="008029B2">
                <w:rPr>
                  <w:rFonts w:eastAsia="Times New Roman" w:cs="Arial"/>
                  <w:color w:val="000000"/>
                  <w:sz w:val="18"/>
                </w:rPr>
                <w:t>Denmark</w:t>
              </w:r>
            </w:hyperlink>
          </w:p>
        </w:tc>
        <w:tc>
          <w:tcPr>
            <w:tcW w:w="4175" w:type="pct"/>
            <w:gridSpan w:val="5"/>
            <w:shd w:val="clear" w:color="auto" w:fill="FFFFFF" w:themeFill="background1"/>
          </w:tcPr>
          <w:p w14:paraId="792A3DB5" w14:textId="77777777" w:rsidR="00706155" w:rsidRPr="008029B2" w:rsidRDefault="00706155" w:rsidP="00706155">
            <w:pPr>
              <w:spacing w:before="0" w:after="40"/>
              <w:jc w:val="center"/>
              <w:rPr>
                <w:sz w:val="18"/>
              </w:rPr>
            </w:pPr>
            <w:r w:rsidRPr="008029B2">
              <w:rPr>
                <w:sz w:val="18"/>
              </w:rPr>
              <w:t xml:space="preserve">Net Exporter: </w:t>
            </w:r>
            <w:r w:rsidRPr="008029B2">
              <w:rPr>
                <w:sz w:val="16"/>
                <w:szCs w:val="18"/>
              </w:rPr>
              <w:t>Private agency manages using stocks and tickets, financed by pass through</w:t>
            </w:r>
          </w:p>
        </w:tc>
      </w:tr>
      <w:tr w:rsidR="00706155" w:rsidRPr="008029B2" w14:paraId="5F660ACF"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vAlign w:val="center"/>
          </w:tcPr>
          <w:p w14:paraId="40F677BC" w14:textId="77777777" w:rsidR="00706155" w:rsidRPr="008029B2" w:rsidRDefault="006A6B29" w:rsidP="00706155">
            <w:pPr>
              <w:spacing w:before="0" w:after="40"/>
              <w:rPr>
                <w:rFonts w:eastAsia="Times New Roman" w:cs="Arial"/>
                <w:color w:val="000000"/>
                <w:sz w:val="18"/>
              </w:rPr>
            </w:pPr>
            <w:hyperlink r:id="rId42" w:tgtFrame="_blank" w:tooltip="Energy Security - Estonia" w:history="1">
              <w:r w:rsidR="00706155" w:rsidRPr="008029B2">
                <w:rPr>
                  <w:rFonts w:eastAsia="Times New Roman" w:cs="Arial"/>
                  <w:color w:val="000000"/>
                  <w:sz w:val="18"/>
                </w:rPr>
                <w:t>Estonia</w:t>
              </w:r>
            </w:hyperlink>
          </w:p>
        </w:tc>
        <w:tc>
          <w:tcPr>
            <w:tcW w:w="774" w:type="pct"/>
            <w:shd w:val="clear" w:color="auto" w:fill="FFFFFF" w:themeFill="background1"/>
          </w:tcPr>
          <w:p w14:paraId="4A5C4003" w14:textId="77777777" w:rsidR="00706155" w:rsidRPr="008029B2" w:rsidRDefault="00706155" w:rsidP="00706155">
            <w:pPr>
              <w:spacing w:before="0" w:after="40"/>
              <w:jc w:val="center"/>
              <w:rPr>
                <w:sz w:val="18"/>
              </w:rPr>
            </w:pPr>
            <w:r w:rsidRPr="008029B2">
              <w:rPr>
                <w:sz w:val="18"/>
              </w:rPr>
              <w:t>Yes</w:t>
            </w:r>
          </w:p>
        </w:tc>
        <w:tc>
          <w:tcPr>
            <w:tcW w:w="709" w:type="pct"/>
            <w:shd w:val="clear" w:color="auto" w:fill="FFFFFF" w:themeFill="background1"/>
          </w:tcPr>
          <w:p w14:paraId="50108F53" w14:textId="77777777" w:rsidR="00706155" w:rsidRPr="008029B2" w:rsidRDefault="00706155" w:rsidP="00706155">
            <w:pPr>
              <w:spacing w:before="0" w:after="40"/>
              <w:jc w:val="center"/>
              <w:rPr>
                <w:sz w:val="18"/>
              </w:rPr>
            </w:pPr>
            <w:r w:rsidRPr="008029B2">
              <w:rPr>
                <w:sz w:val="18"/>
              </w:rPr>
              <w:t>No</w:t>
            </w:r>
          </w:p>
        </w:tc>
        <w:tc>
          <w:tcPr>
            <w:tcW w:w="738" w:type="pct"/>
            <w:shd w:val="clear" w:color="auto" w:fill="FFFFFF" w:themeFill="background1"/>
          </w:tcPr>
          <w:p w14:paraId="265753FF" w14:textId="77777777" w:rsidR="00706155" w:rsidRPr="008029B2" w:rsidRDefault="00706155" w:rsidP="00706155">
            <w:pPr>
              <w:spacing w:before="0" w:after="40"/>
              <w:jc w:val="center"/>
              <w:rPr>
                <w:sz w:val="18"/>
              </w:rPr>
            </w:pPr>
            <w:r w:rsidRPr="008029B2">
              <w:rPr>
                <w:sz w:val="18"/>
              </w:rPr>
              <w:t xml:space="preserve">No </w:t>
            </w:r>
            <w:r w:rsidRPr="008029B2">
              <w:rPr>
                <w:sz w:val="16"/>
                <w:szCs w:val="18"/>
              </w:rPr>
              <w:t>(Seller)</w:t>
            </w:r>
          </w:p>
        </w:tc>
        <w:tc>
          <w:tcPr>
            <w:tcW w:w="993" w:type="pct"/>
            <w:shd w:val="clear" w:color="auto" w:fill="FFFFFF" w:themeFill="background1"/>
          </w:tcPr>
          <w:p w14:paraId="7F3E263D" w14:textId="77777777" w:rsidR="00706155" w:rsidRPr="008029B2" w:rsidRDefault="00706155" w:rsidP="00706155">
            <w:pPr>
              <w:spacing w:before="0" w:after="40"/>
              <w:jc w:val="center"/>
              <w:rPr>
                <w:sz w:val="18"/>
              </w:rPr>
            </w:pPr>
            <w:r w:rsidRPr="008029B2">
              <w:rPr>
                <w:sz w:val="18"/>
              </w:rPr>
              <w:t>Budget</w:t>
            </w:r>
          </w:p>
        </w:tc>
        <w:tc>
          <w:tcPr>
            <w:tcW w:w="961" w:type="pct"/>
            <w:shd w:val="clear" w:color="auto" w:fill="FFFFFF" w:themeFill="background1"/>
          </w:tcPr>
          <w:p w14:paraId="0E4DF2BE" w14:textId="77777777" w:rsidR="00706155" w:rsidRPr="008029B2" w:rsidRDefault="00706155" w:rsidP="00706155">
            <w:pPr>
              <w:spacing w:before="0" w:after="40"/>
              <w:jc w:val="center"/>
              <w:rPr>
                <w:sz w:val="18"/>
              </w:rPr>
            </w:pPr>
            <w:r w:rsidRPr="008029B2">
              <w:rPr>
                <w:sz w:val="18"/>
              </w:rPr>
              <w:t>SOE</w:t>
            </w:r>
          </w:p>
        </w:tc>
      </w:tr>
      <w:tr w:rsidR="00706155" w:rsidRPr="008029B2" w14:paraId="1EFA8FCB"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68B99258" w14:textId="77777777" w:rsidR="00706155" w:rsidRPr="008029B2" w:rsidRDefault="006A6B29" w:rsidP="00706155">
            <w:pPr>
              <w:spacing w:before="0" w:after="40"/>
              <w:rPr>
                <w:rFonts w:eastAsia="Times New Roman" w:cs="Arial"/>
                <w:color w:val="000000"/>
                <w:sz w:val="18"/>
              </w:rPr>
            </w:pPr>
            <w:hyperlink r:id="rId43" w:tgtFrame="_blank" w:tooltip="Energy Security - Ireland" w:history="1">
              <w:r w:rsidR="00706155" w:rsidRPr="008029B2">
                <w:rPr>
                  <w:rFonts w:eastAsia="Times New Roman" w:cs="Arial"/>
                  <w:color w:val="000000"/>
                  <w:sz w:val="18"/>
                </w:rPr>
                <w:t>Ireland</w:t>
              </w:r>
            </w:hyperlink>
          </w:p>
        </w:tc>
        <w:tc>
          <w:tcPr>
            <w:tcW w:w="774" w:type="pct"/>
            <w:shd w:val="clear" w:color="auto" w:fill="FFFFFF" w:themeFill="background1"/>
          </w:tcPr>
          <w:p w14:paraId="3230306E" w14:textId="77777777" w:rsidR="00706155" w:rsidRPr="008029B2" w:rsidRDefault="00706155" w:rsidP="00706155">
            <w:pPr>
              <w:spacing w:before="0" w:after="40"/>
              <w:jc w:val="center"/>
              <w:rPr>
                <w:sz w:val="18"/>
              </w:rPr>
            </w:pPr>
            <w:r w:rsidRPr="008029B2">
              <w:rPr>
                <w:sz w:val="18"/>
              </w:rPr>
              <w:t>Yes</w:t>
            </w:r>
          </w:p>
        </w:tc>
        <w:tc>
          <w:tcPr>
            <w:tcW w:w="709" w:type="pct"/>
            <w:shd w:val="clear" w:color="auto" w:fill="FFFFFF" w:themeFill="background1"/>
          </w:tcPr>
          <w:p w14:paraId="7DBECC77" w14:textId="77777777" w:rsidR="00706155" w:rsidRPr="008029B2" w:rsidRDefault="00706155" w:rsidP="00706155">
            <w:pPr>
              <w:spacing w:before="0" w:after="40"/>
              <w:jc w:val="center"/>
              <w:rPr>
                <w:sz w:val="18"/>
              </w:rPr>
            </w:pPr>
            <w:r w:rsidRPr="008029B2">
              <w:rPr>
                <w:sz w:val="18"/>
              </w:rPr>
              <w:t>No</w:t>
            </w:r>
          </w:p>
        </w:tc>
        <w:tc>
          <w:tcPr>
            <w:tcW w:w="738" w:type="pct"/>
            <w:shd w:val="clear" w:color="auto" w:fill="FFFFFF" w:themeFill="background1"/>
          </w:tcPr>
          <w:p w14:paraId="1BB6EFA3"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5414042D" w14:textId="77777777" w:rsidR="00706155" w:rsidRPr="008029B2" w:rsidRDefault="00706155" w:rsidP="00706155">
            <w:pPr>
              <w:spacing w:before="0" w:after="40"/>
              <w:jc w:val="center"/>
              <w:rPr>
                <w:sz w:val="18"/>
              </w:rPr>
            </w:pPr>
            <w:r w:rsidRPr="008029B2">
              <w:rPr>
                <w:sz w:val="18"/>
              </w:rPr>
              <w:t>Levy</w:t>
            </w:r>
          </w:p>
        </w:tc>
        <w:tc>
          <w:tcPr>
            <w:tcW w:w="961" w:type="pct"/>
            <w:shd w:val="clear" w:color="auto" w:fill="FFFFFF" w:themeFill="background1"/>
          </w:tcPr>
          <w:p w14:paraId="1EF10286" w14:textId="77777777" w:rsidR="00706155" w:rsidRPr="008029B2" w:rsidRDefault="00706155" w:rsidP="00706155">
            <w:pPr>
              <w:spacing w:before="0" w:after="40"/>
              <w:jc w:val="center"/>
              <w:rPr>
                <w:sz w:val="18"/>
              </w:rPr>
            </w:pPr>
            <w:r w:rsidRPr="008029B2">
              <w:rPr>
                <w:sz w:val="18"/>
              </w:rPr>
              <w:t>Public Agency</w:t>
            </w:r>
          </w:p>
        </w:tc>
      </w:tr>
      <w:tr w:rsidR="00706155" w:rsidRPr="008029B2" w14:paraId="25FA0B49"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vAlign w:val="center"/>
          </w:tcPr>
          <w:p w14:paraId="0D6B32AB" w14:textId="77777777" w:rsidR="00706155" w:rsidRPr="008029B2" w:rsidRDefault="006A6B29" w:rsidP="00706155">
            <w:pPr>
              <w:spacing w:before="0" w:after="40"/>
              <w:rPr>
                <w:rFonts w:eastAsia="Times New Roman" w:cs="Arial"/>
                <w:color w:val="000000"/>
                <w:sz w:val="18"/>
              </w:rPr>
            </w:pPr>
            <w:hyperlink r:id="rId44" w:tgtFrame="_blank" w:tooltip="Energy Security - Norway" w:history="1">
              <w:r w:rsidR="00706155" w:rsidRPr="008029B2">
                <w:rPr>
                  <w:rFonts w:eastAsia="Times New Roman" w:cs="Arial"/>
                  <w:color w:val="000000"/>
                  <w:sz w:val="18"/>
                </w:rPr>
                <w:t>Norway</w:t>
              </w:r>
            </w:hyperlink>
          </w:p>
        </w:tc>
        <w:tc>
          <w:tcPr>
            <w:tcW w:w="4175" w:type="pct"/>
            <w:gridSpan w:val="5"/>
            <w:shd w:val="clear" w:color="auto" w:fill="FFFFFF" w:themeFill="background1"/>
          </w:tcPr>
          <w:p w14:paraId="64838E61" w14:textId="77777777" w:rsidR="00706155" w:rsidRPr="008029B2" w:rsidRDefault="00706155" w:rsidP="00706155">
            <w:pPr>
              <w:spacing w:before="0" w:after="40"/>
              <w:jc w:val="center"/>
              <w:rPr>
                <w:sz w:val="18"/>
              </w:rPr>
            </w:pPr>
            <w:r w:rsidRPr="008029B2">
              <w:rPr>
                <w:sz w:val="18"/>
              </w:rPr>
              <w:t xml:space="preserve">Net Exporter: </w:t>
            </w:r>
            <w:r w:rsidRPr="008029B2">
              <w:rPr>
                <w:sz w:val="16"/>
                <w:szCs w:val="18"/>
              </w:rPr>
              <w:t>Industry obligation applies funded by pass through</w:t>
            </w:r>
          </w:p>
        </w:tc>
      </w:tr>
      <w:tr w:rsidR="00706155" w:rsidRPr="008029B2" w14:paraId="192FEC5D"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048FC684" w14:textId="77777777" w:rsidR="00706155" w:rsidRPr="008029B2" w:rsidRDefault="006A6B29" w:rsidP="00706155">
            <w:pPr>
              <w:spacing w:before="0" w:after="40"/>
              <w:rPr>
                <w:rFonts w:eastAsia="Times New Roman" w:cs="Arial"/>
                <w:color w:val="000000"/>
                <w:sz w:val="18"/>
              </w:rPr>
            </w:pPr>
            <w:hyperlink r:id="rId45" w:tgtFrame="_blank" w:tooltip="Energy Security - Slovak Republic" w:history="1">
              <w:r w:rsidR="00706155" w:rsidRPr="008029B2">
                <w:rPr>
                  <w:rFonts w:eastAsia="Times New Roman" w:cs="Arial"/>
                  <w:color w:val="000000"/>
                  <w:sz w:val="18"/>
                </w:rPr>
                <w:t>Slovakia</w:t>
              </w:r>
            </w:hyperlink>
          </w:p>
        </w:tc>
        <w:tc>
          <w:tcPr>
            <w:tcW w:w="774" w:type="pct"/>
            <w:shd w:val="clear" w:color="auto" w:fill="FFFFFF" w:themeFill="background1"/>
          </w:tcPr>
          <w:p w14:paraId="1ABF6503" w14:textId="77777777" w:rsidR="00706155" w:rsidRPr="008029B2" w:rsidRDefault="00706155" w:rsidP="00706155">
            <w:pPr>
              <w:spacing w:before="0" w:after="40"/>
              <w:jc w:val="center"/>
              <w:rPr>
                <w:sz w:val="18"/>
              </w:rPr>
            </w:pPr>
            <w:r w:rsidRPr="008029B2">
              <w:rPr>
                <w:sz w:val="18"/>
              </w:rPr>
              <w:t>Yes</w:t>
            </w:r>
          </w:p>
        </w:tc>
        <w:tc>
          <w:tcPr>
            <w:tcW w:w="709" w:type="pct"/>
            <w:shd w:val="clear" w:color="auto" w:fill="FFFFFF" w:themeFill="background1"/>
          </w:tcPr>
          <w:p w14:paraId="3B92DA43" w14:textId="77777777" w:rsidR="00706155" w:rsidRPr="008029B2" w:rsidRDefault="00706155" w:rsidP="00706155">
            <w:pPr>
              <w:spacing w:before="0" w:after="40"/>
              <w:jc w:val="center"/>
              <w:rPr>
                <w:sz w:val="18"/>
              </w:rPr>
            </w:pPr>
            <w:r w:rsidRPr="008029B2">
              <w:rPr>
                <w:sz w:val="18"/>
              </w:rPr>
              <w:t>No</w:t>
            </w:r>
          </w:p>
        </w:tc>
        <w:tc>
          <w:tcPr>
            <w:tcW w:w="738" w:type="pct"/>
            <w:shd w:val="clear" w:color="auto" w:fill="FFFFFF" w:themeFill="background1"/>
          </w:tcPr>
          <w:p w14:paraId="0BCC22B2" w14:textId="77777777" w:rsidR="00706155" w:rsidRPr="008029B2" w:rsidRDefault="00706155" w:rsidP="00706155">
            <w:pPr>
              <w:spacing w:before="0" w:after="40"/>
              <w:jc w:val="center"/>
              <w:rPr>
                <w:sz w:val="18"/>
              </w:rPr>
            </w:pPr>
            <w:r w:rsidRPr="008029B2">
              <w:rPr>
                <w:sz w:val="18"/>
              </w:rPr>
              <w:t>No</w:t>
            </w:r>
          </w:p>
        </w:tc>
        <w:tc>
          <w:tcPr>
            <w:tcW w:w="993" w:type="pct"/>
            <w:shd w:val="clear" w:color="auto" w:fill="FFFFFF" w:themeFill="background1"/>
          </w:tcPr>
          <w:p w14:paraId="315BBEC9" w14:textId="77777777" w:rsidR="00706155" w:rsidRPr="008029B2" w:rsidRDefault="00706155" w:rsidP="00706155">
            <w:pPr>
              <w:spacing w:before="0" w:after="40"/>
              <w:jc w:val="center"/>
              <w:rPr>
                <w:sz w:val="18"/>
              </w:rPr>
            </w:pPr>
            <w:r w:rsidRPr="008029B2">
              <w:rPr>
                <w:sz w:val="18"/>
              </w:rPr>
              <w:t>Pass Through</w:t>
            </w:r>
          </w:p>
        </w:tc>
        <w:tc>
          <w:tcPr>
            <w:tcW w:w="961" w:type="pct"/>
            <w:shd w:val="clear" w:color="auto" w:fill="FFFFFF" w:themeFill="background1"/>
          </w:tcPr>
          <w:p w14:paraId="27B300BC" w14:textId="77777777" w:rsidR="00706155" w:rsidRPr="008029B2" w:rsidRDefault="00706155" w:rsidP="00706155">
            <w:pPr>
              <w:spacing w:before="0" w:after="40"/>
              <w:jc w:val="center"/>
              <w:rPr>
                <w:sz w:val="18"/>
              </w:rPr>
            </w:pPr>
            <w:r w:rsidRPr="008029B2">
              <w:rPr>
                <w:sz w:val="18"/>
              </w:rPr>
              <w:t>Public Agency</w:t>
            </w:r>
          </w:p>
        </w:tc>
      </w:tr>
    </w:tbl>
    <w:p w14:paraId="378C9C34" w14:textId="1D69C774" w:rsidR="008029B2" w:rsidRPr="00EA3D68" w:rsidRDefault="008029B2" w:rsidP="00EA3D68">
      <w:pPr>
        <w:spacing w:before="0" w:after="160" w:line="259" w:lineRule="auto"/>
        <w:rPr>
          <w:rFonts w:asciiTheme="minorHAnsi" w:hAnsiTheme="minorHAnsi"/>
          <w:sz w:val="20"/>
        </w:rPr>
      </w:pPr>
      <w:bookmarkStart w:id="717" w:name="_Toc65339187"/>
      <w:bookmarkStart w:id="718" w:name="_Toc65250683"/>
      <w:bookmarkStart w:id="719" w:name="_Toc65253460"/>
      <w:bookmarkStart w:id="720" w:name="_Toc65329428"/>
      <w:bookmarkStart w:id="721" w:name="_Toc65332787"/>
      <w:bookmarkStart w:id="722" w:name="_Toc65339188"/>
      <w:bookmarkStart w:id="723" w:name="_Toc65341119"/>
      <w:bookmarkStart w:id="724" w:name="_Toc65402200"/>
      <w:bookmarkStart w:id="725" w:name="_Toc65405433"/>
      <w:bookmarkStart w:id="726" w:name="_Toc65499091"/>
      <w:bookmarkStart w:id="727" w:name="_Toc65499520"/>
      <w:bookmarkEnd w:id="501"/>
      <w:bookmarkEnd w:id="502"/>
      <w:bookmarkEnd w:id="717"/>
    </w:p>
    <w:p w14:paraId="7063FBCA" w14:textId="77777777" w:rsidR="004E28CD" w:rsidRDefault="004E28CD">
      <w:pPr>
        <w:spacing w:before="0" w:after="160" w:line="259" w:lineRule="auto"/>
        <w:rPr>
          <w:rFonts w:eastAsiaTheme="majorEastAsia" w:cstheme="majorBidi"/>
          <w:b/>
          <w:bCs/>
          <w:color w:val="003865"/>
          <w:sz w:val="28"/>
          <w:szCs w:val="28"/>
        </w:rPr>
      </w:pPr>
      <w:bookmarkStart w:id="728" w:name="_Toc67923619"/>
      <w:bookmarkStart w:id="729" w:name="_Toc67926856"/>
      <w:bookmarkStart w:id="730" w:name="_Toc68614715"/>
      <w:bookmarkStart w:id="731" w:name="_Toc69201418"/>
      <w:r>
        <w:br w:type="page"/>
      </w:r>
    </w:p>
    <w:p w14:paraId="4FD73F56" w14:textId="3066874A" w:rsidR="00BA211A" w:rsidRDefault="00856EDA" w:rsidP="00EA3D68">
      <w:pPr>
        <w:pStyle w:val="Heading1"/>
        <w:tabs>
          <w:tab w:val="clear" w:pos="567"/>
          <w:tab w:val="left" w:pos="0"/>
        </w:tabs>
        <w:ind w:left="0" w:firstLine="0"/>
      </w:pPr>
      <w:bookmarkStart w:id="732" w:name="_Toc69941642"/>
      <w:bookmarkStart w:id="733" w:name="_Toc70419869"/>
      <w:bookmarkStart w:id="734" w:name="_Toc72394944"/>
      <w:bookmarkStart w:id="735" w:name="_Toc72395687"/>
      <w:r>
        <w:lastRenderedPageBreak/>
        <w:t>Appendix B</w:t>
      </w:r>
      <w:r w:rsidR="00C73A63">
        <w:t xml:space="preserve">: </w:t>
      </w:r>
      <w:r w:rsidR="00BA211A">
        <w:t>Demand and Consumption Cover in Australia</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sidR="00BA211A">
        <w:t xml:space="preserve"> </w:t>
      </w:r>
    </w:p>
    <w:p w14:paraId="26F4CF4A" w14:textId="1BAE605E" w:rsidR="00D9243B" w:rsidRDefault="00D9243B" w:rsidP="00190928">
      <w:pPr>
        <w:pStyle w:val="BodyText"/>
        <w:jc w:val="center"/>
      </w:pPr>
    </w:p>
    <w:p w14:paraId="130853BB" w14:textId="7539A840" w:rsidR="0065577F" w:rsidRDefault="0065577F" w:rsidP="00190928">
      <w:pPr>
        <w:pStyle w:val="BodyText"/>
        <w:jc w:val="center"/>
        <w:rPr>
          <w:i/>
        </w:rPr>
      </w:pPr>
      <w:r>
        <w:rPr>
          <w:noProof/>
          <w:lang w:eastAsia="en-AU"/>
        </w:rPr>
        <w:drawing>
          <wp:inline distT="0" distB="0" distL="0" distR="0" wp14:anchorId="3FF88288" wp14:editId="7A5EE37A">
            <wp:extent cx="4248150" cy="3295650"/>
            <wp:effectExtent l="0" t="0" r="0" b="0"/>
            <wp:docPr id="22" name="Chart 22" descr="This chart shows stocks, demand and consumption cover for petrol in Australia over the past decade. "/>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8C10B26" w14:textId="0E20EC14" w:rsidR="00D9243B" w:rsidRPr="00735EF7" w:rsidRDefault="007E74C8" w:rsidP="00190928">
      <w:pPr>
        <w:pStyle w:val="BodyText"/>
        <w:jc w:val="center"/>
        <w:rPr>
          <w:i/>
        </w:rPr>
      </w:pPr>
      <w:r>
        <w:rPr>
          <w:i/>
        </w:rPr>
        <w:t xml:space="preserve">Figure </w:t>
      </w:r>
      <w:r w:rsidR="005C3B12">
        <w:rPr>
          <w:i/>
        </w:rPr>
        <w:t>5</w:t>
      </w:r>
      <w:r w:rsidR="00D9243B">
        <w:rPr>
          <w:i/>
        </w:rPr>
        <w:t xml:space="preserve">. </w:t>
      </w:r>
      <w:r w:rsidR="00D9243B" w:rsidRPr="00735EF7">
        <w:rPr>
          <w:i/>
        </w:rPr>
        <w:t xml:space="preserve">Diesel Statistics 2010-11 through </w:t>
      </w:r>
      <w:r w:rsidR="0065577F">
        <w:rPr>
          <w:i/>
        </w:rPr>
        <w:t>20</w:t>
      </w:r>
      <w:r w:rsidR="00D9243B" w:rsidRPr="00735EF7" w:rsidDel="0065577F">
        <w:rPr>
          <w:i/>
        </w:rPr>
        <w:t>19</w:t>
      </w:r>
      <w:r w:rsidR="00D9243B" w:rsidRPr="00735EF7">
        <w:rPr>
          <w:i/>
        </w:rPr>
        <w:t>-</w:t>
      </w:r>
      <w:r w:rsidR="0065577F">
        <w:rPr>
          <w:i/>
        </w:rPr>
        <w:t>20</w:t>
      </w:r>
    </w:p>
    <w:p w14:paraId="40D56C4C" w14:textId="6A2B155C" w:rsidR="00D9243B" w:rsidRPr="00735EF7" w:rsidRDefault="00D9243B" w:rsidP="00190928">
      <w:pPr>
        <w:pStyle w:val="BodyText"/>
        <w:jc w:val="center"/>
        <w:rPr>
          <w:sz w:val="18"/>
        </w:rPr>
      </w:pPr>
      <w:r w:rsidRPr="0069574A">
        <w:rPr>
          <w:sz w:val="18"/>
        </w:rPr>
        <w:t xml:space="preserve">Source: Australian Petroleum Statistics </w:t>
      </w:r>
      <w:r w:rsidRPr="00823356">
        <w:rPr>
          <w:sz w:val="18"/>
        </w:rPr>
        <w:t>December 20</w:t>
      </w:r>
      <w:r w:rsidR="0065577F" w:rsidRPr="00823356">
        <w:rPr>
          <w:sz w:val="18"/>
        </w:rPr>
        <w:t>20</w:t>
      </w:r>
    </w:p>
    <w:p w14:paraId="56A881FD" w14:textId="77777777" w:rsidR="00D9243B" w:rsidRDefault="00D9243B" w:rsidP="00D9243B">
      <w:pPr>
        <w:pStyle w:val="BodyText"/>
        <w:rPr>
          <w:i/>
        </w:rPr>
      </w:pPr>
    </w:p>
    <w:p w14:paraId="198FB3B5" w14:textId="11DF4816" w:rsidR="00D9243B" w:rsidRDefault="00D9243B" w:rsidP="00190928">
      <w:pPr>
        <w:pStyle w:val="BodyText"/>
        <w:jc w:val="center"/>
      </w:pPr>
    </w:p>
    <w:p w14:paraId="7E1911DA" w14:textId="7032305C" w:rsidR="0065577F" w:rsidRDefault="0065577F" w:rsidP="00190928">
      <w:pPr>
        <w:pStyle w:val="BodyText"/>
        <w:jc w:val="center"/>
        <w:rPr>
          <w:i/>
        </w:rPr>
      </w:pPr>
      <w:r>
        <w:rPr>
          <w:noProof/>
          <w:lang w:eastAsia="en-AU"/>
        </w:rPr>
        <w:drawing>
          <wp:inline distT="0" distB="0" distL="0" distR="0" wp14:anchorId="507630EF" wp14:editId="2AE5E241">
            <wp:extent cx="4695825" cy="3038475"/>
            <wp:effectExtent l="0" t="0" r="9525" b="9525"/>
            <wp:docPr id="21" name="Chart 21" descr="This chart shows stocks, demand and consumption cover for jet fuel in Australia over the past decade. "/>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38EDF6B4" w14:textId="200D8718" w:rsidR="00D9243B" w:rsidRDefault="007E74C8" w:rsidP="00190928">
      <w:pPr>
        <w:pStyle w:val="BodyText"/>
        <w:jc w:val="center"/>
        <w:rPr>
          <w:noProof/>
          <w:lang w:eastAsia="en-AU"/>
        </w:rPr>
      </w:pPr>
      <w:r>
        <w:rPr>
          <w:i/>
        </w:rPr>
        <w:t xml:space="preserve">Figure </w:t>
      </w:r>
      <w:r w:rsidR="005C3B12">
        <w:rPr>
          <w:i/>
        </w:rPr>
        <w:t>6</w:t>
      </w:r>
      <w:r w:rsidR="00D9243B">
        <w:rPr>
          <w:noProof/>
          <w:lang w:eastAsia="en-AU"/>
        </w:rPr>
        <w:t xml:space="preserve">. </w:t>
      </w:r>
      <w:r w:rsidR="00D9243B">
        <w:rPr>
          <w:i/>
          <w:noProof/>
          <w:lang w:eastAsia="en-AU"/>
        </w:rPr>
        <w:t xml:space="preserve">Jet Fuel Statistics 2010-11 through </w:t>
      </w:r>
      <w:r w:rsidR="0065577F">
        <w:rPr>
          <w:i/>
          <w:noProof/>
          <w:lang w:eastAsia="en-AU"/>
        </w:rPr>
        <w:t>20</w:t>
      </w:r>
      <w:r w:rsidR="00D9243B" w:rsidDel="0065577F">
        <w:rPr>
          <w:i/>
          <w:noProof/>
          <w:lang w:eastAsia="en-AU"/>
        </w:rPr>
        <w:t>19</w:t>
      </w:r>
      <w:r w:rsidR="00D9243B">
        <w:rPr>
          <w:i/>
          <w:noProof/>
          <w:lang w:eastAsia="en-AU"/>
        </w:rPr>
        <w:t>-</w:t>
      </w:r>
      <w:r w:rsidR="0065577F">
        <w:rPr>
          <w:i/>
          <w:noProof/>
          <w:lang w:eastAsia="en-AU"/>
        </w:rPr>
        <w:t>20</w:t>
      </w:r>
    </w:p>
    <w:p w14:paraId="1C1E29F7" w14:textId="22D63041" w:rsidR="00D9243B" w:rsidRPr="0069574A" w:rsidRDefault="00D9243B" w:rsidP="00190928">
      <w:pPr>
        <w:pStyle w:val="BodyText"/>
        <w:jc w:val="center"/>
        <w:rPr>
          <w:sz w:val="18"/>
        </w:rPr>
      </w:pPr>
      <w:r w:rsidRPr="0069574A">
        <w:rPr>
          <w:sz w:val="18"/>
        </w:rPr>
        <w:t xml:space="preserve">Source: Australian Petroleum Statistics </w:t>
      </w:r>
      <w:r w:rsidRPr="00823356">
        <w:rPr>
          <w:sz w:val="18"/>
        </w:rPr>
        <w:t>December 20</w:t>
      </w:r>
      <w:r w:rsidR="0065577F" w:rsidRPr="00823356">
        <w:rPr>
          <w:sz w:val="18"/>
        </w:rPr>
        <w:t>20</w:t>
      </w:r>
    </w:p>
    <w:p w14:paraId="4C3CA2A6" w14:textId="77777777" w:rsidR="00D9243B" w:rsidRDefault="00D9243B" w:rsidP="00190928">
      <w:pPr>
        <w:spacing w:before="0" w:after="160" w:line="259" w:lineRule="auto"/>
        <w:jc w:val="center"/>
        <w:rPr>
          <w:rFonts w:asciiTheme="minorHAnsi" w:hAnsiTheme="minorHAnsi"/>
          <w:i/>
        </w:rPr>
      </w:pPr>
    </w:p>
    <w:p w14:paraId="4D38A3CE" w14:textId="0E05F613" w:rsidR="00D9243B" w:rsidRDefault="00D9243B" w:rsidP="00190928">
      <w:pPr>
        <w:pStyle w:val="BodyText"/>
        <w:jc w:val="center"/>
      </w:pPr>
    </w:p>
    <w:p w14:paraId="278DEF66" w14:textId="3C8ABE25" w:rsidR="00153687" w:rsidRDefault="0065577F" w:rsidP="00190928">
      <w:pPr>
        <w:pStyle w:val="BodyText"/>
        <w:jc w:val="center"/>
        <w:rPr>
          <w:i/>
        </w:rPr>
      </w:pPr>
      <w:r>
        <w:rPr>
          <w:noProof/>
          <w:lang w:eastAsia="en-AU"/>
        </w:rPr>
        <w:drawing>
          <wp:inline distT="0" distB="0" distL="0" distR="0" wp14:anchorId="31AD6AC2" wp14:editId="6B76B1A4">
            <wp:extent cx="4657725" cy="3133725"/>
            <wp:effectExtent l="0" t="0" r="9525" b="9525"/>
            <wp:docPr id="20" name="Chart 20" descr="This chart shows stocks, demand and consumption cover for petrol in Australia over the past decade. "/>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0F0E616" w14:textId="420476AA" w:rsidR="00D9243B" w:rsidRPr="004407F5" w:rsidRDefault="007E74C8" w:rsidP="00190928">
      <w:pPr>
        <w:pStyle w:val="BodyText"/>
        <w:jc w:val="center"/>
        <w:rPr>
          <w:i/>
        </w:rPr>
      </w:pPr>
      <w:r>
        <w:rPr>
          <w:i/>
        </w:rPr>
        <w:t xml:space="preserve">Figure </w:t>
      </w:r>
      <w:r w:rsidR="005C3B12">
        <w:rPr>
          <w:i/>
        </w:rPr>
        <w:t>7</w:t>
      </w:r>
      <w:r w:rsidR="00D9243B" w:rsidRPr="004407F5">
        <w:rPr>
          <w:i/>
        </w:rPr>
        <w:t xml:space="preserve">. Petrol Statistics 2010-11 through </w:t>
      </w:r>
      <w:r w:rsidR="0065577F">
        <w:rPr>
          <w:i/>
        </w:rPr>
        <w:t>20</w:t>
      </w:r>
      <w:r w:rsidR="00D9243B" w:rsidRPr="004407F5" w:rsidDel="0065577F">
        <w:rPr>
          <w:i/>
        </w:rPr>
        <w:t>19</w:t>
      </w:r>
      <w:r w:rsidR="00D9243B" w:rsidRPr="004407F5">
        <w:rPr>
          <w:i/>
        </w:rPr>
        <w:t>-</w:t>
      </w:r>
      <w:r w:rsidR="0065577F">
        <w:rPr>
          <w:i/>
        </w:rPr>
        <w:t>20</w:t>
      </w:r>
    </w:p>
    <w:p w14:paraId="04B7A214" w14:textId="5C94D3E3" w:rsidR="00D9243B" w:rsidRPr="0069574A" w:rsidRDefault="00D9243B" w:rsidP="00190928">
      <w:pPr>
        <w:pStyle w:val="BodyText"/>
        <w:jc w:val="center"/>
        <w:rPr>
          <w:sz w:val="18"/>
        </w:rPr>
      </w:pPr>
      <w:r w:rsidRPr="0069574A">
        <w:rPr>
          <w:sz w:val="18"/>
        </w:rPr>
        <w:t xml:space="preserve">Source: Australian Petroleum Statistics </w:t>
      </w:r>
      <w:r w:rsidRPr="00823356">
        <w:rPr>
          <w:sz w:val="18"/>
        </w:rPr>
        <w:t>December 20</w:t>
      </w:r>
      <w:r w:rsidR="0065577F" w:rsidRPr="00823356">
        <w:rPr>
          <w:sz w:val="18"/>
        </w:rPr>
        <w:t>20</w:t>
      </w:r>
    </w:p>
    <w:p w14:paraId="6D0C42A0" w14:textId="77777777" w:rsidR="00194B59" w:rsidRDefault="00194B59" w:rsidP="00190928">
      <w:pPr>
        <w:jc w:val="center"/>
        <w:rPr>
          <w:noProof/>
          <w:lang w:eastAsia="en-AU"/>
        </w:rPr>
      </w:pPr>
    </w:p>
    <w:p w14:paraId="1C3C32F8" w14:textId="77777777" w:rsidR="009065C0" w:rsidRDefault="009065C0" w:rsidP="00811BBF">
      <w:pPr>
        <w:pStyle w:val="Heading1"/>
        <w:tabs>
          <w:tab w:val="clear" w:pos="567"/>
          <w:tab w:val="left" w:pos="0"/>
        </w:tabs>
        <w:ind w:left="0" w:firstLine="0"/>
      </w:pPr>
      <w:bookmarkStart w:id="736" w:name="_Toc69201420"/>
      <w:bookmarkStart w:id="737" w:name="_Toc69941644"/>
      <w:bookmarkStart w:id="738" w:name="_Toc70419871"/>
      <w:bookmarkStart w:id="739" w:name="_Toc72394945"/>
      <w:bookmarkStart w:id="740" w:name="_Toc72395688"/>
      <w:r>
        <w:br w:type="page"/>
      </w:r>
    </w:p>
    <w:p w14:paraId="11AE501E" w14:textId="0E84EB1B" w:rsidR="00811BBF" w:rsidRDefault="00811BBF" w:rsidP="00811BBF">
      <w:pPr>
        <w:pStyle w:val="Heading1"/>
        <w:tabs>
          <w:tab w:val="clear" w:pos="567"/>
          <w:tab w:val="left" w:pos="0"/>
        </w:tabs>
        <w:ind w:left="0" w:firstLine="0"/>
      </w:pPr>
      <w:r>
        <w:lastRenderedPageBreak/>
        <w:t xml:space="preserve">Appendix </w:t>
      </w:r>
      <w:r w:rsidR="004F4B71">
        <w:t>C</w:t>
      </w:r>
      <w:r>
        <w:t>: References</w:t>
      </w:r>
      <w:bookmarkEnd w:id="736"/>
      <w:bookmarkEnd w:id="737"/>
      <w:bookmarkEnd w:id="738"/>
      <w:bookmarkEnd w:id="739"/>
      <w:bookmarkEnd w:id="740"/>
    </w:p>
    <w:tbl>
      <w:tblPr>
        <w:tblW w:w="0" w:type="auto"/>
        <w:tblInd w:w="-8" w:type="dxa"/>
        <w:tblBorders>
          <w:top w:val="single" w:sz="4" w:space="0" w:color="13508F"/>
          <w:bottom w:val="single" w:sz="2" w:space="0" w:color="13508F"/>
          <w:insideH w:val="single" w:sz="2" w:space="0" w:color="13508F"/>
        </w:tblBorders>
        <w:tblLayout w:type="fixed"/>
        <w:tblCellMar>
          <w:left w:w="0" w:type="dxa"/>
          <w:right w:w="0" w:type="dxa"/>
        </w:tblCellMar>
        <w:tblLook w:val="0000" w:firstRow="0" w:lastRow="0" w:firstColumn="0" w:lastColumn="0" w:noHBand="0" w:noVBand="0"/>
      </w:tblPr>
      <w:tblGrid>
        <w:gridCol w:w="2276"/>
        <w:gridCol w:w="6501"/>
      </w:tblGrid>
      <w:tr w:rsidR="00D6212F" w:rsidRPr="008C5FC1" w14:paraId="7790CBFD" w14:textId="77777777" w:rsidTr="00CF06DF">
        <w:trPr>
          <w:cantSplit/>
          <w:trHeight w:val="300"/>
        </w:trPr>
        <w:tc>
          <w:tcPr>
            <w:tcW w:w="2276" w:type="dxa"/>
            <w:tcMar>
              <w:top w:w="142" w:type="dxa"/>
              <w:left w:w="170" w:type="dxa"/>
              <w:bottom w:w="142" w:type="dxa"/>
              <w:right w:w="170" w:type="dxa"/>
            </w:tcMar>
          </w:tcPr>
          <w:p w14:paraId="2435C19D" w14:textId="4057262C" w:rsidR="00D6212F" w:rsidRDefault="00D6212F" w:rsidP="00CF06DF">
            <w:pPr>
              <w:pStyle w:val="Referencestable"/>
              <w:rPr>
                <w:rFonts w:ascii="Arial" w:hAnsi="Arial" w:cs="Arial"/>
                <w:sz w:val="22"/>
                <w:szCs w:val="22"/>
              </w:rPr>
            </w:pPr>
            <w:r>
              <w:rPr>
                <w:rFonts w:ascii="Arial" w:hAnsi="Arial" w:cs="Arial"/>
                <w:sz w:val="22"/>
                <w:szCs w:val="22"/>
              </w:rPr>
              <w:t>DISER 2020a</w:t>
            </w:r>
          </w:p>
        </w:tc>
        <w:tc>
          <w:tcPr>
            <w:tcW w:w="6501" w:type="dxa"/>
            <w:tcMar>
              <w:top w:w="142" w:type="dxa"/>
              <w:left w:w="170" w:type="dxa"/>
              <w:bottom w:w="142" w:type="dxa"/>
              <w:right w:w="170" w:type="dxa"/>
            </w:tcMar>
          </w:tcPr>
          <w:p w14:paraId="3D516B5E" w14:textId="712EC36B" w:rsidR="00D6212F" w:rsidRPr="00092C57" w:rsidRDefault="00D6212F" w:rsidP="00D6212F">
            <w:pPr>
              <w:pStyle w:val="FootnoteText"/>
              <w:rPr>
                <w:rFonts w:ascii="Arial" w:hAnsi="Arial" w:cs="Arial"/>
                <w:sz w:val="22"/>
                <w:szCs w:val="22"/>
              </w:rPr>
            </w:pPr>
            <w:r w:rsidRPr="00092C57">
              <w:rPr>
                <w:rFonts w:ascii="Arial" w:hAnsi="Arial" w:cs="Arial"/>
                <w:sz w:val="22"/>
                <w:szCs w:val="22"/>
              </w:rPr>
              <w:t xml:space="preserve">Department of Industry, Science, Energy and Resources </w:t>
            </w:r>
            <w:r>
              <w:rPr>
                <w:rFonts w:ascii="Arial" w:hAnsi="Arial" w:cs="Arial"/>
                <w:sz w:val="22"/>
                <w:szCs w:val="22"/>
              </w:rPr>
              <w:t xml:space="preserve">(2020) </w:t>
            </w:r>
            <w:r w:rsidRPr="00092C57">
              <w:rPr>
                <w:rFonts w:ascii="Arial" w:hAnsi="Arial" w:cs="Arial"/>
                <w:sz w:val="22"/>
                <w:szCs w:val="22"/>
              </w:rPr>
              <w:t>Austra</w:t>
            </w:r>
            <w:r>
              <w:rPr>
                <w:rFonts w:ascii="Arial" w:hAnsi="Arial" w:cs="Arial"/>
                <w:sz w:val="22"/>
                <w:szCs w:val="22"/>
              </w:rPr>
              <w:t xml:space="preserve">lian Energy Statistics, Table F. Available at </w:t>
            </w:r>
            <w:r w:rsidRPr="00092C57">
              <w:rPr>
                <w:rFonts w:ascii="Arial" w:hAnsi="Arial" w:cs="Arial"/>
                <w:sz w:val="22"/>
                <w:szCs w:val="22"/>
              </w:rPr>
              <w:t>www.energy.gov.au/publications/australian-energy-update-2020</w:t>
            </w:r>
          </w:p>
        </w:tc>
      </w:tr>
      <w:tr w:rsidR="00092C57" w:rsidRPr="008C5FC1" w14:paraId="2BA02928" w14:textId="77777777" w:rsidTr="00CF06DF">
        <w:trPr>
          <w:cantSplit/>
          <w:trHeight w:val="300"/>
        </w:trPr>
        <w:tc>
          <w:tcPr>
            <w:tcW w:w="2276" w:type="dxa"/>
            <w:tcMar>
              <w:top w:w="142" w:type="dxa"/>
              <w:left w:w="170" w:type="dxa"/>
              <w:bottom w:w="142" w:type="dxa"/>
              <w:right w:w="170" w:type="dxa"/>
            </w:tcMar>
          </w:tcPr>
          <w:p w14:paraId="23917C85" w14:textId="42A4160F" w:rsidR="00092C57" w:rsidRDefault="00092C57" w:rsidP="00CF06DF">
            <w:pPr>
              <w:pStyle w:val="Referencestable"/>
              <w:rPr>
                <w:rFonts w:ascii="Arial" w:hAnsi="Arial" w:cs="Arial"/>
                <w:sz w:val="22"/>
                <w:szCs w:val="22"/>
              </w:rPr>
            </w:pPr>
            <w:r>
              <w:rPr>
                <w:rFonts w:ascii="Arial" w:hAnsi="Arial" w:cs="Arial"/>
                <w:sz w:val="22"/>
                <w:szCs w:val="22"/>
              </w:rPr>
              <w:t>DISER 2020</w:t>
            </w:r>
            <w:r w:rsidR="00D6212F">
              <w:rPr>
                <w:rFonts w:ascii="Arial" w:hAnsi="Arial" w:cs="Arial"/>
                <w:sz w:val="22"/>
                <w:szCs w:val="22"/>
              </w:rPr>
              <w:t>b</w:t>
            </w:r>
          </w:p>
        </w:tc>
        <w:tc>
          <w:tcPr>
            <w:tcW w:w="6501" w:type="dxa"/>
            <w:tcMar>
              <w:top w:w="142" w:type="dxa"/>
              <w:left w:w="170" w:type="dxa"/>
              <w:bottom w:w="142" w:type="dxa"/>
              <w:right w:w="170" w:type="dxa"/>
            </w:tcMar>
          </w:tcPr>
          <w:p w14:paraId="7C810687" w14:textId="47FAC465" w:rsidR="00092C57" w:rsidRDefault="00092C57" w:rsidP="00092C57">
            <w:pPr>
              <w:pStyle w:val="FootnoteText"/>
              <w:rPr>
                <w:rFonts w:ascii="Arial" w:hAnsi="Arial" w:cs="Arial"/>
                <w:sz w:val="22"/>
                <w:szCs w:val="22"/>
              </w:rPr>
            </w:pPr>
            <w:r w:rsidRPr="00092C57">
              <w:rPr>
                <w:rFonts w:ascii="Arial" w:hAnsi="Arial" w:cs="Arial"/>
                <w:sz w:val="22"/>
                <w:szCs w:val="22"/>
              </w:rPr>
              <w:t xml:space="preserve">Department of Industry, Science, Energy and Resources (2020) Australia’s emissions projections 2020 Available at </w:t>
            </w:r>
          </w:p>
          <w:p w14:paraId="1F62C805" w14:textId="6DA7587E" w:rsidR="00D6212F" w:rsidRPr="00092C57" w:rsidRDefault="00D6212F" w:rsidP="00092C57">
            <w:pPr>
              <w:pStyle w:val="FootnoteText"/>
              <w:rPr>
                <w:rFonts w:ascii="Arial" w:hAnsi="Arial" w:cs="Arial"/>
                <w:sz w:val="22"/>
                <w:szCs w:val="22"/>
              </w:rPr>
            </w:pPr>
            <w:r w:rsidRPr="00D6212F">
              <w:rPr>
                <w:rFonts w:ascii="Arial" w:hAnsi="Arial" w:cs="Arial"/>
                <w:sz w:val="22"/>
                <w:szCs w:val="22"/>
              </w:rPr>
              <w:t>www.industry.gov.au/data-and-publications/australias-emissions-projections-2020</w:t>
            </w:r>
          </w:p>
        </w:tc>
      </w:tr>
      <w:tr w:rsidR="00A012B1" w:rsidRPr="008C5FC1" w14:paraId="52038308" w14:textId="77777777" w:rsidTr="00CF06DF">
        <w:trPr>
          <w:cantSplit/>
          <w:trHeight w:val="300"/>
        </w:trPr>
        <w:tc>
          <w:tcPr>
            <w:tcW w:w="2276" w:type="dxa"/>
            <w:tcMar>
              <w:top w:w="142" w:type="dxa"/>
              <w:left w:w="170" w:type="dxa"/>
              <w:bottom w:w="142" w:type="dxa"/>
              <w:right w:w="170" w:type="dxa"/>
            </w:tcMar>
          </w:tcPr>
          <w:p w14:paraId="16AEA933" w14:textId="2BEF17E4" w:rsidR="00A012B1" w:rsidRDefault="00A012B1" w:rsidP="00CF06DF">
            <w:pPr>
              <w:pStyle w:val="Referencestable"/>
              <w:rPr>
                <w:rFonts w:ascii="Arial" w:hAnsi="Arial" w:cs="Arial"/>
                <w:sz w:val="22"/>
                <w:szCs w:val="22"/>
              </w:rPr>
            </w:pPr>
            <w:r>
              <w:rPr>
                <w:rFonts w:ascii="Arial" w:hAnsi="Arial" w:cs="Arial"/>
                <w:sz w:val="22"/>
                <w:szCs w:val="22"/>
              </w:rPr>
              <w:t>DISER 2020</w:t>
            </w:r>
            <w:r w:rsidR="00D6212F">
              <w:rPr>
                <w:rFonts w:ascii="Arial" w:hAnsi="Arial" w:cs="Arial"/>
                <w:sz w:val="22"/>
                <w:szCs w:val="22"/>
              </w:rPr>
              <w:t>c</w:t>
            </w:r>
          </w:p>
        </w:tc>
        <w:tc>
          <w:tcPr>
            <w:tcW w:w="6501" w:type="dxa"/>
            <w:tcMar>
              <w:top w:w="142" w:type="dxa"/>
              <w:left w:w="170" w:type="dxa"/>
              <w:bottom w:w="142" w:type="dxa"/>
              <w:right w:w="170" w:type="dxa"/>
            </w:tcMar>
          </w:tcPr>
          <w:p w14:paraId="459DCE63" w14:textId="4A6F0860" w:rsidR="00A012B1" w:rsidRPr="00092C57" w:rsidRDefault="00A012B1" w:rsidP="00092C57">
            <w:pPr>
              <w:pStyle w:val="FootnoteText"/>
              <w:rPr>
                <w:rFonts w:ascii="Arial" w:hAnsi="Arial" w:cs="Arial"/>
                <w:sz w:val="22"/>
                <w:szCs w:val="22"/>
              </w:rPr>
            </w:pPr>
            <w:r w:rsidRPr="00A012B1">
              <w:rPr>
                <w:rFonts w:ascii="Arial" w:hAnsi="Arial" w:cs="Arial"/>
                <w:sz w:val="22"/>
                <w:szCs w:val="22"/>
              </w:rPr>
              <w:t>Department of Industry, Science, Energy and Resources (2020) Australian Petroleum Statistics—Issue 286, May 2020 Available at www.energy.gov.au/publications/australian-petroleum-statistics-2020</w:t>
            </w:r>
          </w:p>
        </w:tc>
      </w:tr>
      <w:tr w:rsidR="00A012B1" w:rsidRPr="008C5FC1" w14:paraId="644A0FB5" w14:textId="77777777" w:rsidTr="00CF06DF">
        <w:trPr>
          <w:cantSplit/>
          <w:trHeight w:val="300"/>
        </w:trPr>
        <w:tc>
          <w:tcPr>
            <w:tcW w:w="2276" w:type="dxa"/>
            <w:tcMar>
              <w:top w:w="142" w:type="dxa"/>
              <w:left w:w="170" w:type="dxa"/>
              <w:bottom w:w="142" w:type="dxa"/>
              <w:right w:w="170" w:type="dxa"/>
            </w:tcMar>
          </w:tcPr>
          <w:p w14:paraId="15E48CA4" w14:textId="7D494101" w:rsidR="00A012B1" w:rsidRDefault="00A012B1" w:rsidP="00A012B1">
            <w:pPr>
              <w:pStyle w:val="Referencestable"/>
              <w:rPr>
                <w:rFonts w:ascii="Arial" w:hAnsi="Arial" w:cs="Arial"/>
                <w:sz w:val="22"/>
                <w:szCs w:val="22"/>
              </w:rPr>
            </w:pPr>
            <w:r>
              <w:rPr>
                <w:rFonts w:ascii="Arial" w:hAnsi="Arial" w:cs="Arial"/>
                <w:sz w:val="22"/>
                <w:szCs w:val="22"/>
              </w:rPr>
              <w:t>DISER 2021</w:t>
            </w:r>
          </w:p>
        </w:tc>
        <w:tc>
          <w:tcPr>
            <w:tcW w:w="6501" w:type="dxa"/>
            <w:tcMar>
              <w:top w:w="142" w:type="dxa"/>
              <w:left w:w="170" w:type="dxa"/>
              <w:bottom w:w="142" w:type="dxa"/>
              <w:right w:w="170" w:type="dxa"/>
            </w:tcMar>
          </w:tcPr>
          <w:p w14:paraId="7BF4400C" w14:textId="1C4B9ED7" w:rsidR="00D6212F" w:rsidRDefault="00D6212F" w:rsidP="00D6212F">
            <w:pPr>
              <w:pStyle w:val="FootnoteText"/>
              <w:rPr>
                <w:rFonts w:ascii="Arial" w:hAnsi="Arial" w:cs="Arial"/>
                <w:sz w:val="22"/>
                <w:szCs w:val="22"/>
              </w:rPr>
            </w:pPr>
            <w:r w:rsidRPr="00A012B1">
              <w:rPr>
                <w:rFonts w:ascii="Arial" w:hAnsi="Arial" w:cs="Arial"/>
                <w:sz w:val="22"/>
                <w:szCs w:val="22"/>
              </w:rPr>
              <w:t>Department of Industry, Science, Energy and Resources (2020) Australi</w:t>
            </w:r>
            <w:r>
              <w:rPr>
                <w:rFonts w:ascii="Arial" w:hAnsi="Arial" w:cs="Arial"/>
                <w:sz w:val="22"/>
                <w:szCs w:val="22"/>
              </w:rPr>
              <w:t>an Petroleum Statistics—Issue 29</w:t>
            </w:r>
            <w:r w:rsidRPr="00A012B1">
              <w:rPr>
                <w:rFonts w:ascii="Arial" w:hAnsi="Arial" w:cs="Arial"/>
                <w:sz w:val="22"/>
                <w:szCs w:val="22"/>
              </w:rPr>
              <w:t xml:space="preserve">6, </w:t>
            </w:r>
            <w:r>
              <w:rPr>
                <w:rFonts w:ascii="Arial" w:hAnsi="Arial" w:cs="Arial"/>
                <w:sz w:val="22"/>
                <w:szCs w:val="22"/>
              </w:rPr>
              <w:t>March 2021</w:t>
            </w:r>
            <w:r w:rsidRPr="00A012B1">
              <w:rPr>
                <w:rFonts w:ascii="Arial" w:hAnsi="Arial" w:cs="Arial"/>
                <w:sz w:val="22"/>
                <w:szCs w:val="22"/>
              </w:rPr>
              <w:t xml:space="preserve"> Available at </w:t>
            </w:r>
            <w:r w:rsidRPr="00D6212F">
              <w:rPr>
                <w:rFonts w:ascii="Arial" w:hAnsi="Arial" w:cs="Arial"/>
                <w:sz w:val="22"/>
                <w:szCs w:val="22"/>
              </w:rPr>
              <w:t>www.energy.gov.au/publications/australian-petroleum-statistics-2021</w:t>
            </w:r>
          </w:p>
        </w:tc>
      </w:tr>
      <w:tr w:rsidR="00A012B1" w:rsidRPr="008C5FC1" w14:paraId="29E085AB" w14:textId="77777777" w:rsidTr="00CF06DF">
        <w:trPr>
          <w:cantSplit/>
          <w:trHeight w:val="300"/>
        </w:trPr>
        <w:tc>
          <w:tcPr>
            <w:tcW w:w="2276" w:type="dxa"/>
            <w:tcMar>
              <w:top w:w="142" w:type="dxa"/>
              <w:left w:w="170" w:type="dxa"/>
              <w:bottom w:w="142" w:type="dxa"/>
              <w:right w:w="170" w:type="dxa"/>
            </w:tcMar>
          </w:tcPr>
          <w:p w14:paraId="5F3EC509" w14:textId="6538BF31" w:rsidR="00A012B1" w:rsidRDefault="00A012B1" w:rsidP="00A012B1">
            <w:pPr>
              <w:pStyle w:val="Referencestable"/>
              <w:rPr>
                <w:rFonts w:ascii="Arial" w:hAnsi="Arial" w:cs="Arial"/>
                <w:sz w:val="22"/>
                <w:szCs w:val="22"/>
              </w:rPr>
            </w:pPr>
            <w:r w:rsidRPr="00FF5E4D">
              <w:rPr>
                <w:rFonts w:ascii="Arial" w:hAnsi="Arial" w:cs="Arial"/>
                <w:sz w:val="22"/>
                <w:szCs w:val="22"/>
              </w:rPr>
              <w:t>McKinsey 2020</w:t>
            </w:r>
          </w:p>
        </w:tc>
        <w:tc>
          <w:tcPr>
            <w:tcW w:w="6501" w:type="dxa"/>
            <w:tcMar>
              <w:top w:w="142" w:type="dxa"/>
              <w:left w:w="170" w:type="dxa"/>
              <w:bottom w:w="142" w:type="dxa"/>
              <w:right w:w="170" w:type="dxa"/>
            </w:tcMar>
          </w:tcPr>
          <w:p w14:paraId="0619E12F" w14:textId="6BDF0110" w:rsidR="00A012B1" w:rsidRDefault="00A012B1" w:rsidP="00A012B1">
            <w:pPr>
              <w:pStyle w:val="FootnoteText"/>
              <w:rPr>
                <w:rFonts w:ascii="Arial" w:hAnsi="Arial" w:cs="Arial"/>
                <w:sz w:val="22"/>
                <w:szCs w:val="22"/>
              </w:rPr>
            </w:pPr>
            <w:r w:rsidRPr="00FF5E4D">
              <w:rPr>
                <w:rFonts w:ascii="Arial" w:hAnsi="Arial" w:cs="Arial"/>
                <w:sz w:val="22"/>
                <w:szCs w:val="22"/>
              </w:rPr>
              <w:t>McKinsey 2020, Domestic Refinery</w:t>
            </w:r>
            <w:r>
              <w:rPr>
                <w:rFonts w:ascii="Arial" w:hAnsi="Arial" w:cs="Arial"/>
                <w:sz w:val="22"/>
                <w:szCs w:val="22"/>
              </w:rPr>
              <w:t xml:space="preserve"> Review Synthesis, unpublished</w:t>
            </w:r>
          </w:p>
        </w:tc>
      </w:tr>
    </w:tbl>
    <w:p w14:paraId="5BDD5BCB" w14:textId="77777777" w:rsidR="00811BBF" w:rsidRPr="009A5729" w:rsidRDefault="00811BBF" w:rsidP="009A5729">
      <w:pPr>
        <w:pStyle w:val="BodyText"/>
        <w:rPr>
          <w:rFonts w:ascii="Calibri" w:eastAsia="Calibri" w:hAnsi="Calibri" w:cs="Times New Roman"/>
        </w:rPr>
      </w:pPr>
    </w:p>
    <w:sectPr w:rsidR="00811BBF" w:rsidRPr="009A5729" w:rsidSect="00580796">
      <w:headerReference w:type="default" r:id="rId49"/>
      <w:footerReference w:type="default" r:id="rId5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BC8E3" w14:textId="77777777" w:rsidR="0048398E" w:rsidRDefault="0048398E" w:rsidP="00070E3D">
      <w:pPr>
        <w:spacing w:before="0" w:after="0"/>
      </w:pPr>
      <w:r>
        <w:separator/>
      </w:r>
    </w:p>
  </w:endnote>
  <w:endnote w:type="continuationSeparator" w:id="0">
    <w:p w14:paraId="430A7BF7" w14:textId="77777777" w:rsidR="0048398E" w:rsidRDefault="0048398E" w:rsidP="00070E3D">
      <w:pPr>
        <w:spacing w:before="0" w:after="0"/>
      </w:pPr>
      <w:r>
        <w:continuationSeparator/>
      </w:r>
    </w:p>
  </w:endnote>
  <w:endnote w:type="continuationNotice" w:id="1">
    <w:p w14:paraId="0A8192E9" w14:textId="77777777" w:rsidR="0048398E" w:rsidRDefault="004839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089136"/>
      <w:docPartObj>
        <w:docPartGallery w:val="Page Numbers (Bottom of Page)"/>
        <w:docPartUnique/>
      </w:docPartObj>
    </w:sdtPr>
    <w:sdtEndPr>
      <w:rPr>
        <w:noProof/>
      </w:rPr>
    </w:sdtEndPr>
    <w:sdtContent>
      <w:p w14:paraId="559F1974" w14:textId="6B2CB788" w:rsidR="0048398E" w:rsidRDefault="0048398E" w:rsidP="00380B98">
        <w:pPr>
          <w:pStyle w:val="ProtectiveMarking"/>
        </w:pPr>
        <w:r>
          <w:rPr>
            <w:noProof/>
            <w:lang w:eastAsia="en-AU"/>
          </w:rPr>
          <mc:AlternateContent>
            <mc:Choice Requires="wps">
              <w:drawing>
                <wp:anchor distT="0" distB="0" distL="114300" distR="114300" simplePos="0" relativeHeight="251658244" behindDoc="0" locked="0" layoutInCell="1" allowOverlap="1" wp14:anchorId="46574541" wp14:editId="345BFCF6">
                  <wp:simplePos x="0" y="0"/>
                  <wp:positionH relativeFrom="column">
                    <wp:posOffset>4970780</wp:posOffset>
                  </wp:positionH>
                  <wp:positionV relativeFrom="paragraph">
                    <wp:posOffset>57150</wp:posOffset>
                  </wp:positionV>
                  <wp:extent cx="959485" cy="2578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9485"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EACF4" w14:textId="57D0F1B3" w:rsidR="0048398E" w:rsidRPr="00380B98" w:rsidRDefault="0048398E" w:rsidP="00380B98">
                              <w:pPr>
                                <w:pStyle w:val="PageRefCab"/>
                                <w:rPr>
                                  <w:color w:val="BFBFBF" w:themeColor="background1" w:themeShade="BF"/>
                                </w:rPr>
                              </w:pPr>
                              <w:r w:rsidRPr="00380B98">
                                <w:rPr>
                                  <w:color w:val="BFBFBF" w:themeColor="background1" w:themeShade="BF"/>
                                </w:rPr>
                                <w:t xml:space="preserve">Page </w:t>
                              </w:r>
                              <w:r w:rsidRPr="00380B98">
                                <w:rPr>
                                  <w:color w:val="BFBFBF" w:themeColor="background1" w:themeShade="BF"/>
                                </w:rPr>
                                <w:fldChar w:fldCharType="begin"/>
                              </w:r>
                              <w:r w:rsidRPr="00380B98">
                                <w:rPr>
                                  <w:color w:val="BFBFBF" w:themeColor="background1" w:themeShade="BF"/>
                                </w:rPr>
                                <w:instrText xml:space="preserve"> PAGE </w:instrText>
                              </w:r>
                              <w:r w:rsidRPr="00380B98">
                                <w:rPr>
                                  <w:color w:val="BFBFBF" w:themeColor="background1" w:themeShade="BF"/>
                                </w:rPr>
                                <w:fldChar w:fldCharType="separate"/>
                              </w:r>
                              <w:r w:rsidR="006A6B29">
                                <w:rPr>
                                  <w:noProof/>
                                  <w:color w:val="BFBFBF" w:themeColor="background1" w:themeShade="BF"/>
                                </w:rPr>
                                <w:t>21</w:t>
                              </w:r>
                              <w:r w:rsidRPr="00380B98">
                                <w:rPr>
                                  <w:color w:val="BFBFBF" w:themeColor="background1" w:themeShade="BF"/>
                                </w:rPr>
                                <w:fldChar w:fldCharType="end"/>
                              </w:r>
                              <w:r w:rsidRPr="00380B98">
                                <w:rPr>
                                  <w:color w:val="BFBFBF" w:themeColor="background1" w:themeShade="BF"/>
                                </w:rPr>
                                <w:t xml:space="preserve"> of </w:t>
                              </w:r>
                              <w:r w:rsidRPr="00380B98">
                                <w:rPr>
                                  <w:color w:val="BFBFBF" w:themeColor="background1" w:themeShade="BF"/>
                                </w:rPr>
                                <w:fldChar w:fldCharType="begin"/>
                              </w:r>
                              <w:r w:rsidRPr="00380B98">
                                <w:rPr>
                                  <w:color w:val="BFBFBF" w:themeColor="background1" w:themeShade="BF"/>
                                </w:rPr>
                                <w:instrText xml:space="preserve"> NUMPAGES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p>
                            <w:p w14:paraId="621DB1BA" w14:textId="77777777" w:rsidR="0048398E" w:rsidRPr="00380B98" w:rsidRDefault="0048398E" w:rsidP="00380B98">
                              <w:pPr>
                                <w:rPr>
                                  <w:color w:val="BFBFBF" w:themeColor="background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6574541" id="_x0000_t202" coordsize="21600,21600" o:spt="202" path="m,l,21600r21600,l21600,xe">
                  <v:stroke joinstyle="miter"/>
                  <v:path gradientshapeok="t" o:connecttype="rect"/>
                </v:shapetype>
                <v:shape id="Text Box 8" o:spid="_x0000_s1026" type="#_x0000_t202" style="position:absolute;left:0;text-align:left;margin-left:391.4pt;margin-top:4.5pt;width:75.55pt;height:20.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77iwIAAHoFAAAOAAAAZHJzL2Uyb0RvYy54bWysVN9v2jAQfp+0/8Hy+xpg0EJEqFirTpNQ&#10;W62d+mwcG6LaPs82JOyv39lJAHV76bSXxPZ99/O7u/l1oxXZC+crMAUdXgwoEYZDWZlNQX88332a&#10;UuIDMyVTYERBD8LT68XHD/Pa5mIEW1ClcASNGJ/XtqDbEGyeZZ5vhWb+AqwwKJTgNAt4dZusdKxG&#10;61plo8HgMqvBldYBF97j620rpItkX0rBw4OUXgSiCoqxhfR16buO32wxZ/nGMbuteBcG+4coNKsM&#10;Oj2aumWBkZ2r/jClK+7AgwwXHHQGUlZcpBwwm+HgTTZPW2ZFygWL4+2xTP7/meX3+0dHqrKgSJRh&#10;Gil6Fk0gX6Ah01id2vocQU8WYaHBZ2Q5ZertCvirR0h2hmkVPKJjNRrpdPxjngQVkYDDsejRC8fH&#10;2WQ2nk4o4SgaTa6mw0RKdlK2zoevAjSJh4I65DQFwPYrH6J7lveQ6MvAXaVU4lUZUhf08vNkkBSO&#10;EtRQJmJF6pDOTMyiDTydwkGJiFHmu5BYoRR/fEi9KW6UI3uGXcU4FyYMY62SXURHlMQg3qPY4U9R&#10;vUe5zaP3DCYclXVlwLV8xZE6hV2+9iHLFt/x6Nu8YwlCs24wq3hcQ3nABnDQDpC3/K5CNlbMh0fm&#10;cGKQWtwC4QE/UgFWHboTJVtwv/72HvHYyCilpMYJLKj/uWNOUKK+GWzx2XA8jiObLuPJ1Qgv7lyy&#10;PpeYnb4BpGOI+8bydIz4oPqjdKBfcFkso1cUMcPRd0FDf7wJ7V7AZcPFcplAOKSWhZV5srzv+9hr&#10;z80Lc7ZryICdfA/9rLL8TV+22MirgeUugKxS056q2hUeBzx1ULeM4gY5vyfUaWUufgMAAP//AwBQ&#10;SwMEFAAGAAgAAAAhAAyD8eTeAAAACAEAAA8AAABkcnMvZG93bnJldi54bWxMj0FLAzEQhe+C/yGM&#10;4M1mbaV2182WInoRRFoL4i3djJvVZLImabv+e6cnPQ5v+N736uXonThgTH0gBdeTAgRSG0xPnYLt&#10;6+PVAkTKmox2gVDBDyZYNudnta5MONIaD5vcCYZQqrQCm/NQSZlai16nSRiQOPsI0evMZ+ykifrI&#10;cO/ktCjm0uueuMHqAe8ttl+bvVdwu3g39jM+jdu359W3fRmke9BSqcuLcXUHIuOY/57hpM/q0LDT&#10;LuzJJOFOjCmrZwUlT+K8nM1KEDsFN+UcZFPL/wOaXwAAAP//AwBQSwECLQAUAAYACAAAACEAtoM4&#10;kv4AAADhAQAAEwAAAAAAAAAAAAAAAAAAAAAAW0NvbnRlbnRfVHlwZXNdLnhtbFBLAQItABQABgAI&#10;AAAAIQA4/SH/1gAAAJQBAAALAAAAAAAAAAAAAAAAAC8BAABfcmVscy8ucmVsc1BLAQItABQABgAI&#10;AAAAIQBhts77iwIAAHoFAAAOAAAAAAAAAAAAAAAAAC4CAABkcnMvZTJvRG9jLnhtbFBLAQItABQA&#10;BgAIAAAAIQAMg/Hk3gAAAAgBAAAPAAAAAAAAAAAAAAAAAOUEAABkcnMvZG93bnJldi54bWxQSwUG&#10;AAAAAAQABADzAAAA8AUAAAAA&#10;" filled="f" stroked="f" strokeweight=".5pt">
                  <v:path arrowok="t"/>
                  <v:textbox>
                    <w:txbxContent>
                      <w:p w14:paraId="035EACF4" w14:textId="57D0F1B3" w:rsidR="0048398E" w:rsidRPr="00380B98" w:rsidRDefault="0048398E" w:rsidP="00380B98">
                        <w:pPr>
                          <w:pStyle w:val="PageRefCab"/>
                          <w:rPr>
                            <w:color w:val="BFBFBF" w:themeColor="background1" w:themeShade="BF"/>
                          </w:rPr>
                        </w:pPr>
                        <w:r w:rsidRPr="00380B98">
                          <w:rPr>
                            <w:color w:val="BFBFBF" w:themeColor="background1" w:themeShade="BF"/>
                          </w:rPr>
                          <w:t xml:space="preserve">Page </w:t>
                        </w:r>
                        <w:r w:rsidRPr="00380B98">
                          <w:rPr>
                            <w:color w:val="BFBFBF" w:themeColor="background1" w:themeShade="BF"/>
                          </w:rPr>
                          <w:fldChar w:fldCharType="begin"/>
                        </w:r>
                        <w:r w:rsidRPr="00380B98">
                          <w:rPr>
                            <w:color w:val="BFBFBF" w:themeColor="background1" w:themeShade="BF"/>
                          </w:rPr>
                          <w:instrText xml:space="preserve"> PAGE </w:instrText>
                        </w:r>
                        <w:r w:rsidRPr="00380B98">
                          <w:rPr>
                            <w:color w:val="BFBFBF" w:themeColor="background1" w:themeShade="BF"/>
                          </w:rPr>
                          <w:fldChar w:fldCharType="separate"/>
                        </w:r>
                        <w:r w:rsidR="006A6B29">
                          <w:rPr>
                            <w:noProof/>
                            <w:color w:val="BFBFBF" w:themeColor="background1" w:themeShade="BF"/>
                          </w:rPr>
                          <w:t>21</w:t>
                        </w:r>
                        <w:r w:rsidRPr="00380B98">
                          <w:rPr>
                            <w:color w:val="BFBFBF" w:themeColor="background1" w:themeShade="BF"/>
                          </w:rPr>
                          <w:fldChar w:fldCharType="end"/>
                        </w:r>
                        <w:r w:rsidRPr="00380B98">
                          <w:rPr>
                            <w:color w:val="BFBFBF" w:themeColor="background1" w:themeShade="BF"/>
                          </w:rPr>
                          <w:t xml:space="preserve"> of </w:t>
                        </w:r>
                        <w:r w:rsidRPr="00380B98">
                          <w:rPr>
                            <w:color w:val="BFBFBF" w:themeColor="background1" w:themeShade="BF"/>
                          </w:rPr>
                          <w:fldChar w:fldCharType="begin"/>
                        </w:r>
                        <w:r w:rsidRPr="00380B98">
                          <w:rPr>
                            <w:color w:val="BFBFBF" w:themeColor="background1" w:themeShade="BF"/>
                          </w:rPr>
                          <w:instrText xml:space="preserve"> NUMPAGES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p>
                      <w:p w14:paraId="621DB1BA" w14:textId="77777777" w:rsidR="0048398E" w:rsidRPr="00380B98" w:rsidRDefault="0048398E" w:rsidP="00380B98">
                        <w:pPr>
                          <w:rPr>
                            <w:color w:val="BFBFBF" w:themeColor="background1" w:themeShade="BF"/>
                          </w:rPr>
                        </w:pPr>
                      </w:p>
                    </w:txbxContent>
                  </v:textbox>
                </v:shape>
              </w:pict>
            </mc:Fallback>
          </mc:AlternateContent>
        </w:r>
      </w:p>
    </w:sdtContent>
  </w:sdt>
  <w:p w14:paraId="53A05566" w14:textId="04E4A094" w:rsidR="0048398E" w:rsidRDefault="0048398E" w:rsidP="0045053D">
    <w:pPr>
      <w:pStyle w:val="Footer"/>
      <w:tabs>
        <w:tab w:val="clear" w:pos="4320"/>
        <w:tab w:val="clear" w:pos="8640"/>
        <w:tab w:val="left" w:pos="1026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087784"/>
      <w:docPartObj>
        <w:docPartGallery w:val="Page Numbers (Bottom of Page)"/>
        <w:docPartUnique/>
      </w:docPartObj>
    </w:sdtPr>
    <w:sdtEndPr>
      <w:rPr>
        <w:noProof/>
      </w:rPr>
    </w:sdtEndPr>
    <w:sdtContent>
      <w:p w14:paraId="2963614D" w14:textId="7FDADFD2" w:rsidR="0048398E" w:rsidRDefault="0048398E" w:rsidP="002D7D34">
        <w:pPr>
          <w:pStyle w:val="ProtectiveMarking"/>
          <w:jc w:val="left"/>
        </w:pPr>
        <w:r>
          <w:rPr>
            <w:noProof/>
            <w:lang w:eastAsia="en-AU"/>
          </w:rPr>
          <mc:AlternateContent>
            <mc:Choice Requires="wps">
              <w:drawing>
                <wp:anchor distT="0" distB="0" distL="114300" distR="114300" simplePos="0" relativeHeight="251658243" behindDoc="0" locked="0" layoutInCell="1" allowOverlap="1" wp14:anchorId="4CC02FDB" wp14:editId="4B4515A3">
                  <wp:simplePos x="0" y="0"/>
                  <wp:positionH relativeFrom="column">
                    <wp:posOffset>8267700</wp:posOffset>
                  </wp:positionH>
                  <wp:positionV relativeFrom="paragraph">
                    <wp:posOffset>152400</wp:posOffset>
                  </wp:positionV>
                  <wp:extent cx="959485" cy="25781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9485"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26BA2" w14:textId="05D550A6" w:rsidR="0048398E" w:rsidRPr="00380B98" w:rsidRDefault="0048398E" w:rsidP="0045053D">
                              <w:pPr>
                                <w:pStyle w:val="PageRefCab"/>
                                <w:rPr>
                                  <w:color w:val="BFBFBF" w:themeColor="background1" w:themeShade="BF"/>
                                </w:rPr>
                              </w:pPr>
                              <w:r w:rsidRPr="00380B98">
                                <w:rPr>
                                  <w:color w:val="BFBFBF" w:themeColor="background1" w:themeShade="BF"/>
                                </w:rPr>
                                <w:t xml:space="preserve">Page </w:t>
                              </w:r>
                              <w:r w:rsidRPr="00380B98">
                                <w:rPr>
                                  <w:color w:val="BFBFBF" w:themeColor="background1" w:themeShade="BF"/>
                                </w:rPr>
                                <w:fldChar w:fldCharType="begin"/>
                              </w:r>
                              <w:r w:rsidRPr="00380B98">
                                <w:rPr>
                                  <w:color w:val="BFBFBF" w:themeColor="background1" w:themeShade="BF"/>
                                </w:rPr>
                                <w:instrText xml:space="preserve"> PAGE </w:instrText>
                              </w:r>
                              <w:r w:rsidRPr="00380B98">
                                <w:rPr>
                                  <w:color w:val="BFBFBF" w:themeColor="background1" w:themeShade="BF"/>
                                </w:rPr>
                                <w:fldChar w:fldCharType="separate"/>
                              </w:r>
                              <w:r w:rsidR="006A6B29">
                                <w:rPr>
                                  <w:noProof/>
                                  <w:color w:val="BFBFBF" w:themeColor="background1" w:themeShade="BF"/>
                                </w:rPr>
                                <w:t>30</w:t>
                              </w:r>
                              <w:r w:rsidRPr="00380B98">
                                <w:rPr>
                                  <w:color w:val="BFBFBF" w:themeColor="background1" w:themeShade="BF"/>
                                </w:rPr>
                                <w:fldChar w:fldCharType="end"/>
                              </w:r>
                              <w:r w:rsidRPr="00380B98">
                                <w:rPr>
                                  <w:color w:val="BFBFBF" w:themeColor="background1" w:themeShade="BF"/>
                                </w:rPr>
                                <w:t xml:space="preserve"> of </w:t>
                              </w:r>
                              <w:r w:rsidRPr="00380B98">
                                <w:rPr>
                                  <w:color w:val="BFBFBF" w:themeColor="background1" w:themeShade="BF"/>
                                </w:rPr>
                                <w:fldChar w:fldCharType="begin"/>
                              </w:r>
                              <w:r w:rsidRPr="00380B98">
                                <w:rPr>
                                  <w:color w:val="BFBFBF" w:themeColor="background1" w:themeShade="BF"/>
                                </w:rPr>
                                <w:instrText xml:space="preserve"> NUMPAGES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p>
                            <w:p w14:paraId="33280D7A" w14:textId="77777777" w:rsidR="0048398E" w:rsidRPr="00380B98" w:rsidRDefault="0048398E" w:rsidP="0045053D">
                              <w:pPr>
                                <w:rPr>
                                  <w:color w:val="BFBFBF" w:themeColor="background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C02FDB" id="_x0000_t202" coordsize="21600,21600" o:spt="202" path="m,l,21600r21600,l21600,xe">
                  <v:stroke joinstyle="miter"/>
                  <v:path gradientshapeok="t" o:connecttype="rect"/>
                </v:shapetype>
                <v:shape id="Text Box 16" o:spid="_x0000_s1027" type="#_x0000_t202" style="position:absolute;margin-left:651pt;margin-top:12pt;width:75.55pt;height:20.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3jgIAAIMFAAAOAAAAZHJzL2Uyb0RvYy54bWysVN9v2jAQfp+0/8Hy+wgwoG3UUDEqpkmo&#10;rdZOfTaOXaLaPs82JOyv39lJAHV76bSXxPZ99/u7u75ptCJ74XwFpqCjwZASYTiUlXkp6I+n1adL&#10;SnxgpmQKjCjoQXh6M//44bq2uRjDFlQpHEEjxue1Leg2BJtnmedboZkfgBUGhRKcZgGv7iUrHavR&#10;ulbZeDicZTW40jrgwnt8vW2FdJ7sSyl4uJfSi0BUQTG2kL4ufTfxm82vWf7imN1WvAuD/UMUmlUG&#10;nR5N3bLAyM5Vf5jSFXfgQYYBB52BlBUXKQfMZjR8k83jllmRcsHieHssk/9/Zvnd/sGRqsTezSgx&#10;TGOPnkQTyBdoCD5hfWrrc4Q9WgSGBt8Rm3L1dg381SMkO8O0Ch7RsR6NdDr+MVOCitiCw7Hs0Q3H&#10;x6vp1eRySglH0Xh6cTlKbclOytb58FWAJvFQUIddTQGw/dqH6J7lPST6MrCqlEqdVYbUBZ19ng6T&#10;wlGCGspErEgc6czELNrA0ykclIgYZb4LiTVK8ceHxE6xVI7sGfKKcS5MGMVaJbuIjiiJQbxHscOf&#10;onqPcptH7xlMOCrryoBr+xWH6hR2+dqHLFt810ff5h1LEJpN05KjJ8IGygPywEE7Sd7yVYVNWTMf&#10;HpjD0cEO4zoI9/iRCrD40J0o2YL79bf3iEdGo5SSGkexoP7njjlBifpmkOtXo8kkzm66TKYXY7y4&#10;c8nmXGJ2egnYlREuHsvTMeKD6o/SgX7GrbGIXlHEDEffBQ39cRnaBYFbh4vFIoFwWi0La/NoeU//&#10;SLmn5pk52/EyIKHvoB9alr+hZ4uN7TWw2AWQVeJurHNb1a7+OOmJSN1Wiqvk/J5Qp905/w0AAP//&#10;AwBQSwMEFAAGAAgAAAAhAJApBYjhAAAACwEAAA8AAABkcnMvZG93bnJldi54bWxMj8FOwzAQRO9I&#10;/IO1SNyo0zSEKsSpKgQXJIQolRC3bWzigL0OsduGv2d7gtNqtKOZN/Vq8k4czBj7QArmswyEoTbo&#10;njoF29eHqyWImJA0ukBGwY+JsGrOz2qsdDjSizlsUic4hGKFCmxKQyVlbK3xGGdhMMS/jzB6TCzH&#10;TuoRjxzuncyzrJQee+IGi4O5s6b92uy9gpvlu7af4+O0fXtaf9vnQbp7lEpdXkzrWxDJTOnPDCd8&#10;RoeGmXZhTzoKx3qR5TwmKcgLvidHcb2Yg9gpKIsSZFPL/xuaXwAAAP//AwBQSwECLQAUAAYACAAA&#10;ACEAtoM4kv4AAADhAQAAEwAAAAAAAAAAAAAAAAAAAAAAW0NvbnRlbnRfVHlwZXNdLnhtbFBLAQIt&#10;ABQABgAIAAAAIQA4/SH/1gAAAJQBAAALAAAAAAAAAAAAAAAAAC8BAABfcmVscy8ucmVsc1BLAQIt&#10;ABQABgAIAAAAIQCJ+GS3jgIAAIMFAAAOAAAAAAAAAAAAAAAAAC4CAABkcnMvZTJvRG9jLnhtbFBL&#10;AQItABQABgAIAAAAIQCQKQWI4QAAAAsBAAAPAAAAAAAAAAAAAAAAAOgEAABkcnMvZG93bnJldi54&#10;bWxQSwUGAAAAAAQABADzAAAA9gUAAAAA&#10;" filled="f" stroked="f" strokeweight=".5pt">
                  <v:path arrowok="t"/>
                  <v:textbox>
                    <w:txbxContent>
                      <w:p w14:paraId="74426BA2" w14:textId="05D550A6" w:rsidR="0048398E" w:rsidRPr="00380B98" w:rsidRDefault="0048398E" w:rsidP="0045053D">
                        <w:pPr>
                          <w:pStyle w:val="PageRefCab"/>
                          <w:rPr>
                            <w:color w:val="BFBFBF" w:themeColor="background1" w:themeShade="BF"/>
                          </w:rPr>
                        </w:pPr>
                        <w:r w:rsidRPr="00380B98">
                          <w:rPr>
                            <w:color w:val="BFBFBF" w:themeColor="background1" w:themeShade="BF"/>
                          </w:rPr>
                          <w:t xml:space="preserve">Page </w:t>
                        </w:r>
                        <w:r w:rsidRPr="00380B98">
                          <w:rPr>
                            <w:color w:val="BFBFBF" w:themeColor="background1" w:themeShade="BF"/>
                          </w:rPr>
                          <w:fldChar w:fldCharType="begin"/>
                        </w:r>
                        <w:r w:rsidRPr="00380B98">
                          <w:rPr>
                            <w:color w:val="BFBFBF" w:themeColor="background1" w:themeShade="BF"/>
                          </w:rPr>
                          <w:instrText xml:space="preserve"> PAGE </w:instrText>
                        </w:r>
                        <w:r w:rsidRPr="00380B98">
                          <w:rPr>
                            <w:color w:val="BFBFBF" w:themeColor="background1" w:themeShade="BF"/>
                          </w:rPr>
                          <w:fldChar w:fldCharType="separate"/>
                        </w:r>
                        <w:r w:rsidR="006A6B29">
                          <w:rPr>
                            <w:noProof/>
                            <w:color w:val="BFBFBF" w:themeColor="background1" w:themeShade="BF"/>
                          </w:rPr>
                          <w:t>30</w:t>
                        </w:r>
                        <w:r w:rsidRPr="00380B98">
                          <w:rPr>
                            <w:color w:val="BFBFBF" w:themeColor="background1" w:themeShade="BF"/>
                          </w:rPr>
                          <w:fldChar w:fldCharType="end"/>
                        </w:r>
                        <w:r w:rsidRPr="00380B98">
                          <w:rPr>
                            <w:color w:val="BFBFBF" w:themeColor="background1" w:themeShade="BF"/>
                          </w:rPr>
                          <w:t xml:space="preserve"> of </w:t>
                        </w:r>
                        <w:r w:rsidRPr="00380B98">
                          <w:rPr>
                            <w:color w:val="BFBFBF" w:themeColor="background1" w:themeShade="BF"/>
                          </w:rPr>
                          <w:fldChar w:fldCharType="begin"/>
                        </w:r>
                        <w:r w:rsidRPr="00380B98">
                          <w:rPr>
                            <w:color w:val="BFBFBF" w:themeColor="background1" w:themeShade="BF"/>
                          </w:rPr>
                          <w:instrText xml:space="preserve"> NUMPAGES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p>
                      <w:p w14:paraId="33280D7A" w14:textId="77777777" w:rsidR="0048398E" w:rsidRPr="00380B98" w:rsidRDefault="0048398E" w:rsidP="0045053D">
                        <w:pPr>
                          <w:rPr>
                            <w:color w:val="BFBFBF" w:themeColor="background1" w:themeShade="BF"/>
                          </w:rPr>
                        </w:pPr>
                      </w:p>
                    </w:txbxContent>
                  </v:textbox>
                </v:shape>
              </w:pict>
            </mc:Fallback>
          </mc:AlternateContent>
        </w:r>
      </w:p>
    </w:sdtContent>
  </w:sdt>
  <w:p w14:paraId="64989605" w14:textId="0DDDA138" w:rsidR="0048398E" w:rsidRDefault="0048398E" w:rsidP="0045053D">
    <w:pPr>
      <w:pStyle w:val="Footer"/>
    </w:pPr>
    <w:r>
      <w:rPr>
        <w:noProof/>
        <w:lang w:eastAsia="en-AU"/>
      </w:rPr>
      <mc:AlternateContent>
        <mc:Choice Requires="wps">
          <w:drawing>
            <wp:anchor distT="0" distB="0" distL="114300" distR="114300" simplePos="0" relativeHeight="251658242" behindDoc="0" locked="0" layoutInCell="1" allowOverlap="1" wp14:anchorId="7B4DC276" wp14:editId="712A235F">
              <wp:simplePos x="0" y="0"/>
              <wp:positionH relativeFrom="column">
                <wp:posOffset>8659258</wp:posOffset>
              </wp:positionH>
              <wp:positionV relativeFrom="paragraph">
                <wp:posOffset>3224377</wp:posOffset>
              </wp:positionV>
              <wp:extent cx="959485" cy="25781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9485"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9E341" w14:textId="6383A401" w:rsidR="0048398E" w:rsidRPr="00380B98" w:rsidRDefault="0048398E" w:rsidP="0045053D">
                          <w:pPr>
                            <w:pStyle w:val="PageRefCab"/>
                            <w:rPr>
                              <w:color w:val="BFBFBF" w:themeColor="background1" w:themeShade="BF"/>
                            </w:rPr>
                          </w:pPr>
                          <w:r w:rsidRPr="00380B98">
                            <w:rPr>
                              <w:color w:val="BFBFBF" w:themeColor="background1" w:themeShade="BF"/>
                            </w:rPr>
                            <w:t xml:space="preserve">Page </w:t>
                          </w:r>
                          <w:r w:rsidRPr="00380B98">
                            <w:rPr>
                              <w:color w:val="BFBFBF" w:themeColor="background1" w:themeShade="BF"/>
                            </w:rPr>
                            <w:fldChar w:fldCharType="begin"/>
                          </w:r>
                          <w:r w:rsidRPr="00380B98">
                            <w:rPr>
                              <w:color w:val="BFBFBF" w:themeColor="background1" w:themeShade="BF"/>
                            </w:rPr>
                            <w:instrText xml:space="preserve"> PAGE </w:instrText>
                          </w:r>
                          <w:r w:rsidRPr="00380B98">
                            <w:rPr>
                              <w:color w:val="BFBFBF" w:themeColor="background1" w:themeShade="BF"/>
                            </w:rPr>
                            <w:fldChar w:fldCharType="separate"/>
                          </w:r>
                          <w:r w:rsidR="006A6B29">
                            <w:rPr>
                              <w:noProof/>
                              <w:color w:val="BFBFBF" w:themeColor="background1" w:themeShade="BF"/>
                            </w:rPr>
                            <w:t>30</w:t>
                          </w:r>
                          <w:r w:rsidRPr="00380B98">
                            <w:rPr>
                              <w:color w:val="BFBFBF" w:themeColor="background1" w:themeShade="BF"/>
                            </w:rPr>
                            <w:fldChar w:fldCharType="end"/>
                          </w:r>
                          <w:r w:rsidRPr="00380B98">
                            <w:rPr>
                              <w:color w:val="BFBFBF" w:themeColor="background1" w:themeShade="BF"/>
                            </w:rPr>
                            <w:t xml:space="preserve"> of </w:t>
                          </w:r>
                          <w:r w:rsidRPr="00380B98">
                            <w:rPr>
                              <w:color w:val="BFBFBF" w:themeColor="background1" w:themeShade="BF"/>
                            </w:rPr>
                            <w:fldChar w:fldCharType="begin"/>
                          </w:r>
                          <w:r w:rsidRPr="00380B98">
                            <w:rPr>
                              <w:color w:val="BFBFBF" w:themeColor="background1" w:themeShade="BF"/>
                            </w:rPr>
                            <w:instrText xml:space="preserve"> NUMPAGES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p>
                        <w:p w14:paraId="04AFF79A" w14:textId="77777777" w:rsidR="0048398E" w:rsidRPr="00380B98" w:rsidRDefault="0048398E" w:rsidP="0045053D">
                          <w:pPr>
                            <w:rPr>
                              <w:color w:val="BFBFBF" w:themeColor="background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4DC276" id="Text Box 17" o:spid="_x0000_s1028" type="#_x0000_t202" style="position:absolute;margin-left:681.85pt;margin-top:253.9pt;width:75.55pt;height:20.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E9jwIAAIMFAAAOAAAAZHJzL2Uyb0RvYy54bWysVFtv2jAUfp+0/2D5fQ0w6CUiVKxVp0mo&#10;rQZTn41jQ1Tbx7MNCfv1O3YSQN1eOu0lsX2+c//Omd42WpG9cL4CU9DhxYASYTiUldkU9Mfq4dM1&#10;JT4wUzIFRhT0IDy9nX38MK1tLkawBVUKR9CI8XltC7oNweZZ5vlWaOYvwAqDQglOs4BXt8lKx2q0&#10;rlU2GgwusxpcaR1w4T2+3rdCOkv2pRQ8PEnpRSCqoBhbSF+Xvuv4zWZTlm8cs9uKd2Gwf4hCs8qg&#10;06OpexYY2bnqD1O64g48yHDBQWcgZcVFygGzGQ7eZLPcMitSLlgcb49l8v/PLH/cPztSldi7K0oM&#10;09ijlWgC+QINwSesT219jrClRWBo8B2xKVdvF8BfPUKyM0yr4BEd69FIp+MfMyWoiC04HMse3XB8&#10;vJncjK8nlHAUjSZX18PUluykbJ0PXwVoEg8FddjVFADbL3yI7lneQ6IvAw+VUqmzypC6oJefJ4Ok&#10;cJSghjIRKxJHOjMxizbwdAoHJSJGme9CYo1S/PEhsVPcKUf2DHnFOBcmDGOtkl1ER5TEIN6j2OFP&#10;Ub1Huc2j9wwmHJV1ZcC1/YpDdQq7fO1Dli2+66Nv844lCM26SeQY9URYQ3lAHjhoJ8lb/lBhUxbM&#10;h2fmcHSww7gOwhN+pAIsPnQnSrbgfv3tPeKR0SilpMZRLKj/uWNOUKK+GeT6zXA8jrObLuPJ1Qgv&#10;7lyyPpeYnb4D7MoQF4/l6RjxQfVH6UC/4NaYR68oYoaj74KG/ngX2gWBW4eL+TyBcFotCwuztLyn&#10;f6Tcqnlhzna8DEjoR+iHluVv6NliY3sNzHcBZJW4G+vcVrWrP056IlK3leIqOb8n1Gl3zn4DAAD/&#10;/wMAUEsDBBQABgAIAAAAIQCjNqYt4gAAAA0BAAAPAAAAZHJzL2Rvd25yZXYueG1sTI/BTsMwEETv&#10;SPyDtUjcqFOaNlEap6oQXJAQaqmEenNjEwfsdbDdNvw92xPcdnZHs2/q1egsO+kQe48CppMMmMbW&#10;qx47Abu3p7sSWEwSlbQetYAfHWHVXF/VslL+jBt92qaOUQjGSgowKQ0V57E12sk48YNGun344GQi&#10;GTqugjxTuLP8PssW3Mke6YORg34wuv3aHp2Aotwr8xmex937y/rbvA7cPkouxO3NuF4CS3pMf2a4&#10;4BM6NMR08EdUkVnSs8WsIK+AeVZQiYtlPs1pOtAqL3PgTc3/t2h+AQAA//8DAFBLAQItABQABgAI&#10;AAAAIQC2gziS/gAAAOEBAAATAAAAAAAAAAAAAAAAAAAAAABbQ29udGVudF9UeXBlc10ueG1sUEsB&#10;Ai0AFAAGAAgAAAAhADj9If/WAAAAlAEAAAsAAAAAAAAAAAAAAAAALwEAAF9yZWxzLy5yZWxzUEsB&#10;Ai0AFAAGAAgAAAAhAH0qQT2PAgAAgwUAAA4AAAAAAAAAAAAAAAAALgIAAGRycy9lMm9Eb2MueG1s&#10;UEsBAi0AFAAGAAgAAAAhAKM2pi3iAAAADQEAAA8AAAAAAAAAAAAAAAAA6QQAAGRycy9kb3ducmV2&#10;LnhtbFBLBQYAAAAABAAEAPMAAAD4BQAAAAA=&#10;" filled="f" stroked="f" strokeweight=".5pt">
              <v:path arrowok="t"/>
              <v:textbox>
                <w:txbxContent>
                  <w:p w14:paraId="2299E341" w14:textId="6383A401" w:rsidR="0048398E" w:rsidRPr="00380B98" w:rsidRDefault="0048398E" w:rsidP="0045053D">
                    <w:pPr>
                      <w:pStyle w:val="PageRefCab"/>
                      <w:rPr>
                        <w:color w:val="BFBFBF" w:themeColor="background1" w:themeShade="BF"/>
                      </w:rPr>
                    </w:pPr>
                    <w:r w:rsidRPr="00380B98">
                      <w:rPr>
                        <w:color w:val="BFBFBF" w:themeColor="background1" w:themeShade="BF"/>
                      </w:rPr>
                      <w:t xml:space="preserve">Page </w:t>
                    </w:r>
                    <w:r w:rsidRPr="00380B98">
                      <w:rPr>
                        <w:color w:val="BFBFBF" w:themeColor="background1" w:themeShade="BF"/>
                      </w:rPr>
                      <w:fldChar w:fldCharType="begin"/>
                    </w:r>
                    <w:r w:rsidRPr="00380B98">
                      <w:rPr>
                        <w:color w:val="BFBFBF" w:themeColor="background1" w:themeShade="BF"/>
                      </w:rPr>
                      <w:instrText xml:space="preserve"> PAGE </w:instrText>
                    </w:r>
                    <w:r w:rsidRPr="00380B98">
                      <w:rPr>
                        <w:color w:val="BFBFBF" w:themeColor="background1" w:themeShade="BF"/>
                      </w:rPr>
                      <w:fldChar w:fldCharType="separate"/>
                    </w:r>
                    <w:r w:rsidR="006A6B29">
                      <w:rPr>
                        <w:noProof/>
                        <w:color w:val="BFBFBF" w:themeColor="background1" w:themeShade="BF"/>
                      </w:rPr>
                      <w:t>30</w:t>
                    </w:r>
                    <w:r w:rsidRPr="00380B98">
                      <w:rPr>
                        <w:color w:val="BFBFBF" w:themeColor="background1" w:themeShade="BF"/>
                      </w:rPr>
                      <w:fldChar w:fldCharType="end"/>
                    </w:r>
                    <w:r w:rsidRPr="00380B98">
                      <w:rPr>
                        <w:color w:val="BFBFBF" w:themeColor="background1" w:themeShade="BF"/>
                      </w:rPr>
                      <w:t xml:space="preserve"> of </w:t>
                    </w:r>
                    <w:r w:rsidRPr="00380B98">
                      <w:rPr>
                        <w:color w:val="BFBFBF" w:themeColor="background1" w:themeShade="BF"/>
                      </w:rPr>
                      <w:fldChar w:fldCharType="begin"/>
                    </w:r>
                    <w:r w:rsidRPr="00380B98">
                      <w:rPr>
                        <w:color w:val="BFBFBF" w:themeColor="background1" w:themeShade="BF"/>
                      </w:rPr>
                      <w:instrText xml:space="preserve"> NUMPAGES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p>
                  <w:p w14:paraId="04AFF79A" w14:textId="77777777" w:rsidR="0048398E" w:rsidRPr="00380B98" w:rsidRDefault="0048398E" w:rsidP="0045053D">
                    <w:pPr>
                      <w:rPr>
                        <w:color w:val="BFBFBF" w:themeColor="background1" w:themeShade="BF"/>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1066D" w14:textId="6800A63E" w:rsidR="0048398E" w:rsidRDefault="006A6B29" w:rsidP="00EA3D68">
    <w:pPr>
      <w:pStyle w:val="ProtectiveMarking"/>
      <w:jc w:val="left"/>
    </w:pPr>
    <w:sdt>
      <w:sdtPr>
        <w:id w:val="-1532412934"/>
        <w:docPartObj>
          <w:docPartGallery w:val="Page Numbers (Bottom of Page)"/>
          <w:docPartUnique/>
        </w:docPartObj>
      </w:sdtPr>
      <w:sdtEndPr/>
      <w:sdtContent>
        <w:r w:rsidR="0048398E">
          <w:rPr>
            <w:noProof/>
            <w:lang w:eastAsia="en-AU"/>
          </w:rPr>
          <mc:AlternateContent>
            <mc:Choice Requires="wps">
              <w:drawing>
                <wp:anchor distT="0" distB="0" distL="114300" distR="114300" simplePos="0" relativeHeight="251658240" behindDoc="0" locked="0" layoutInCell="1" allowOverlap="1" wp14:anchorId="27F03D72" wp14:editId="2F4D8070">
                  <wp:simplePos x="0" y="0"/>
                  <wp:positionH relativeFrom="column">
                    <wp:posOffset>5447030</wp:posOffset>
                  </wp:positionH>
                  <wp:positionV relativeFrom="paragraph">
                    <wp:posOffset>104775</wp:posOffset>
                  </wp:positionV>
                  <wp:extent cx="959485" cy="25781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9485"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3326D1" w14:textId="4C37A0F1" w:rsidR="0048398E" w:rsidRPr="00380B98" w:rsidRDefault="0048398E" w:rsidP="00380B98">
                              <w:pPr>
                                <w:pStyle w:val="PageRefCab"/>
                                <w:rPr>
                                  <w:color w:val="BFBFBF" w:themeColor="background1" w:themeShade="BF"/>
                                </w:rPr>
                              </w:pPr>
                              <w:r w:rsidRPr="00380B98">
                                <w:rPr>
                                  <w:color w:val="BFBFBF" w:themeColor="background1" w:themeShade="BF"/>
                                </w:rPr>
                                <w:t xml:space="preserve">Page </w:t>
                              </w:r>
                              <w:r w:rsidRPr="00380B98">
                                <w:rPr>
                                  <w:color w:val="BFBFBF" w:themeColor="background1" w:themeShade="BF"/>
                                </w:rPr>
                                <w:fldChar w:fldCharType="begin"/>
                              </w:r>
                              <w:r w:rsidRPr="00380B98">
                                <w:rPr>
                                  <w:color w:val="BFBFBF" w:themeColor="background1" w:themeShade="BF"/>
                                </w:rPr>
                                <w:instrText xml:space="preserve"> PAGE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r w:rsidRPr="00380B98">
                                <w:rPr>
                                  <w:color w:val="BFBFBF" w:themeColor="background1" w:themeShade="BF"/>
                                </w:rPr>
                                <w:t xml:space="preserve"> of </w:t>
                              </w:r>
                              <w:r w:rsidRPr="00380B98">
                                <w:rPr>
                                  <w:color w:val="BFBFBF" w:themeColor="background1" w:themeShade="BF"/>
                                </w:rPr>
                                <w:fldChar w:fldCharType="begin"/>
                              </w:r>
                              <w:r w:rsidRPr="00380B98">
                                <w:rPr>
                                  <w:color w:val="BFBFBF" w:themeColor="background1" w:themeShade="BF"/>
                                </w:rPr>
                                <w:instrText xml:space="preserve"> NUMPAGES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p>
                            <w:p w14:paraId="4264D307" w14:textId="77777777" w:rsidR="0048398E" w:rsidRPr="00380B98" w:rsidRDefault="0048398E" w:rsidP="00380B98">
                              <w:pPr>
                                <w:rPr>
                                  <w:color w:val="BFBFBF" w:themeColor="background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F03D72" id="_x0000_t202" coordsize="21600,21600" o:spt="202" path="m,l,21600r21600,l21600,xe">
                  <v:stroke joinstyle="miter"/>
                  <v:path gradientshapeok="t" o:connecttype="rect"/>
                </v:shapetype>
                <v:shape id="Text Box 10" o:spid="_x0000_s1029" type="#_x0000_t202" style="position:absolute;margin-left:428.9pt;margin-top:8.25pt;width:75.55pt;height:2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IhjgIAAIMFAAAOAAAAZHJzL2Uyb0RvYy54bWysVN9v2jAQfp+0/8Hy+xqg0NKIULFWnSah&#10;tlqZ+mwcu0S1fZ5tSNhf37OTAOr20mkvie377vd3N7tutCI74XwFpqDDswElwnAoK/NS0J+ruy9T&#10;SnxgpmQKjCjoXnh6Pf/8aVbbXIxgA6oUjqAR4/PaFnQTgs2zzPON0MyfgRUGhRKcZgGv7iUrHavR&#10;ulbZaDC4yGpwpXXAhff4etsK6TzZl1Lw8CClF4GogmJsIX1d+q7jN5vPWP7imN1UvAuD/UMUmlUG&#10;nR5M3bLAyNZVf5jSFXfgQYYzDjoDKSsuUg6YzXDwLpunDbMi5YLF8fZQJv//zPL73aMjVYm9w/IY&#10;prFHK9EE8hUagk9Yn9r6HGFPFoGhwXfEply9XQJ/9QjJTjCtgkd0rEcjnY5/zJSgIvrYH8oe3XB8&#10;vJpcjacTSjiKRpPLaes2Oypb58M3AZrEQ0EddjUFwHZLH6J7lveQ6MvAXaVU6qwypC7oxflkkBQO&#10;EtRQJmJF4khnJmbRBp5OYa9ExCjzQ0isUYo/PiR2ihvlyI4hrxjnwoRhrFWyi+iIkhjERxQ7/DGq&#10;jyi3efSewYSDsq4MuLZfcaiOYZevfciyxXd99G3esQShWTeJHOc9EdZQ7pEHDtpJ8pbfVdiUJfPh&#10;kTkcHewwroPwgB+pAIsP3YmSDbjff3uPeGQ0SimpcRQL6n9tmROUqO8GuX41HI/j7KbLeHI5wos7&#10;laxPJWarbwC7MsTFY3k6RnxQ/VE60M+4NRbRK4qY4ei7oKE/3oR2QeDW4WKxSCCcVsvC0jxZ3tM/&#10;Um7VPDNnO14GJPQ99EPL8nf0bLGxvQYW2wCyStyNdW6r2tUfJz0RqdtKcZWc3hPquDvnbwAAAP//&#10;AwBQSwMEFAAGAAgAAAAhAB/tr+7fAAAACgEAAA8AAABkcnMvZG93bnJldi54bWxMj0FLAzEUhO+C&#10;/yE8wZtNKmx33W62FNGLIGItiLd087pZTV7WJG3Xf2960uMww8w3zWpylh0xxMGThPlMAEPqvB6o&#10;l7B9e7ypgMWkSCvrCSX8YIRVe3nRqFr7E73icZN6lkso1kqCSWmsOY+dQafizI9I2dv74FTKMvRc&#10;B3XK5c7yWyEW3KmB8oJRI94b7L42ByehrD60+QxP0/b9ef1tXkZuHxSX8vpqWi+BJZzSXxjO+Bkd&#10;2sy08wfSkVkJVVFm9JSNRQHsHBCiugO2k1CUc+Btw/9faH8BAAD//wMAUEsBAi0AFAAGAAgAAAAh&#10;ALaDOJL+AAAA4QEAABMAAAAAAAAAAAAAAAAAAAAAAFtDb250ZW50X1R5cGVzXS54bWxQSwECLQAU&#10;AAYACAAAACEAOP0h/9YAAACUAQAACwAAAAAAAAAAAAAAAAAvAQAAX3JlbHMvLnJlbHNQSwECLQAU&#10;AAYACAAAACEAjpaSIY4CAACDBQAADgAAAAAAAAAAAAAAAAAuAgAAZHJzL2Uyb0RvYy54bWxQSwEC&#10;LQAUAAYACAAAACEAH+2v7t8AAAAKAQAADwAAAAAAAAAAAAAAAADoBAAAZHJzL2Rvd25yZXYueG1s&#10;UEsFBgAAAAAEAAQA8wAAAPQFAAAAAA==&#10;" filled="f" stroked="f" strokeweight=".5pt">
                  <v:path arrowok="t"/>
                  <v:textbox>
                    <w:txbxContent>
                      <w:p w14:paraId="213326D1" w14:textId="4C37A0F1" w:rsidR="0048398E" w:rsidRPr="00380B98" w:rsidRDefault="0048398E" w:rsidP="00380B98">
                        <w:pPr>
                          <w:pStyle w:val="PageRefCab"/>
                          <w:rPr>
                            <w:color w:val="BFBFBF" w:themeColor="background1" w:themeShade="BF"/>
                          </w:rPr>
                        </w:pPr>
                        <w:r w:rsidRPr="00380B98">
                          <w:rPr>
                            <w:color w:val="BFBFBF" w:themeColor="background1" w:themeShade="BF"/>
                          </w:rPr>
                          <w:t xml:space="preserve">Page </w:t>
                        </w:r>
                        <w:r w:rsidRPr="00380B98">
                          <w:rPr>
                            <w:color w:val="BFBFBF" w:themeColor="background1" w:themeShade="BF"/>
                          </w:rPr>
                          <w:fldChar w:fldCharType="begin"/>
                        </w:r>
                        <w:r w:rsidRPr="00380B98">
                          <w:rPr>
                            <w:color w:val="BFBFBF" w:themeColor="background1" w:themeShade="BF"/>
                          </w:rPr>
                          <w:instrText xml:space="preserve"> PAGE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r w:rsidRPr="00380B98">
                          <w:rPr>
                            <w:color w:val="BFBFBF" w:themeColor="background1" w:themeShade="BF"/>
                          </w:rPr>
                          <w:t xml:space="preserve"> of </w:t>
                        </w:r>
                        <w:r w:rsidRPr="00380B98">
                          <w:rPr>
                            <w:color w:val="BFBFBF" w:themeColor="background1" w:themeShade="BF"/>
                          </w:rPr>
                          <w:fldChar w:fldCharType="begin"/>
                        </w:r>
                        <w:r w:rsidRPr="00380B98">
                          <w:rPr>
                            <w:color w:val="BFBFBF" w:themeColor="background1" w:themeShade="BF"/>
                          </w:rPr>
                          <w:instrText xml:space="preserve"> NUMPAGES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p>
                      <w:p w14:paraId="4264D307" w14:textId="77777777" w:rsidR="0048398E" w:rsidRPr="00380B98" w:rsidRDefault="0048398E" w:rsidP="00380B98">
                        <w:pPr>
                          <w:rPr>
                            <w:color w:val="BFBFBF" w:themeColor="background1" w:themeShade="BF"/>
                          </w:rPr>
                        </w:pPr>
                      </w:p>
                    </w:txbxContent>
                  </v:textbox>
                </v:shape>
              </w:pict>
            </mc:Fallback>
          </mc:AlternateContent>
        </w:r>
      </w:sdtContent>
    </w:sdt>
    <w:r w:rsidR="0048398E">
      <w:rPr>
        <w:noProof/>
        <w:lang w:eastAsia="en-AU"/>
      </w:rPr>
      <mc:AlternateContent>
        <mc:Choice Requires="wps">
          <w:drawing>
            <wp:anchor distT="0" distB="0" distL="114300" distR="114300" simplePos="0" relativeHeight="251658241" behindDoc="0" locked="0" layoutInCell="1" allowOverlap="1" wp14:anchorId="1DA71181" wp14:editId="2D574081">
              <wp:simplePos x="0" y="0"/>
              <wp:positionH relativeFrom="column">
                <wp:posOffset>8659258</wp:posOffset>
              </wp:positionH>
              <wp:positionV relativeFrom="paragraph">
                <wp:posOffset>3224377</wp:posOffset>
              </wp:positionV>
              <wp:extent cx="959485" cy="25781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9485"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8A824A" w14:textId="0D260A95" w:rsidR="0048398E" w:rsidRPr="00380B98" w:rsidRDefault="0048398E" w:rsidP="00BB0E94">
                          <w:pPr>
                            <w:pStyle w:val="PageRefCab"/>
                            <w:rPr>
                              <w:color w:val="BFBFBF" w:themeColor="background1" w:themeShade="BF"/>
                            </w:rPr>
                          </w:pPr>
                          <w:r w:rsidRPr="00380B98">
                            <w:rPr>
                              <w:color w:val="BFBFBF" w:themeColor="background1" w:themeShade="BF"/>
                            </w:rPr>
                            <w:t xml:space="preserve">Page </w:t>
                          </w:r>
                          <w:r w:rsidRPr="00380B98">
                            <w:rPr>
                              <w:color w:val="BFBFBF" w:themeColor="background1" w:themeShade="BF"/>
                            </w:rPr>
                            <w:fldChar w:fldCharType="begin"/>
                          </w:r>
                          <w:r w:rsidRPr="00380B98">
                            <w:rPr>
                              <w:color w:val="BFBFBF" w:themeColor="background1" w:themeShade="BF"/>
                            </w:rPr>
                            <w:instrText xml:space="preserve"> PAGE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r w:rsidRPr="00380B98">
                            <w:rPr>
                              <w:color w:val="BFBFBF" w:themeColor="background1" w:themeShade="BF"/>
                            </w:rPr>
                            <w:t xml:space="preserve"> of </w:t>
                          </w:r>
                          <w:r w:rsidRPr="00380B98">
                            <w:rPr>
                              <w:color w:val="BFBFBF" w:themeColor="background1" w:themeShade="BF"/>
                            </w:rPr>
                            <w:fldChar w:fldCharType="begin"/>
                          </w:r>
                          <w:r w:rsidRPr="00380B98">
                            <w:rPr>
                              <w:color w:val="BFBFBF" w:themeColor="background1" w:themeShade="BF"/>
                            </w:rPr>
                            <w:instrText xml:space="preserve"> NUMPAGES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p>
                        <w:p w14:paraId="68B54399" w14:textId="77777777" w:rsidR="0048398E" w:rsidRPr="00380B98" w:rsidRDefault="0048398E" w:rsidP="00BB0E94">
                          <w:pPr>
                            <w:rPr>
                              <w:color w:val="BFBFBF" w:themeColor="background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A71181" id="Text Box 11" o:spid="_x0000_s1030" type="#_x0000_t202" style="position:absolute;margin-left:681.85pt;margin-top:253.9pt;width:75.55pt;height:2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tIjQIAAIMFAAAOAAAAZHJzL2Uyb0RvYy54bWysVN9v2jAQfp+0/8Hy+wgwaCFqqBhVp0mo&#10;rdZOfTaOXaLaPs82JOyv39lJAHV76bSXxPZ99/u7u7putCJ74XwFpqCjwZASYTiUlXkp6I+n208z&#10;SnxgpmQKjCjoQXh6vfj44aq2uRjDFlQpHEEjxue1Leg2BJtnmedboZkfgBUGhRKcZgGv7iUrHavR&#10;ulbZeDi8yGpwpXXAhff4etMK6SLZl1LwcC+lF4GogmJsIX1d+m7iN1tcsfzFMbuteBcG+4coNKsM&#10;Oj2aumGBkZ2r/jClK+7AgwwDDjoDKSsuUg6YzWj4JpvHLbMi5YLF8fZYJv//zPK7/YMjVYm9G1Fi&#10;mMYePYkmkC/QEHzC+tTW5wh7tAgMDb4jNuXq7Rr4q0dIdoZpFTyiYz0a6XT8Y6YEFbEFh2PZoxuO&#10;j/PpfDKbUsJRNJ5ezkapLdlJ2TofvgrQJB4K6rCrKQC2X/sQ3bO8h0RfBm4rpVJnlSF1QS8+T4dJ&#10;4ShBDWUiViSOdGZiFm3g6RQOSkSMMt+FxBql+ONDYqdYKUf2DHnFOBcmpFolu4iOKIlBvEexw5+i&#10;eo9ym0fvGUw4KuvKgGv7FYfqFHb52ocsW3zXR9/mHUsQmk2TyDHpibCB8oA8cNBOkrf8tsKmrJkP&#10;D8zh6GCHcR2Ee/xIBVh86E6UbMH9+tt7xCOjUUpJjaNYUP9zx5ygRH0zyPX5aDKJs5suk+nlGC/u&#10;XLI5l5idXgF2BemM0aVjxAfVH6UD/YxbYxm9oogZjr4LGvrjKrQLArcOF8tlAuG0WhbW5tHynv6R&#10;ck/NM3O242VAQt9BP7Qsf0PPFhvba2C5CyCrxN1Y57aqXf1x0hOlu60UV8n5PaFOu3PxGwAA//8D&#10;AFBLAwQUAAYACAAAACEAozamLeIAAAANAQAADwAAAGRycy9kb3ducmV2LnhtbEyPwU7DMBBE70j8&#10;g7VI3KhTmjZRGqeqEFyQEGqphHpzYxMH7HWw3Tb8PdsT3HZ2R7Nv6tXoLDvpEHuPAqaTDJjG1qse&#10;OwG7t6e7ElhMEpW0HrWAHx1h1Vxf1bJS/owbfdqmjlEIxkoKMCkNFeexNdrJOPGDRrp9+OBkIhk6&#10;roI8U7iz/D7LFtzJHumDkYN+MLr92h6dgKLcK/MZnsfd+8v627wO3D5KLsTtzbheAkt6TH9muOAT&#10;OjTEdPBHVJFZ0rPFrCCvgHlWUImLZT7NaTrQKi9z4E3N/7dofgEAAP//AwBQSwECLQAUAAYACAAA&#10;ACEAtoM4kv4AAADhAQAAEwAAAAAAAAAAAAAAAAAAAAAAW0NvbnRlbnRfVHlwZXNdLnhtbFBLAQIt&#10;ABQABgAIAAAAIQA4/SH/1gAAAJQBAAALAAAAAAAAAAAAAAAAAC8BAABfcmVscy8ucmVsc1BLAQIt&#10;ABQABgAIAAAAIQAEgWtIjQIAAIMFAAAOAAAAAAAAAAAAAAAAAC4CAABkcnMvZTJvRG9jLnhtbFBL&#10;AQItABQABgAIAAAAIQCjNqYt4gAAAA0BAAAPAAAAAAAAAAAAAAAAAOcEAABkcnMvZG93bnJldi54&#10;bWxQSwUGAAAAAAQABADzAAAA9gUAAAAA&#10;" filled="f" stroked="f" strokeweight=".5pt">
              <v:path arrowok="t"/>
              <v:textbox>
                <w:txbxContent>
                  <w:p w14:paraId="7C8A824A" w14:textId="0D260A95" w:rsidR="0048398E" w:rsidRPr="00380B98" w:rsidRDefault="0048398E" w:rsidP="00BB0E94">
                    <w:pPr>
                      <w:pStyle w:val="PageRefCab"/>
                      <w:rPr>
                        <w:color w:val="BFBFBF" w:themeColor="background1" w:themeShade="BF"/>
                      </w:rPr>
                    </w:pPr>
                    <w:r w:rsidRPr="00380B98">
                      <w:rPr>
                        <w:color w:val="BFBFBF" w:themeColor="background1" w:themeShade="BF"/>
                      </w:rPr>
                      <w:t xml:space="preserve">Page </w:t>
                    </w:r>
                    <w:r w:rsidRPr="00380B98">
                      <w:rPr>
                        <w:color w:val="BFBFBF" w:themeColor="background1" w:themeShade="BF"/>
                      </w:rPr>
                      <w:fldChar w:fldCharType="begin"/>
                    </w:r>
                    <w:r w:rsidRPr="00380B98">
                      <w:rPr>
                        <w:color w:val="BFBFBF" w:themeColor="background1" w:themeShade="BF"/>
                      </w:rPr>
                      <w:instrText xml:space="preserve"> PAGE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r w:rsidRPr="00380B98">
                      <w:rPr>
                        <w:color w:val="BFBFBF" w:themeColor="background1" w:themeShade="BF"/>
                      </w:rPr>
                      <w:t xml:space="preserve"> of </w:t>
                    </w:r>
                    <w:r w:rsidRPr="00380B98">
                      <w:rPr>
                        <w:color w:val="BFBFBF" w:themeColor="background1" w:themeShade="BF"/>
                      </w:rPr>
                      <w:fldChar w:fldCharType="begin"/>
                    </w:r>
                    <w:r w:rsidRPr="00380B98">
                      <w:rPr>
                        <w:color w:val="BFBFBF" w:themeColor="background1" w:themeShade="BF"/>
                      </w:rPr>
                      <w:instrText xml:space="preserve"> NUMPAGES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p>
                  <w:p w14:paraId="68B54399" w14:textId="77777777" w:rsidR="0048398E" w:rsidRPr="00380B98" w:rsidRDefault="0048398E" w:rsidP="00BB0E94">
                    <w:pPr>
                      <w:rPr>
                        <w:color w:val="BFBFBF" w:themeColor="background1" w:themeShade="BF"/>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B296A" w14:textId="77777777" w:rsidR="0048398E" w:rsidRDefault="0048398E" w:rsidP="00070E3D">
      <w:pPr>
        <w:spacing w:before="0" w:after="0"/>
      </w:pPr>
      <w:r>
        <w:separator/>
      </w:r>
    </w:p>
  </w:footnote>
  <w:footnote w:type="continuationSeparator" w:id="0">
    <w:p w14:paraId="61D0DCDF" w14:textId="77777777" w:rsidR="0048398E" w:rsidRDefault="0048398E" w:rsidP="00070E3D">
      <w:pPr>
        <w:spacing w:before="0" w:after="0"/>
      </w:pPr>
      <w:r>
        <w:continuationSeparator/>
      </w:r>
    </w:p>
  </w:footnote>
  <w:footnote w:type="continuationNotice" w:id="1">
    <w:p w14:paraId="7EC192BD" w14:textId="77777777" w:rsidR="0048398E" w:rsidRDefault="0048398E">
      <w:pPr>
        <w:spacing w:before="0" w:after="0"/>
      </w:pPr>
    </w:p>
  </w:footnote>
  <w:footnote w:id="2">
    <w:p w14:paraId="79F07BF7" w14:textId="1AE1880F" w:rsidR="0048398E" w:rsidRDefault="0048398E">
      <w:pPr>
        <w:pStyle w:val="FootnoteText"/>
      </w:pPr>
      <w:r>
        <w:rPr>
          <w:rStyle w:val="FootnoteReference"/>
        </w:rPr>
        <w:footnoteRef/>
      </w:r>
      <w:r>
        <w:t xml:space="preserve"> </w:t>
      </w:r>
      <w:r w:rsidRPr="00F50381">
        <w:t>Consumption cover is different to IEA days. IEA days is a measure of our import dependence, and is measured against our obligation</w:t>
      </w:r>
      <w:r w:rsidRPr="00FF5E4D">
        <w:t xml:space="preserve"> under the IEA Treaty</w:t>
      </w:r>
      <w:r w:rsidRPr="00F50381">
        <w:t xml:space="preserve"> to maintain stocks equivalent to 90 days of our annual net imports.</w:t>
      </w:r>
    </w:p>
  </w:footnote>
  <w:footnote w:id="3">
    <w:p w14:paraId="61D14EE3" w14:textId="77777777" w:rsidR="0048398E" w:rsidRDefault="0048398E" w:rsidP="00A15D98">
      <w:pPr>
        <w:pStyle w:val="FootnoteText"/>
      </w:pPr>
      <w:r>
        <w:rPr>
          <w:rStyle w:val="FootnoteReference"/>
        </w:rPr>
        <w:footnoteRef/>
      </w:r>
      <w:r>
        <w:t xml:space="preserve"> The Iraqi invasion of Kuwait (1990-91); Hurricane Katrina in the US Gulf (2005); and Libyan unrest (2011). </w:t>
      </w:r>
    </w:p>
  </w:footnote>
  <w:footnote w:id="4">
    <w:p w14:paraId="5218E3EC" w14:textId="77777777" w:rsidR="0048398E" w:rsidRDefault="0048398E" w:rsidP="00517F5F">
      <w:pPr>
        <w:pStyle w:val="FootnoteText"/>
      </w:pPr>
      <w:r>
        <w:rPr>
          <w:rStyle w:val="FootnoteReference"/>
        </w:rPr>
        <w:footnoteRef/>
      </w:r>
      <w:r>
        <w:t xml:space="preserve"> $15, $10 and $25 USD/bbl increases respectively.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8020C" w14:textId="77777777" w:rsidR="0048398E" w:rsidRPr="007D0CE6" w:rsidRDefault="0048398E" w:rsidP="00380B98">
    <w:pPr>
      <w:pStyle w:val="ProtectiveMarking"/>
      <w:rPr>
        <w:sz w:val="4"/>
      </w:rPr>
    </w:pPr>
  </w:p>
  <w:p w14:paraId="569522CA" w14:textId="3D7BE39D" w:rsidR="0048398E" w:rsidRPr="00070E3D" w:rsidRDefault="0048398E" w:rsidP="00975CD9">
    <w:pPr>
      <w:pStyle w:val="Header"/>
      <w:jc w:val="center"/>
      <w:rPr>
        <w:b/>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56BFD" w14:textId="1A8D0525" w:rsidR="0048398E" w:rsidRPr="00380B98" w:rsidRDefault="0048398E" w:rsidP="000C3F07">
    <w:pPr>
      <w:pStyle w:val="BodyText"/>
      <w:tabs>
        <w:tab w:val="left" w:pos="7200"/>
        <w:tab w:val="right" w:pos="10466"/>
      </w:tabs>
      <w:jc w:val="right"/>
      <w:rPr>
        <w:b/>
        <w:sz w:val="24"/>
      </w:rPr>
    </w:pPr>
    <w:r>
      <w:rPr>
        <w:b/>
        <w:sz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5D647" w14:textId="5652277D" w:rsidR="0048398E" w:rsidRPr="00380B98" w:rsidRDefault="0048398E">
    <w:pPr>
      <w:pStyle w:val="BodyText"/>
      <w:tabs>
        <w:tab w:val="left" w:pos="7200"/>
        <w:tab w:val="right" w:pos="10466"/>
      </w:tabs>
      <w:jc w:val="right"/>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316F75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569038D8"/>
    <w:lvl w:ilvl="0">
      <w:start w:val="1"/>
      <w:numFmt w:val="decimal"/>
      <w:pStyle w:val="ListNumb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color w:val="5B9BD5"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02703794"/>
    <w:multiLevelType w:val="multilevel"/>
    <w:tmpl w:val="794AAE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1F164E"/>
    <w:multiLevelType w:val="hybridMultilevel"/>
    <w:tmpl w:val="99421882"/>
    <w:lvl w:ilvl="0" w:tplc="0C090001">
      <w:start w:val="1"/>
      <w:numFmt w:val="bullet"/>
      <w:lvlText w:val=""/>
      <w:lvlJc w:val="left"/>
      <w:pPr>
        <w:tabs>
          <w:tab w:val="num" w:pos="567"/>
        </w:tabs>
        <w:ind w:left="567" w:hanging="567"/>
      </w:pPr>
      <w:rPr>
        <w:rFonts w:ascii="Symbol" w:hAnsi="Symbol" w:hint="default"/>
        <w:color w:val="auto"/>
        <w:effect w:val="none"/>
      </w:rPr>
    </w:lvl>
    <w:lvl w:ilvl="1" w:tplc="0C090003">
      <w:start w:val="1"/>
      <w:numFmt w:val="bullet"/>
      <w:lvlText w:val="o"/>
      <w:lvlJc w:val="left"/>
      <w:pPr>
        <w:tabs>
          <w:tab w:val="num" w:pos="1069"/>
        </w:tabs>
        <w:ind w:left="1069" w:hanging="360"/>
      </w:pPr>
      <w:rPr>
        <w:rFonts w:ascii="Courier New" w:hAnsi="Courier New" w:cs="Courier New" w:hint="default"/>
      </w:rPr>
    </w:lvl>
    <w:lvl w:ilvl="2" w:tplc="ED52E06A">
      <w:start w:val="1"/>
      <w:numFmt w:val="decimal"/>
      <w:lvlText w:val="%3."/>
      <w:lvlJc w:val="left"/>
      <w:pPr>
        <w:tabs>
          <w:tab w:val="num" w:pos="2160"/>
        </w:tabs>
        <w:ind w:left="2160" w:hanging="360"/>
      </w:pPr>
    </w:lvl>
    <w:lvl w:ilvl="3" w:tplc="F824305C">
      <w:start w:val="1"/>
      <w:numFmt w:val="decimal"/>
      <w:lvlText w:val="%4."/>
      <w:lvlJc w:val="left"/>
      <w:pPr>
        <w:tabs>
          <w:tab w:val="num" w:pos="2880"/>
        </w:tabs>
        <w:ind w:left="2880" w:hanging="360"/>
      </w:pPr>
    </w:lvl>
    <w:lvl w:ilvl="4" w:tplc="C7B6146C">
      <w:start w:val="1"/>
      <w:numFmt w:val="decimal"/>
      <w:lvlText w:val="%5."/>
      <w:lvlJc w:val="left"/>
      <w:pPr>
        <w:tabs>
          <w:tab w:val="num" w:pos="3600"/>
        </w:tabs>
        <w:ind w:left="3600" w:hanging="360"/>
      </w:pPr>
    </w:lvl>
    <w:lvl w:ilvl="5" w:tplc="C37E3122">
      <w:start w:val="1"/>
      <w:numFmt w:val="decimal"/>
      <w:lvlText w:val="%6."/>
      <w:lvlJc w:val="left"/>
      <w:pPr>
        <w:tabs>
          <w:tab w:val="num" w:pos="4320"/>
        </w:tabs>
        <w:ind w:left="4320" w:hanging="360"/>
      </w:pPr>
    </w:lvl>
    <w:lvl w:ilvl="6" w:tplc="54386E94">
      <w:start w:val="1"/>
      <w:numFmt w:val="decimal"/>
      <w:lvlText w:val="%7."/>
      <w:lvlJc w:val="left"/>
      <w:pPr>
        <w:tabs>
          <w:tab w:val="num" w:pos="5040"/>
        </w:tabs>
        <w:ind w:left="5040" w:hanging="360"/>
      </w:pPr>
    </w:lvl>
    <w:lvl w:ilvl="7" w:tplc="91BA31B2">
      <w:start w:val="1"/>
      <w:numFmt w:val="decimal"/>
      <w:lvlText w:val="%8."/>
      <w:lvlJc w:val="left"/>
      <w:pPr>
        <w:tabs>
          <w:tab w:val="num" w:pos="5760"/>
        </w:tabs>
        <w:ind w:left="5760" w:hanging="360"/>
      </w:pPr>
    </w:lvl>
    <w:lvl w:ilvl="8" w:tplc="FC62C986">
      <w:start w:val="1"/>
      <w:numFmt w:val="decimal"/>
      <w:lvlText w:val="%9."/>
      <w:lvlJc w:val="left"/>
      <w:pPr>
        <w:tabs>
          <w:tab w:val="num" w:pos="6480"/>
        </w:tabs>
        <w:ind w:left="6480" w:hanging="360"/>
      </w:pPr>
    </w:lvl>
  </w:abstractNum>
  <w:abstractNum w:abstractNumId="4" w15:restartNumberingAfterBreak="0">
    <w:nsid w:val="066B598A"/>
    <w:multiLevelType w:val="hybridMultilevel"/>
    <w:tmpl w:val="89FE5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C54801"/>
    <w:multiLevelType w:val="hybridMultilevel"/>
    <w:tmpl w:val="02165C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416834"/>
    <w:multiLevelType w:val="hybridMultilevel"/>
    <w:tmpl w:val="A5263D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6A6177"/>
    <w:multiLevelType w:val="hybridMultilevel"/>
    <w:tmpl w:val="9A10E1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1472A1"/>
    <w:multiLevelType w:val="hybridMultilevel"/>
    <w:tmpl w:val="1C4CFF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7F2728"/>
    <w:multiLevelType w:val="hybridMultilevel"/>
    <w:tmpl w:val="D8A6D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C27F5E"/>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391308"/>
    <w:multiLevelType w:val="multilevel"/>
    <w:tmpl w:val="794AAE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AB53828"/>
    <w:multiLevelType w:val="hybridMultilevel"/>
    <w:tmpl w:val="E61079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EB6F73"/>
    <w:multiLevelType w:val="hybridMultilevel"/>
    <w:tmpl w:val="83CCBF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9E28C0"/>
    <w:multiLevelType w:val="hybridMultilevel"/>
    <w:tmpl w:val="085860FA"/>
    <w:lvl w:ilvl="0" w:tplc="0C09000F">
      <w:start w:val="1"/>
      <w:numFmt w:val="decimal"/>
      <w:lvlText w:val="%1."/>
      <w:lvlJc w:val="left"/>
      <w:pPr>
        <w:ind w:left="454" w:hanging="360"/>
      </w:pPr>
      <w:rPr>
        <w:rFonts w:hint="default"/>
      </w:rPr>
    </w:lvl>
    <w:lvl w:ilvl="1" w:tplc="0C090019" w:tentative="1">
      <w:start w:val="1"/>
      <w:numFmt w:val="lowerLetter"/>
      <w:lvlText w:val="%2."/>
      <w:lvlJc w:val="left"/>
      <w:pPr>
        <w:ind w:left="1174" w:hanging="360"/>
      </w:pPr>
    </w:lvl>
    <w:lvl w:ilvl="2" w:tplc="0C09001B" w:tentative="1">
      <w:start w:val="1"/>
      <w:numFmt w:val="lowerRoman"/>
      <w:lvlText w:val="%3."/>
      <w:lvlJc w:val="right"/>
      <w:pPr>
        <w:ind w:left="1894" w:hanging="180"/>
      </w:pPr>
    </w:lvl>
    <w:lvl w:ilvl="3" w:tplc="0C09000F" w:tentative="1">
      <w:start w:val="1"/>
      <w:numFmt w:val="decimal"/>
      <w:lvlText w:val="%4."/>
      <w:lvlJc w:val="left"/>
      <w:pPr>
        <w:ind w:left="2614" w:hanging="360"/>
      </w:pPr>
    </w:lvl>
    <w:lvl w:ilvl="4" w:tplc="0C090019" w:tentative="1">
      <w:start w:val="1"/>
      <w:numFmt w:val="lowerLetter"/>
      <w:lvlText w:val="%5."/>
      <w:lvlJc w:val="left"/>
      <w:pPr>
        <w:ind w:left="3334" w:hanging="360"/>
      </w:pPr>
    </w:lvl>
    <w:lvl w:ilvl="5" w:tplc="0C09001B" w:tentative="1">
      <w:start w:val="1"/>
      <w:numFmt w:val="lowerRoman"/>
      <w:lvlText w:val="%6."/>
      <w:lvlJc w:val="right"/>
      <w:pPr>
        <w:ind w:left="4054" w:hanging="180"/>
      </w:pPr>
    </w:lvl>
    <w:lvl w:ilvl="6" w:tplc="0C09000F" w:tentative="1">
      <w:start w:val="1"/>
      <w:numFmt w:val="decimal"/>
      <w:lvlText w:val="%7."/>
      <w:lvlJc w:val="left"/>
      <w:pPr>
        <w:ind w:left="4774" w:hanging="360"/>
      </w:pPr>
    </w:lvl>
    <w:lvl w:ilvl="7" w:tplc="0C090019" w:tentative="1">
      <w:start w:val="1"/>
      <w:numFmt w:val="lowerLetter"/>
      <w:lvlText w:val="%8."/>
      <w:lvlJc w:val="left"/>
      <w:pPr>
        <w:ind w:left="5494" w:hanging="360"/>
      </w:pPr>
    </w:lvl>
    <w:lvl w:ilvl="8" w:tplc="0C09001B" w:tentative="1">
      <w:start w:val="1"/>
      <w:numFmt w:val="lowerRoman"/>
      <w:lvlText w:val="%9."/>
      <w:lvlJc w:val="right"/>
      <w:pPr>
        <w:ind w:left="6214" w:hanging="180"/>
      </w:pPr>
    </w:lvl>
  </w:abstractNum>
  <w:abstractNum w:abstractNumId="15" w15:restartNumberingAfterBreak="0">
    <w:nsid w:val="1CCF57EB"/>
    <w:multiLevelType w:val="hybridMultilevel"/>
    <w:tmpl w:val="B93A595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18662A"/>
    <w:multiLevelType w:val="multilevel"/>
    <w:tmpl w:val="794AAE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E1F3A52"/>
    <w:multiLevelType w:val="hybridMultilevel"/>
    <w:tmpl w:val="37BA68D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965869"/>
    <w:multiLevelType w:val="hybridMultilevel"/>
    <w:tmpl w:val="1D5C9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82224F"/>
    <w:multiLevelType w:val="hybridMultilevel"/>
    <w:tmpl w:val="051C4D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3C3178A"/>
    <w:multiLevelType w:val="hybridMultilevel"/>
    <w:tmpl w:val="03D41C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3E83BAD"/>
    <w:multiLevelType w:val="hybridMultilevel"/>
    <w:tmpl w:val="1AF8F9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6387B04"/>
    <w:multiLevelType w:val="multilevel"/>
    <w:tmpl w:val="794AAE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DB9462C"/>
    <w:multiLevelType w:val="multilevel"/>
    <w:tmpl w:val="794AAE7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EE3037D"/>
    <w:multiLevelType w:val="hybridMultilevel"/>
    <w:tmpl w:val="A62C8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F3B3149"/>
    <w:multiLevelType w:val="hybridMultilevel"/>
    <w:tmpl w:val="BCC69F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2ED5915"/>
    <w:multiLevelType w:val="hybridMultilevel"/>
    <w:tmpl w:val="938039B4"/>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210418"/>
    <w:multiLevelType w:val="hybridMultilevel"/>
    <w:tmpl w:val="89449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CA1EBA"/>
    <w:multiLevelType w:val="hybridMultilevel"/>
    <w:tmpl w:val="712C37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7207F9C"/>
    <w:multiLevelType w:val="hybridMultilevel"/>
    <w:tmpl w:val="C6B81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C20796"/>
    <w:multiLevelType w:val="multilevel"/>
    <w:tmpl w:val="794AAE7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39DA2538"/>
    <w:multiLevelType w:val="hybridMultilevel"/>
    <w:tmpl w:val="B62C5B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BBB4575"/>
    <w:multiLevelType w:val="multilevel"/>
    <w:tmpl w:val="4A5C10AA"/>
    <w:lvl w:ilvl="0">
      <w:start w:val="1"/>
      <w:numFmt w:val="decimal"/>
      <w:lvlText w:val="%1"/>
      <w:lvlJc w:val="left"/>
      <w:pPr>
        <w:ind w:left="360" w:hanging="360"/>
      </w:pPr>
      <w:rPr>
        <w:sz w:val="28"/>
      </w:rPr>
    </w:lvl>
    <w:lvl w:ilvl="1">
      <w:start w:val="1"/>
      <w:numFmt w:val="decimal"/>
      <w:lvlText w:val="%1.%2"/>
      <w:lvlJc w:val="left"/>
      <w:pPr>
        <w:tabs>
          <w:tab w:val="num" w:pos="340"/>
        </w:tabs>
        <w:ind w:left="340" w:firstLine="0"/>
      </w:pPr>
      <w:rPr>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C2F139B"/>
    <w:multiLevelType w:val="multilevel"/>
    <w:tmpl w:val="9918C3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C6938CA"/>
    <w:multiLevelType w:val="hybridMultilevel"/>
    <w:tmpl w:val="52EA58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EA27AB6"/>
    <w:multiLevelType w:val="hybridMultilevel"/>
    <w:tmpl w:val="11F68B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F1B2579"/>
    <w:multiLevelType w:val="hybridMultilevel"/>
    <w:tmpl w:val="84CE732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F420A40"/>
    <w:multiLevelType w:val="hybridMultilevel"/>
    <w:tmpl w:val="A664E8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FFE34D4"/>
    <w:multiLevelType w:val="hybridMultilevel"/>
    <w:tmpl w:val="433CA5C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32A54BD"/>
    <w:multiLevelType w:val="hybridMultilevel"/>
    <w:tmpl w:val="04D488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47155CE"/>
    <w:multiLevelType w:val="hybridMultilevel"/>
    <w:tmpl w:val="BA805C4E"/>
    <w:styleLink w:val="Bulletlist"/>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5453D75"/>
    <w:multiLevelType w:val="hybridMultilevel"/>
    <w:tmpl w:val="EE6C5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6056737"/>
    <w:multiLevelType w:val="hybridMultilevel"/>
    <w:tmpl w:val="CC2E7F86"/>
    <w:lvl w:ilvl="0" w:tplc="0C090001">
      <w:start w:val="1"/>
      <w:numFmt w:val="bullet"/>
      <w:lvlText w:val=""/>
      <w:lvlJc w:val="left"/>
      <w:pPr>
        <w:ind w:left="12" w:hanging="360"/>
      </w:pPr>
      <w:rPr>
        <w:rFonts w:ascii="Symbol" w:hAnsi="Symbol" w:hint="default"/>
      </w:rPr>
    </w:lvl>
    <w:lvl w:ilvl="1" w:tplc="0C090003" w:tentative="1">
      <w:start w:val="1"/>
      <w:numFmt w:val="bullet"/>
      <w:lvlText w:val="o"/>
      <w:lvlJc w:val="left"/>
      <w:pPr>
        <w:ind w:left="732" w:hanging="360"/>
      </w:pPr>
      <w:rPr>
        <w:rFonts w:ascii="Courier New" w:hAnsi="Courier New" w:cs="Courier New" w:hint="default"/>
      </w:rPr>
    </w:lvl>
    <w:lvl w:ilvl="2" w:tplc="0C090005" w:tentative="1">
      <w:start w:val="1"/>
      <w:numFmt w:val="bullet"/>
      <w:lvlText w:val=""/>
      <w:lvlJc w:val="left"/>
      <w:pPr>
        <w:ind w:left="1452" w:hanging="360"/>
      </w:pPr>
      <w:rPr>
        <w:rFonts w:ascii="Wingdings" w:hAnsi="Wingdings" w:hint="default"/>
      </w:rPr>
    </w:lvl>
    <w:lvl w:ilvl="3" w:tplc="0C090001" w:tentative="1">
      <w:start w:val="1"/>
      <w:numFmt w:val="bullet"/>
      <w:lvlText w:val=""/>
      <w:lvlJc w:val="left"/>
      <w:pPr>
        <w:ind w:left="2172" w:hanging="360"/>
      </w:pPr>
      <w:rPr>
        <w:rFonts w:ascii="Symbol" w:hAnsi="Symbol" w:hint="default"/>
      </w:rPr>
    </w:lvl>
    <w:lvl w:ilvl="4" w:tplc="0C090003" w:tentative="1">
      <w:start w:val="1"/>
      <w:numFmt w:val="bullet"/>
      <w:lvlText w:val="o"/>
      <w:lvlJc w:val="left"/>
      <w:pPr>
        <w:ind w:left="2892" w:hanging="360"/>
      </w:pPr>
      <w:rPr>
        <w:rFonts w:ascii="Courier New" w:hAnsi="Courier New" w:cs="Courier New" w:hint="default"/>
      </w:rPr>
    </w:lvl>
    <w:lvl w:ilvl="5" w:tplc="0C090005" w:tentative="1">
      <w:start w:val="1"/>
      <w:numFmt w:val="bullet"/>
      <w:lvlText w:val=""/>
      <w:lvlJc w:val="left"/>
      <w:pPr>
        <w:ind w:left="3612" w:hanging="360"/>
      </w:pPr>
      <w:rPr>
        <w:rFonts w:ascii="Wingdings" w:hAnsi="Wingdings" w:hint="default"/>
      </w:rPr>
    </w:lvl>
    <w:lvl w:ilvl="6" w:tplc="0C090001" w:tentative="1">
      <w:start w:val="1"/>
      <w:numFmt w:val="bullet"/>
      <w:lvlText w:val=""/>
      <w:lvlJc w:val="left"/>
      <w:pPr>
        <w:ind w:left="4332" w:hanging="360"/>
      </w:pPr>
      <w:rPr>
        <w:rFonts w:ascii="Symbol" w:hAnsi="Symbol" w:hint="default"/>
      </w:rPr>
    </w:lvl>
    <w:lvl w:ilvl="7" w:tplc="0C090003" w:tentative="1">
      <w:start w:val="1"/>
      <w:numFmt w:val="bullet"/>
      <w:lvlText w:val="o"/>
      <w:lvlJc w:val="left"/>
      <w:pPr>
        <w:ind w:left="5052" w:hanging="360"/>
      </w:pPr>
      <w:rPr>
        <w:rFonts w:ascii="Courier New" w:hAnsi="Courier New" w:cs="Courier New" w:hint="default"/>
      </w:rPr>
    </w:lvl>
    <w:lvl w:ilvl="8" w:tplc="0C090005" w:tentative="1">
      <w:start w:val="1"/>
      <w:numFmt w:val="bullet"/>
      <w:lvlText w:val=""/>
      <w:lvlJc w:val="left"/>
      <w:pPr>
        <w:ind w:left="5772" w:hanging="360"/>
      </w:pPr>
      <w:rPr>
        <w:rFonts w:ascii="Wingdings" w:hAnsi="Wingdings" w:hint="default"/>
      </w:rPr>
    </w:lvl>
  </w:abstractNum>
  <w:abstractNum w:abstractNumId="43" w15:restartNumberingAfterBreak="0">
    <w:nsid w:val="461015B5"/>
    <w:multiLevelType w:val="hybridMultilevel"/>
    <w:tmpl w:val="0D2A4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94F2339"/>
    <w:multiLevelType w:val="hybridMultilevel"/>
    <w:tmpl w:val="5B309E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C017B20"/>
    <w:multiLevelType w:val="hybridMultilevel"/>
    <w:tmpl w:val="CFF0A9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F040551"/>
    <w:multiLevelType w:val="multilevel"/>
    <w:tmpl w:val="794AAE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4FFD5276"/>
    <w:multiLevelType w:val="hybridMultilevel"/>
    <w:tmpl w:val="A036D26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1486F61"/>
    <w:multiLevelType w:val="hybridMultilevel"/>
    <w:tmpl w:val="719258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527943F7"/>
    <w:multiLevelType w:val="hybridMultilevel"/>
    <w:tmpl w:val="EEB43660"/>
    <w:lvl w:ilvl="0" w:tplc="212A962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2C8086A"/>
    <w:multiLevelType w:val="hybridMultilevel"/>
    <w:tmpl w:val="A89850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2E4407F"/>
    <w:multiLevelType w:val="hybridMultilevel"/>
    <w:tmpl w:val="CA3E1F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2FF40B2"/>
    <w:multiLevelType w:val="hybridMultilevel"/>
    <w:tmpl w:val="B2260B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3CD218A"/>
    <w:multiLevelType w:val="hybridMultilevel"/>
    <w:tmpl w:val="A88CB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3E37064"/>
    <w:multiLevelType w:val="hybridMultilevel"/>
    <w:tmpl w:val="ECF885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61231FD"/>
    <w:multiLevelType w:val="hybridMultilevel"/>
    <w:tmpl w:val="FDE62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6497204"/>
    <w:multiLevelType w:val="hybridMultilevel"/>
    <w:tmpl w:val="F0CA29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84F1798"/>
    <w:multiLevelType w:val="hybridMultilevel"/>
    <w:tmpl w:val="3BE04F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9247D6E"/>
    <w:multiLevelType w:val="hybridMultilevel"/>
    <w:tmpl w:val="4FF02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9E7403F"/>
    <w:multiLevelType w:val="hybridMultilevel"/>
    <w:tmpl w:val="30AA4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C074702"/>
    <w:multiLevelType w:val="hybridMultilevel"/>
    <w:tmpl w:val="8F5E82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C3351BB"/>
    <w:multiLevelType w:val="hybridMultilevel"/>
    <w:tmpl w:val="7826C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CD6531C"/>
    <w:multiLevelType w:val="hybridMultilevel"/>
    <w:tmpl w:val="5F76BC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EC45432"/>
    <w:multiLevelType w:val="hybridMultilevel"/>
    <w:tmpl w:val="7E7030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F0933DF"/>
    <w:multiLevelType w:val="hybridMultilevel"/>
    <w:tmpl w:val="6B286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2BD3AC0"/>
    <w:multiLevelType w:val="hybridMultilevel"/>
    <w:tmpl w:val="46603D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3F734D9"/>
    <w:multiLevelType w:val="hybridMultilevel"/>
    <w:tmpl w:val="388A7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689569B"/>
    <w:multiLevelType w:val="hybridMultilevel"/>
    <w:tmpl w:val="562659EA"/>
    <w:lvl w:ilvl="0" w:tplc="CC486E70">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CEE3B4B"/>
    <w:multiLevelType w:val="hybridMultilevel"/>
    <w:tmpl w:val="C0064D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090076C"/>
    <w:multiLevelType w:val="hybridMultilevel"/>
    <w:tmpl w:val="D244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35C5727"/>
    <w:multiLevelType w:val="hybridMultilevel"/>
    <w:tmpl w:val="085860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36079CE"/>
    <w:multiLevelType w:val="hybridMultilevel"/>
    <w:tmpl w:val="6F6AC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3D512EC"/>
    <w:multiLevelType w:val="hybridMultilevel"/>
    <w:tmpl w:val="F5A09FA8"/>
    <w:lvl w:ilvl="0" w:tplc="E266FC48">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73" w15:restartNumberingAfterBreak="0">
    <w:nsid w:val="74704440"/>
    <w:multiLevelType w:val="hybridMultilevel"/>
    <w:tmpl w:val="C882C8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85403B3"/>
    <w:multiLevelType w:val="hybridMultilevel"/>
    <w:tmpl w:val="B79A36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89959AD"/>
    <w:multiLevelType w:val="hybridMultilevel"/>
    <w:tmpl w:val="024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92D03BE"/>
    <w:multiLevelType w:val="hybridMultilevel"/>
    <w:tmpl w:val="599C1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DC54DB9"/>
    <w:multiLevelType w:val="hybridMultilevel"/>
    <w:tmpl w:val="87DA30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F790CA0"/>
    <w:multiLevelType w:val="hybridMultilevel"/>
    <w:tmpl w:val="A9ACA4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FF770D6"/>
    <w:multiLevelType w:val="hybridMultilevel"/>
    <w:tmpl w:val="27126192"/>
    <w:lvl w:ilvl="0" w:tplc="B0925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0"/>
  </w:num>
  <w:num w:numId="3">
    <w:abstractNumId w:val="42"/>
  </w:num>
  <w:num w:numId="4">
    <w:abstractNumId w:val="66"/>
  </w:num>
  <w:num w:numId="5">
    <w:abstractNumId w:val="63"/>
  </w:num>
  <w:num w:numId="6">
    <w:abstractNumId w:val="61"/>
  </w:num>
  <w:num w:numId="7">
    <w:abstractNumId w:val="6"/>
  </w:num>
  <w:num w:numId="8">
    <w:abstractNumId w:val="65"/>
  </w:num>
  <w:num w:numId="9">
    <w:abstractNumId w:val="48"/>
  </w:num>
  <w:num w:numId="10">
    <w:abstractNumId w:val="29"/>
  </w:num>
  <w:num w:numId="11">
    <w:abstractNumId w:val="59"/>
  </w:num>
  <w:num w:numId="12">
    <w:abstractNumId w:val="76"/>
  </w:num>
  <w:num w:numId="13">
    <w:abstractNumId w:val="79"/>
  </w:num>
  <w:num w:numId="14">
    <w:abstractNumId w:val="38"/>
  </w:num>
  <w:num w:numId="15">
    <w:abstractNumId w:val="64"/>
  </w:num>
  <w:num w:numId="16">
    <w:abstractNumId w:val="75"/>
  </w:num>
  <w:num w:numId="17">
    <w:abstractNumId w:val="58"/>
  </w:num>
  <w:num w:numId="18">
    <w:abstractNumId w:val="53"/>
  </w:num>
  <w:num w:numId="19">
    <w:abstractNumId w:val="26"/>
  </w:num>
  <w:num w:numId="20">
    <w:abstractNumId w:val="15"/>
  </w:num>
  <w:num w:numId="21">
    <w:abstractNumId w:val="20"/>
  </w:num>
  <w:num w:numId="22">
    <w:abstractNumId w:val="31"/>
  </w:num>
  <w:num w:numId="23">
    <w:abstractNumId w:val="55"/>
  </w:num>
  <w:num w:numId="24">
    <w:abstractNumId w:val="30"/>
  </w:num>
  <w:num w:numId="25">
    <w:abstractNumId w:val="62"/>
  </w:num>
  <w:num w:numId="26">
    <w:abstractNumId w:val="18"/>
  </w:num>
  <w:num w:numId="27">
    <w:abstractNumId w:val="36"/>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4"/>
  </w:num>
  <w:num w:numId="31">
    <w:abstractNumId w:val="41"/>
  </w:num>
  <w:num w:numId="32">
    <w:abstractNumId w:val="78"/>
  </w:num>
  <w:num w:numId="33">
    <w:abstractNumId w:val="70"/>
  </w:num>
  <w:num w:numId="34">
    <w:abstractNumId w:val="37"/>
  </w:num>
  <w:num w:numId="35">
    <w:abstractNumId w:val="35"/>
  </w:num>
  <w:num w:numId="36">
    <w:abstractNumId w:val="56"/>
  </w:num>
  <w:num w:numId="37">
    <w:abstractNumId w:val="47"/>
  </w:num>
  <w:num w:numId="38">
    <w:abstractNumId w:val="50"/>
  </w:num>
  <w:num w:numId="39">
    <w:abstractNumId w:val="34"/>
  </w:num>
  <w:num w:numId="40">
    <w:abstractNumId w:val="72"/>
  </w:num>
  <w:num w:numId="41">
    <w:abstractNumId w:val="77"/>
  </w:num>
  <w:num w:numId="42">
    <w:abstractNumId w:val="5"/>
  </w:num>
  <w:num w:numId="43">
    <w:abstractNumId w:val="8"/>
  </w:num>
  <w:num w:numId="44">
    <w:abstractNumId w:val="44"/>
  </w:num>
  <w:num w:numId="45">
    <w:abstractNumId w:val="52"/>
  </w:num>
  <w:num w:numId="46">
    <w:abstractNumId w:val="25"/>
  </w:num>
  <w:num w:numId="47">
    <w:abstractNumId w:val="19"/>
  </w:num>
  <w:num w:numId="48">
    <w:abstractNumId w:val="74"/>
  </w:num>
  <w:num w:numId="49">
    <w:abstractNumId w:val="54"/>
  </w:num>
  <w:num w:numId="50">
    <w:abstractNumId w:val="39"/>
  </w:num>
  <w:num w:numId="51">
    <w:abstractNumId w:val="28"/>
  </w:num>
  <w:num w:numId="52">
    <w:abstractNumId w:val="51"/>
  </w:num>
  <w:num w:numId="53">
    <w:abstractNumId w:val="7"/>
  </w:num>
  <w:num w:numId="54">
    <w:abstractNumId w:val="57"/>
  </w:num>
  <w:num w:numId="55">
    <w:abstractNumId w:val="24"/>
  </w:num>
  <w:num w:numId="56">
    <w:abstractNumId w:val="73"/>
  </w:num>
  <w:num w:numId="57">
    <w:abstractNumId w:val="68"/>
  </w:num>
  <w:num w:numId="58">
    <w:abstractNumId w:val="60"/>
  </w:num>
  <w:num w:numId="59">
    <w:abstractNumId w:val="21"/>
  </w:num>
  <w:num w:numId="60">
    <w:abstractNumId w:val="67"/>
  </w:num>
  <w:num w:numId="61">
    <w:abstractNumId w:val="12"/>
  </w:num>
  <w:num w:numId="62">
    <w:abstractNumId w:val="45"/>
  </w:num>
  <w:num w:numId="63">
    <w:abstractNumId w:val="13"/>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9"/>
  </w:num>
  <w:num w:numId="66">
    <w:abstractNumId w:val="9"/>
  </w:num>
  <w:num w:numId="67">
    <w:abstractNumId w:val="27"/>
  </w:num>
  <w:num w:numId="68">
    <w:abstractNumId w:val="14"/>
  </w:num>
  <w:num w:numId="69">
    <w:abstractNumId w:val="49"/>
  </w:num>
  <w:num w:numId="70">
    <w:abstractNumId w:val="43"/>
  </w:num>
  <w:num w:numId="71">
    <w:abstractNumId w:val="33"/>
  </w:num>
  <w:num w:numId="72">
    <w:abstractNumId w:val="0"/>
  </w:num>
  <w:num w:numId="73">
    <w:abstractNumId w:val="10"/>
  </w:num>
  <w:num w:numId="74">
    <w:abstractNumId w:val="3"/>
  </w:num>
  <w:num w:numId="75">
    <w:abstractNumId w:val="71"/>
  </w:num>
  <w:num w:numId="76">
    <w:abstractNumId w:val="22"/>
  </w:num>
  <w:num w:numId="77">
    <w:abstractNumId w:val="23"/>
  </w:num>
  <w:num w:numId="78">
    <w:abstractNumId w:val="16"/>
  </w:num>
  <w:num w:numId="79">
    <w:abstractNumId w:val="2"/>
  </w:num>
  <w:num w:numId="80">
    <w:abstractNumId w:val="46"/>
  </w:num>
  <w:num w:numId="81">
    <w:abstractNumId w:val="1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cumentProtection w:edit="trackedChanges" w:enforcement="0"/>
  <w:defaultTabStop w:val="720"/>
  <w:characterSpacingControl w:val="doNotCompress"/>
  <w:hdrShapeDefaults>
    <o:shapedefaults v:ext="edit" spidmax="2293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3D"/>
    <w:rsid w:val="000009AF"/>
    <w:rsid w:val="00000C9C"/>
    <w:rsid w:val="00002776"/>
    <w:rsid w:val="000031D4"/>
    <w:rsid w:val="000033EF"/>
    <w:rsid w:val="00003686"/>
    <w:rsid w:val="0000511A"/>
    <w:rsid w:val="00005F2D"/>
    <w:rsid w:val="00005FF8"/>
    <w:rsid w:val="0000620E"/>
    <w:rsid w:val="00006278"/>
    <w:rsid w:val="0000684F"/>
    <w:rsid w:val="00006D19"/>
    <w:rsid w:val="000103A1"/>
    <w:rsid w:val="0001152A"/>
    <w:rsid w:val="00012B3C"/>
    <w:rsid w:val="00013328"/>
    <w:rsid w:val="0001351F"/>
    <w:rsid w:val="00013943"/>
    <w:rsid w:val="000139DE"/>
    <w:rsid w:val="0002020A"/>
    <w:rsid w:val="000203E8"/>
    <w:rsid w:val="0002060B"/>
    <w:rsid w:val="00020B3A"/>
    <w:rsid w:val="000217CC"/>
    <w:rsid w:val="00023DE6"/>
    <w:rsid w:val="00024564"/>
    <w:rsid w:val="00027023"/>
    <w:rsid w:val="0003205B"/>
    <w:rsid w:val="00033099"/>
    <w:rsid w:val="000337F9"/>
    <w:rsid w:val="00034A56"/>
    <w:rsid w:val="000354FF"/>
    <w:rsid w:val="00035FF2"/>
    <w:rsid w:val="00036E86"/>
    <w:rsid w:val="00037859"/>
    <w:rsid w:val="00037B2D"/>
    <w:rsid w:val="00037C22"/>
    <w:rsid w:val="00040F38"/>
    <w:rsid w:val="000423B5"/>
    <w:rsid w:val="000427A2"/>
    <w:rsid w:val="0004290C"/>
    <w:rsid w:val="00043A93"/>
    <w:rsid w:val="000451CD"/>
    <w:rsid w:val="000475D6"/>
    <w:rsid w:val="00047692"/>
    <w:rsid w:val="00047CD8"/>
    <w:rsid w:val="00047E93"/>
    <w:rsid w:val="000500BD"/>
    <w:rsid w:val="00051610"/>
    <w:rsid w:val="00051A6F"/>
    <w:rsid w:val="0005277E"/>
    <w:rsid w:val="000527B1"/>
    <w:rsid w:val="000535FE"/>
    <w:rsid w:val="00055A0E"/>
    <w:rsid w:val="00060898"/>
    <w:rsid w:val="00061151"/>
    <w:rsid w:val="000617A8"/>
    <w:rsid w:val="000621E8"/>
    <w:rsid w:val="00062C49"/>
    <w:rsid w:val="000643F4"/>
    <w:rsid w:val="00065264"/>
    <w:rsid w:val="00067F71"/>
    <w:rsid w:val="00070E3D"/>
    <w:rsid w:val="00071B05"/>
    <w:rsid w:val="00072C17"/>
    <w:rsid w:val="00072DC9"/>
    <w:rsid w:val="00073184"/>
    <w:rsid w:val="00074980"/>
    <w:rsid w:val="00075683"/>
    <w:rsid w:val="000772D7"/>
    <w:rsid w:val="00080200"/>
    <w:rsid w:val="00080503"/>
    <w:rsid w:val="00080CB3"/>
    <w:rsid w:val="000830F5"/>
    <w:rsid w:val="0008389E"/>
    <w:rsid w:val="000849BC"/>
    <w:rsid w:val="0008599D"/>
    <w:rsid w:val="00086F6C"/>
    <w:rsid w:val="00087C2A"/>
    <w:rsid w:val="0009023A"/>
    <w:rsid w:val="000902B4"/>
    <w:rsid w:val="00090FE6"/>
    <w:rsid w:val="000925B4"/>
    <w:rsid w:val="00092668"/>
    <w:rsid w:val="00092C57"/>
    <w:rsid w:val="00093F4E"/>
    <w:rsid w:val="0009430B"/>
    <w:rsid w:val="00094E5B"/>
    <w:rsid w:val="0009506F"/>
    <w:rsid w:val="00096D35"/>
    <w:rsid w:val="00096EB1"/>
    <w:rsid w:val="00097173"/>
    <w:rsid w:val="000A1301"/>
    <w:rsid w:val="000A1954"/>
    <w:rsid w:val="000A1ADF"/>
    <w:rsid w:val="000A2063"/>
    <w:rsid w:val="000A212A"/>
    <w:rsid w:val="000A2A45"/>
    <w:rsid w:val="000A3B44"/>
    <w:rsid w:val="000A4318"/>
    <w:rsid w:val="000A454F"/>
    <w:rsid w:val="000A45D8"/>
    <w:rsid w:val="000A46ED"/>
    <w:rsid w:val="000A4EE1"/>
    <w:rsid w:val="000A62C4"/>
    <w:rsid w:val="000A6EC9"/>
    <w:rsid w:val="000A7A32"/>
    <w:rsid w:val="000B00F0"/>
    <w:rsid w:val="000B08FE"/>
    <w:rsid w:val="000B17CA"/>
    <w:rsid w:val="000B1B76"/>
    <w:rsid w:val="000B23AE"/>
    <w:rsid w:val="000B2CDB"/>
    <w:rsid w:val="000B36F2"/>
    <w:rsid w:val="000B3920"/>
    <w:rsid w:val="000B47DE"/>
    <w:rsid w:val="000B4D6E"/>
    <w:rsid w:val="000B6568"/>
    <w:rsid w:val="000B6D5E"/>
    <w:rsid w:val="000B7DAA"/>
    <w:rsid w:val="000C0471"/>
    <w:rsid w:val="000C0EBA"/>
    <w:rsid w:val="000C2315"/>
    <w:rsid w:val="000C3687"/>
    <w:rsid w:val="000C3F07"/>
    <w:rsid w:val="000C419C"/>
    <w:rsid w:val="000C434D"/>
    <w:rsid w:val="000C4B31"/>
    <w:rsid w:val="000C567F"/>
    <w:rsid w:val="000C5A53"/>
    <w:rsid w:val="000C5E34"/>
    <w:rsid w:val="000C6F05"/>
    <w:rsid w:val="000D04E4"/>
    <w:rsid w:val="000D1458"/>
    <w:rsid w:val="000D2828"/>
    <w:rsid w:val="000D4596"/>
    <w:rsid w:val="000D4ED1"/>
    <w:rsid w:val="000D5BF7"/>
    <w:rsid w:val="000D5DA1"/>
    <w:rsid w:val="000E190B"/>
    <w:rsid w:val="000E1ADD"/>
    <w:rsid w:val="000E254B"/>
    <w:rsid w:val="000E2FC8"/>
    <w:rsid w:val="000E4024"/>
    <w:rsid w:val="000E4976"/>
    <w:rsid w:val="000E577F"/>
    <w:rsid w:val="000E683B"/>
    <w:rsid w:val="000E74AD"/>
    <w:rsid w:val="000E7D7D"/>
    <w:rsid w:val="000E7F0A"/>
    <w:rsid w:val="000F2441"/>
    <w:rsid w:val="000F3D58"/>
    <w:rsid w:val="000F63E4"/>
    <w:rsid w:val="000F71B9"/>
    <w:rsid w:val="000F772C"/>
    <w:rsid w:val="00100006"/>
    <w:rsid w:val="00100426"/>
    <w:rsid w:val="00100BA0"/>
    <w:rsid w:val="00101676"/>
    <w:rsid w:val="0010320A"/>
    <w:rsid w:val="0010374F"/>
    <w:rsid w:val="00103A76"/>
    <w:rsid w:val="00103B91"/>
    <w:rsid w:val="00106B19"/>
    <w:rsid w:val="00111253"/>
    <w:rsid w:val="00113990"/>
    <w:rsid w:val="00115E33"/>
    <w:rsid w:val="001160A7"/>
    <w:rsid w:val="00116DEA"/>
    <w:rsid w:val="001177E6"/>
    <w:rsid w:val="00120C2E"/>
    <w:rsid w:val="001218CA"/>
    <w:rsid w:val="001234C2"/>
    <w:rsid w:val="00125C84"/>
    <w:rsid w:val="00130BCA"/>
    <w:rsid w:val="00130FFB"/>
    <w:rsid w:val="00131A81"/>
    <w:rsid w:val="00131C8C"/>
    <w:rsid w:val="00132298"/>
    <w:rsid w:val="001327D2"/>
    <w:rsid w:val="00132C4C"/>
    <w:rsid w:val="00133CDB"/>
    <w:rsid w:val="0013412F"/>
    <w:rsid w:val="001346DB"/>
    <w:rsid w:val="00134B56"/>
    <w:rsid w:val="00135D1E"/>
    <w:rsid w:val="00136C51"/>
    <w:rsid w:val="00136F96"/>
    <w:rsid w:val="00137237"/>
    <w:rsid w:val="00137426"/>
    <w:rsid w:val="0013755A"/>
    <w:rsid w:val="00137B87"/>
    <w:rsid w:val="00137DB5"/>
    <w:rsid w:val="00137F92"/>
    <w:rsid w:val="00140BC6"/>
    <w:rsid w:val="00142181"/>
    <w:rsid w:val="001423BB"/>
    <w:rsid w:val="001424C0"/>
    <w:rsid w:val="00143196"/>
    <w:rsid w:val="00143D41"/>
    <w:rsid w:val="0014417D"/>
    <w:rsid w:val="001445CB"/>
    <w:rsid w:val="00144D29"/>
    <w:rsid w:val="00145554"/>
    <w:rsid w:val="00146629"/>
    <w:rsid w:val="00147346"/>
    <w:rsid w:val="00147752"/>
    <w:rsid w:val="0015334B"/>
    <w:rsid w:val="00153687"/>
    <w:rsid w:val="00154283"/>
    <w:rsid w:val="00154C80"/>
    <w:rsid w:val="00155885"/>
    <w:rsid w:val="00156E75"/>
    <w:rsid w:val="00160162"/>
    <w:rsid w:val="00161240"/>
    <w:rsid w:val="00163E41"/>
    <w:rsid w:val="001641A0"/>
    <w:rsid w:val="00164D05"/>
    <w:rsid w:val="001652A6"/>
    <w:rsid w:val="00165AA3"/>
    <w:rsid w:val="00166528"/>
    <w:rsid w:val="00171ABC"/>
    <w:rsid w:val="00172141"/>
    <w:rsid w:val="0017220D"/>
    <w:rsid w:val="00172D9D"/>
    <w:rsid w:val="00172FF8"/>
    <w:rsid w:val="001733B1"/>
    <w:rsid w:val="001738BA"/>
    <w:rsid w:val="00174E92"/>
    <w:rsid w:val="001751B9"/>
    <w:rsid w:val="001756A4"/>
    <w:rsid w:val="00176AEB"/>
    <w:rsid w:val="001774C2"/>
    <w:rsid w:val="00177AA6"/>
    <w:rsid w:val="00177C26"/>
    <w:rsid w:val="001807B2"/>
    <w:rsid w:val="00180FF8"/>
    <w:rsid w:val="00181521"/>
    <w:rsid w:val="0018179D"/>
    <w:rsid w:val="001822D3"/>
    <w:rsid w:val="00184238"/>
    <w:rsid w:val="0018470E"/>
    <w:rsid w:val="001853DA"/>
    <w:rsid w:val="00185626"/>
    <w:rsid w:val="0018586E"/>
    <w:rsid w:val="00186500"/>
    <w:rsid w:val="00187FA3"/>
    <w:rsid w:val="00190928"/>
    <w:rsid w:val="00191FFB"/>
    <w:rsid w:val="00192171"/>
    <w:rsid w:val="001930C4"/>
    <w:rsid w:val="00194B59"/>
    <w:rsid w:val="00195306"/>
    <w:rsid w:val="001958CA"/>
    <w:rsid w:val="00196B18"/>
    <w:rsid w:val="00196B29"/>
    <w:rsid w:val="001A1744"/>
    <w:rsid w:val="001A1C8D"/>
    <w:rsid w:val="001A2728"/>
    <w:rsid w:val="001A283B"/>
    <w:rsid w:val="001A30EB"/>
    <w:rsid w:val="001A34FA"/>
    <w:rsid w:val="001A45F8"/>
    <w:rsid w:val="001A4A88"/>
    <w:rsid w:val="001A5BA9"/>
    <w:rsid w:val="001A5F69"/>
    <w:rsid w:val="001A63DF"/>
    <w:rsid w:val="001A6CD2"/>
    <w:rsid w:val="001B0ABD"/>
    <w:rsid w:val="001B1293"/>
    <w:rsid w:val="001B2823"/>
    <w:rsid w:val="001B6A43"/>
    <w:rsid w:val="001C0434"/>
    <w:rsid w:val="001C079B"/>
    <w:rsid w:val="001C1E54"/>
    <w:rsid w:val="001C2C32"/>
    <w:rsid w:val="001C2E4C"/>
    <w:rsid w:val="001C3DD9"/>
    <w:rsid w:val="001C4407"/>
    <w:rsid w:val="001D0783"/>
    <w:rsid w:val="001D133A"/>
    <w:rsid w:val="001D1B34"/>
    <w:rsid w:val="001D202F"/>
    <w:rsid w:val="001D299F"/>
    <w:rsid w:val="001D2A03"/>
    <w:rsid w:val="001D2E55"/>
    <w:rsid w:val="001D3552"/>
    <w:rsid w:val="001D3A59"/>
    <w:rsid w:val="001D454F"/>
    <w:rsid w:val="001D5918"/>
    <w:rsid w:val="001D6E51"/>
    <w:rsid w:val="001D7C9A"/>
    <w:rsid w:val="001D7DB3"/>
    <w:rsid w:val="001E13E0"/>
    <w:rsid w:val="001E1D91"/>
    <w:rsid w:val="001E1EC9"/>
    <w:rsid w:val="001E375A"/>
    <w:rsid w:val="001E5234"/>
    <w:rsid w:val="001E6344"/>
    <w:rsid w:val="001E6806"/>
    <w:rsid w:val="001E696A"/>
    <w:rsid w:val="001E7B1A"/>
    <w:rsid w:val="001F089E"/>
    <w:rsid w:val="001F08BE"/>
    <w:rsid w:val="001F3CBD"/>
    <w:rsid w:val="001F40B6"/>
    <w:rsid w:val="001F4494"/>
    <w:rsid w:val="001F472C"/>
    <w:rsid w:val="001F47CB"/>
    <w:rsid w:val="001F5178"/>
    <w:rsid w:val="001F76E0"/>
    <w:rsid w:val="001F7C95"/>
    <w:rsid w:val="002002B2"/>
    <w:rsid w:val="0020256B"/>
    <w:rsid w:val="00202960"/>
    <w:rsid w:val="00203AC4"/>
    <w:rsid w:val="0020506E"/>
    <w:rsid w:val="002051E5"/>
    <w:rsid w:val="00210F7C"/>
    <w:rsid w:val="00213403"/>
    <w:rsid w:val="002142A5"/>
    <w:rsid w:val="00214DBF"/>
    <w:rsid w:val="00215AB1"/>
    <w:rsid w:val="002172E5"/>
    <w:rsid w:val="00217AE8"/>
    <w:rsid w:val="00220305"/>
    <w:rsid w:val="00220DE4"/>
    <w:rsid w:val="0022230E"/>
    <w:rsid w:val="00223886"/>
    <w:rsid w:val="00224545"/>
    <w:rsid w:val="00224C41"/>
    <w:rsid w:val="002251BD"/>
    <w:rsid w:val="00225742"/>
    <w:rsid w:val="00225895"/>
    <w:rsid w:val="00225E40"/>
    <w:rsid w:val="00225F3E"/>
    <w:rsid w:val="002260F4"/>
    <w:rsid w:val="00226409"/>
    <w:rsid w:val="00226B21"/>
    <w:rsid w:val="00227193"/>
    <w:rsid w:val="00227951"/>
    <w:rsid w:val="002314A1"/>
    <w:rsid w:val="002317B3"/>
    <w:rsid w:val="00232291"/>
    <w:rsid w:val="00232438"/>
    <w:rsid w:val="00232816"/>
    <w:rsid w:val="002331E4"/>
    <w:rsid w:val="00233889"/>
    <w:rsid w:val="00233C77"/>
    <w:rsid w:val="0023410F"/>
    <w:rsid w:val="0023429C"/>
    <w:rsid w:val="00234FBC"/>
    <w:rsid w:val="0023623F"/>
    <w:rsid w:val="0023691B"/>
    <w:rsid w:val="00240825"/>
    <w:rsid w:val="00241663"/>
    <w:rsid w:val="00241889"/>
    <w:rsid w:val="00241A84"/>
    <w:rsid w:val="002421EA"/>
    <w:rsid w:val="00243B6F"/>
    <w:rsid w:val="002470CA"/>
    <w:rsid w:val="00247773"/>
    <w:rsid w:val="00251F93"/>
    <w:rsid w:val="00253834"/>
    <w:rsid w:val="00254275"/>
    <w:rsid w:val="00254303"/>
    <w:rsid w:val="00255A87"/>
    <w:rsid w:val="00256FB5"/>
    <w:rsid w:val="00257584"/>
    <w:rsid w:val="002603AA"/>
    <w:rsid w:val="0026134B"/>
    <w:rsid w:val="00261368"/>
    <w:rsid w:val="002624E8"/>
    <w:rsid w:val="00262D27"/>
    <w:rsid w:val="0026318D"/>
    <w:rsid w:val="0026474D"/>
    <w:rsid w:val="00264FCA"/>
    <w:rsid w:val="00265854"/>
    <w:rsid w:val="00266DAB"/>
    <w:rsid w:val="0026734B"/>
    <w:rsid w:val="00270285"/>
    <w:rsid w:val="0027044B"/>
    <w:rsid w:val="00271802"/>
    <w:rsid w:val="002733F3"/>
    <w:rsid w:val="002735FA"/>
    <w:rsid w:val="00273729"/>
    <w:rsid w:val="00273B98"/>
    <w:rsid w:val="0027445C"/>
    <w:rsid w:val="0027455A"/>
    <w:rsid w:val="002756B1"/>
    <w:rsid w:val="00275882"/>
    <w:rsid w:val="0027688D"/>
    <w:rsid w:val="0028057A"/>
    <w:rsid w:val="00280B7A"/>
    <w:rsid w:val="00281F92"/>
    <w:rsid w:val="00283E23"/>
    <w:rsid w:val="002849AB"/>
    <w:rsid w:val="002870EF"/>
    <w:rsid w:val="002902DE"/>
    <w:rsid w:val="00290501"/>
    <w:rsid w:val="002917C9"/>
    <w:rsid w:val="002919F4"/>
    <w:rsid w:val="00291AB9"/>
    <w:rsid w:val="00291DEC"/>
    <w:rsid w:val="00291E03"/>
    <w:rsid w:val="00292835"/>
    <w:rsid w:val="00293691"/>
    <w:rsid w:val="0029464E"/>
    <w:rsid w:val="0029505F"/>
    <w:rsid w:val="002953DE"/>
    <w:rsid w:val="00295B4B"/>
    <w:rsid w:val="00295C63"/>
    <w:rsid w:val="00296152"/>
    <w:rsid w:val="002963C8"/>
    <w:rsid w:val="0029677F"/>
    <w:rsid w:val="002968DD"/>
    <w:rsid w:val="00297CE1"/>
    <w:rsid w:val="002A0827"/>
    <w:rsid w:val="002A2400"/>
    <w:rsid w:val="002A32A2"/>
    <w:rsid w:val="002A34FA"/>
    <w:rsid w:val="002A378A"/>
    <w:rsid w:val="002A3914"/>
    <w:rsid w:val="002A494D"/>
    <w:rsid w:val="002A4E4C"/>
    <w:rsid w:val="002A51D7"/>
    <w:rsid w:val="002A5C35"/>
    <w:rsid w:val="002A668B"/>
    <w:rsid w:val="002A6EB3"/>
    <w:rsid w:val="002A705B"/>
    <w:rsid w:val="002A7E8B"/>
    <w:rsid w:val="002B0A7F"/>
    <w:rsid w:val="002B14E3"/>
    <w:rsid w:val="002B2488"/>
    <w:rsid w:val="002B27B1"/>
    <w:rsid w:val="002B34B3"/>
    <w:rsid w:val="002B3814"/>
    <w:rsid w:val="002B6924"/>
    <w:rsid w:val="002B6C64"/>
    <w:rsid w:val="002B7477"/>
    <w:rsid w:val="002B776D"/>
    <w:rsid w:val="002B7F38"/>
    <w:rsid w:val="002C03DE"/>
    <w:rsid w:val="002C19DD"/>
    <w:rsid w:val="002C3480"/>
    <w:rsid w:val="002C3EA4"/>
    <w:rsid w:val="002C4082"/>
    <w:rsid w:val="002C5530"/>
    <w:rsid w:val="002C66AC"/>
    <w:rsid w:val="002C680E"/>
    <w:rsid w:val="002C788F"/>
    <w:rsid w:val="002D14E3"/>
    <w:rsid w:val="002D1FCC"/>
    <w:rsid w:val="002D33AF"/>
    <w:rsid w:val="002D4979"/>
    <w:rsid w:val="002D4F14"/>
    <w:rsid w:val="002D5640"/>
    <w:rsid w:val="002D7A64"/>
    <w:rsid w:val="002D7D34"/>
    <w:rsid w:val="002E05DC"/>
    <w:rsid w:val="002E1267"/>
    <w:rsid w:val="002E141F"/>
    <w:rsid w:val="002E1815"/>
    <w:rsid w:val="002E1B4A"/>
    <w:rsid w:val="002E4886"/>
    <w:rsid w:val="002E4B6E"/>
    <w:rsid w:val="002E51F6"/>
    <w:rsid w:val="002E5E71"/>
    <w:rsid w:val="002E7077"/>
    <w:rsid w:val="002E7D36"/>
    <w:rsid w:val="002F06C5"/>
    <w:rsid w:val="002F0A46"/>
    <w:rsid w:val="002F1665"/>
    <w:rsid w:val="002F1866"/>
    <w:rsid w:val="002F1ABB"/>
    <w:rsid w:val="002F2872"/>
    <w:rsid w:val="002F5564"/>
    <w:rsid w:val="002F5A2C"/>
    <w:rsid w:val="002F5B31"/>
    <w:rsid w:val="002F7D11"/>
    <w:rsid w:val="002F7EBA"/>
    <w:rsid w:val="003011FA"/>
    <w:rsid w:val="00301AF1"/>
    <w:rsid w:val="0030236C"/>
    <w:rsid w:val="0030304C"/>
    <w:rsid w:val="00304617"/>
    <w:rsid w:val="003046B7"/>
    <w:rsid w:val="00304D43"/>
    <w:rsid w:val="003051E6"/>
    <w:rsid w:val="00306427"/>
    <w:rsid w:val="00306C57"/>
    <w:rsid w:val="00307142"/>
    <w:rsid w:val="00312458"/>
    <w:rsid w:val="0031445F"/>
    <w:rsid w:val="0031545D"/>
    <w:rsid w:val="00316E76"/>
    <w:rsid w:val="003200F3"/>
    <w:rsid w:val="00320596"/>
    <w:rsid w:val="003208AB"/>
    <w:rsid w:val="00320F96"/>
    <w:rsid w:val="00321361"/>
    <w:rsid w:val="00322655"/>
    <w:rsid w:val="00323A6C"/>
    <w:rsid w:val="00323C65"/>
    <w:rsid w:val="00323FA6"/>
    <w:rsid w:val="00324D53"/>
    <w:rsid w:val="00325269"/>
    <w:rsid w:val="003279BA"/>
    <w:rsid w:val="00327D07"/>
    <w:rsid w:val="00330465"/>
    <w:rsid w:val="00331228"/>
    <w:rsid w:val="00331775"/>
    <w:rsid w:val="0033198E"/>
    <w:rsid w:val="00332297"/>
    <w:rsid w:val="003328F9"/>
    <w:rsid w:val="003343D6"/>
    <w:rsid w:val="00334EAF"/>
    <w:rsid w:val="003351EB"/>
    <w:rsid w:val="003355AA"/>
    <w:rsid w:val="00335F53"/>
    <w:rsid w:val="00336847"/>
    <w:rsid w:val="00336C42"/>
    <w:rsid w:val="0033753C"/>
    <w:rsid w:val="003378B4"/>
    <w:rsid w:val="00337B84"/>
    <w:rsid w:val="00337CED"/>
    <w:rsid w:val="00340DA2"/>
    <w:rsid w:val="00341408"/>
    <w:rsid w:val="0034168C"/>
    <w:rsid w:val="00341A7A"/>
    <w:rsid w:val="00343B9C"/>
    <w:rsid w:val="00347991"/>
    <w:rsid w:val="00350B31"/>
    <w:rsid w:val="003513DA"/>
    <w:rsid w:val="003518D4"/>
    <w:rsid w:val="0035194A"/>
    <w:rsid w:val="00351C14"/>
    <w:rsid w:val="00351F6B"/>
    <w:rsid w:val="00352914"/>
    <w:rsid w:val="00352E26"/>
    <w:rsid w:val="00354B4D"/>
    <w:rsid w:val="00357636"/>
    <w:rsid w:val="003609EF"/>
    <w:rsid w:val="00360B2B"/>
    <w:rsid w:val="003612E4"/>
    <w:rsid w:val="0036236A"/>
    <w:rsid w:val="00362797"/>
    <w:rsid w:val="00363EA5"/>
    <w:rsid w:val="00364CD4"/>
    <w:rsid w:val="00366357"/>
    <w:rsid w:val="003663EE"/>
    <w:rsid w:val="003666F2"/>
    <w:rsid w:val="00367322"/>
    <w:rsid w:val="003677CA"/>
    <w:rsid w:val="00367901"/>
    <w:rsid w:val="00370426"/>
    <w:rsid w:val="0037067B"/>
    <w:rsid w:val="00370CC6"/>
    <w:rsid w:val="00370E79"/>
    <w:rsid w:val="00371023"/>
    <w:rsid w:val="00371AB9"/>
    <w:rsid w:val="00373037"/>
    <w:rsid w:val="00373572"/>
    <w:rsid w:val="00373A0C"/>
    <w:rsid w:val="00374C3A"/>
    <w:rsid w:val="00374D02"/>
    <w:rsid w:val="003764E1"/>
    <w:rsid w:val="00376A96"/>
    <w:rsid w:val="0037761C"/>
    <w:rsid w:val="00377B72"/>
    <w:rsid w:val="00380B98"/>
    <w:rsid w:val="00380D4E"/>
    <w:rsid w:val="0038111E"/>
    <w:rsid w:val="0038133E"/>
    <w:rsid w:val="00381838"/>
    <w:rsid w:val="00382194"/>
    <w:rsid w:val="003824DF"/>
    <w:rsid w:val="0038335B"/>
    <w:rsid w:val="00384674"/>
    <w:rsid w:val="003848D2"/>
    <w:rsid w:val="003849EE"/>
    <w:rsid w:val="00384F6E"/>
    <w:rsid w:val="00385F2B"/>
    <w:rsid w:val="003863C1"/>
    <w:rsid w:val="00386BDC"/>
    <w:rsid w:val="003871D1"/>
    <w:rsid w:val="00387B44"/>
    <w:rsid w:val="00390641"/>
    <w:rsid w:val="00390D69"/>
    <w:rsid w:val="0039298B"/>
    <w:rsid w:val="003930C1"/>
    <w:rsid w:val="00394815"/>
    <w:rsid w:val="00394CF0"/>
    <w:rsid w:val="00395DD3"/>
    <w:rsid w:val="003966F3"/>
    <w:rsid w:val="003A11EF"/>
    <w:rsid w:val="003A12DF"/>
    <w:rsid w:val="003A1BF6"/>
    <w:rsid w:val="003A23D7"/>
    <w:rsid w:val="003A2488"/>
    <w:rsid w:val="003A2549"/>
    <w:rsid w:val="003A68BD"/>
    <w:rsid w:val="003A6E83"/>
    <w:rsid w:val="003A7608"/>
    <w:rsid w:val="003A7E1A"/>
    <w:rsid w:val="003B0794"/>
    <w:rsid w:val="003B0A1A"/>
    <w:rsid w:val="003B0E4E"/>
    <w:rsid w:val="003B1F17"/>
    <w:rsid w:val="003B282E"/>
    <w:rsid w:val="003B3E6C"/>
    <w:rsid w:val="003B46EC"/>
    <w:rsid w:val="003B5075"/>
    <w:rsid w:val="003B5137"/>
    <w:rsid w:val="003B567D"/>
    <w:rsid w:val="003B5AAF"/>
    <w:rsid w:val="003B5F38"/>
    <w:rsid w:val="003B7769"/>
    <w:rsid w:val="003C0B8B"/>
    <w:rsid w:val="003C25C6"/>
    <w:rsid w:val="003C4867"/>
    <w:rsid w:val="003C4FF0"/>
    <w:rsid w:val="003C5E0F"/>
    <w:rsid w:val="003C753E"/>
    <w:rsid w:val="003C790F"/>
    <w:rsid w:val="003C7DA0"/>
    <w:rsid w:val="003D02DA"/>
    <w:rsid w:val="003D1508"/>
    <w:rsid w:val="003D1D49"/>
    <w:rsid w:val="003D245B"/>
    <w:rsid w:val="003D2737"/>
    <w:rsid w:val="003D2955"/>
    <w:rsid w:val="003D33A6"/>
    <w:rsid w:val="003D4C9E"/>
    <w:rsid w:val="003D6125"/>
    <w:rsid w:val="003D689C"/>
    <w:rsid w:val="003E0008"/>
    <w:rsid w:val="003E05A4"/>
    <w:rsid w:val="003E17D4"/>
    <w:rsid w:val="003E183B"/>
    <w:rsid w:val="003E305C"/>
    <w:rsid w:val="003E45F9"/>
    <w:rsid w:val="003E5C51"/>
    <w:rsid w:val="003E5DF9"/>
    <w:rsid w:val="003E6931"/>
    <w:rsid w:val="003E6E3A"/>
    <w:rsid w:val="003E704B"/>
    <w:rsid w:val="003F1D87"/>
    <w:rsid w:val="003F227E"/>
    <w:rsid w:val="003F4688"/>
    <w:rsid w:val="003F4BF4"/>
    <w:rsid w:val="003F6CB3"/>
    <w:rsid w:val="003F730E"/>
    <w:rsid w:val="00401546"/>
    <w:rsid w:val="00404446"/>
    <w:rsid w:val="00404966"/>
    <w:rsid w:val="0040716A"/>
    <w:rsid w:val="00410CB9"/>
    <w:rsid w:val="004127F1"/>
    <w:rsid w:val="004136CF"/>
    <w:rsid w:val="00413AF0"/>
    <w:rsid w:val="00413FAB"/>
    <w:rsid w:val="00414402"/>
    <w:rsid w:val="00414B93"/>
    <w:rsid w:val="00415CD7"/>
    <w:rsid w:val="0041605D"/>
    <w:rsid w:val="00416AB4"/>
    <w:rsid w:val="00416B93"/>
    <w:rsid w:val="00417F1F"/>
    <w:rsid w:val="00420719"/>
    <w:rsid w:val="00420834"/>
    <w:rsid w:val="00426EFE"/>
    <w:rsid w:val="00430654"/>
    <w:rsid w:val="00432AF7"/>
    <w:rsid w:val="004332CD"/>
    <w:rsid w:val="0043344B"/>
    <w:rsid w:val="00433A56"/>
    <w:rsid w:val="0043448E"/>
    <w:rsid w:val="004350D6"/>
    <w:rsid w:val="00436A29"/>
    <w:rsid w:val="00436E5F"/>
    <w:rsid w:val="00437826"/>
    <w:rsid w:val="004407F5"/>
    <w:rsid w:val="004418B2"/>
    <w:rsid w:val="004423D7"/>
    <w:rsid w:val="0044476B"/>
    <w:rsid w:val="00444B7F"/>
    <w:rsid w:val="00444EA0"/>
    <w:rsid w:val="00445C1C"/>
    <w:rsid w:val="004464F5"/>
    <w:rsid w:val="0044798B"/>
    <w:rsid w:val="0045053D"/>
    <w:rsid w:val="00451E3B"/>
    <w:rsid w:val="00453876"/>
    <w:rsid w:val="0045698B"/>
    <w:rsid w:val="00457A83"/>
    <w:rsid w:val="004619AB"/>
    <w:rsid w:val="00462D87"/>
    <w:rsid w:val="00462DFA"/>
    <w:rsid w:val="00463122"/>
    <w:rsid w:val="00463674"/>
    <w:rsid w:val="004637A9"/>
    <w:rsid w:val="00465A05"/>
    <w:rsid w:val="00465E59"/>
    <w:rsid w:val="00466316"/>
    <w:rsid w:val="00466737"/>
    <w:rsid w:val="00466A34"/>
    <w:rsid w:val="00467098"/>
    <w:rsid w:val="004714A4"/>
    <w:rsid w:val="00471A1A"/>
    <w:rsid w:val="00471DDD"/>
    <w:rsid w:val="0047339F"/>
    <w:rsid w:val="00474928"/>
    <w:rsid w:val="00475952"/>
    <w:rsid w:val="0047602C"/>
    <w:rsid w:val="004762B8"/>
    <w:rsid w:val="00476C62"/>
    <w:rsid w:val="004773CC"/>
    <w:rsid w:val="00477F22"/>
    <w:rsid w:val="004812C3"/>
    <w:rsid w:val="00482470"/>
    <w:rsid w:val="00482CF3"/>
    <w:rsid w:val="0048398E"/>
    <w:rsid w:val="0048407B"/>
    <w:rsid w:val="00485666"/>
    <w:rsid w:val="00485729"/>
    <w:rsid w:val="00485CC6"/>
    <w:rsid w:val="00486467"/>
    <w:rsid w:val="00487662"/>
    <w:rsid w:val="00487F96"/>
    <w:rsid w:val="00490027"/>
    <w:rsid w:val="0049262A"/>
    <w:rsid w:val="00492766"/>
    <w:rsid w:val="00496135"/>
    <w:rsid w:val="004A0544"/>
    <w:rsid w:val="004A2E1A"/>
    <w:rsid w:val="004A4456"/>
    <w:rsid w:val="004A65C0"/>
    <w:rsid w:val="004A7E0A"/>
    <w:rsid w:val="004A7F78"/>
    <w:rsid w:val="004B01F1"/>
    <w:rsid w:val="004B097F"/>
    <w:rsid w:val="004B23DD"/>
    <w:rsid w:val="004B25E6"/>
    <w:rsid w:val="004B28B5"/>
    <w:rsid w:val="004B5218"/>
    <w:rsid w:val="004B550D"/>
    <w:rsid w:val="004B5C53"/>
    <w:rsid w:val="004B678B"/>
    <w:rsid w:val="004C1D06"/>
    <w:rsid w:val="004C2352"/>
    <w:rsid w:val="004C2A68"/>
    <w:rsid w:val="004C2A82"/>
    <w:rsid w:val="004C3477"/>
    <w:rsid w:val="004C58D5"/>
    <w:rsid w:val="004C71D0"/>
    <w:rsid w:val="004C74E5"/>
    <w:rsid w:val="004D021E"/>
    <w:rsid w:val="004D0236"/>
    <w:rsid w:val="004D0986"/>
    <w:rsid w:val="004D0E96"/>
    <w:rsid w:val="004D1459"/>
    <w:rsid w:val="004D242F"/>
    <w:rsid w:val="004D265B"/>
    <w:rsid w:val="004D2E81"/>
    <w:rsid w:val="004D3915"/>
    <w:rsid w:val="004D466C"/>
    <w:rsid w:val="004D7175"/>
    <w:rsid w:val="004D7653"/>
    <w:rsid w:val="004D7AB0"/>
    <w:rsid w:val="004E016C"/>
    <w:rsid w:val="004E04E1"/>
    <w:rsid w:val="004E0B0F"/>
    <w:rsid w:val="004E0D59"/>
    <w:rsid w:val="004E208A"/>
    <w:rsid w:val="004E28CD"/>
    <w:rsid w:val="004E4510"/>
    <w:rsid w:val="004E4BEE"/>
    <w:rsid w:val="004E4D6D"/>
    <w:rsid w:val="004E5814"/>
    <w:rsid w:val="004E5D35"/>
    <w:rsid w:val="004E73B6"/>
    <w:rsid w:val="004E74C3"/>
    <w:rsid w:val="004E77DA"/>
    <w:rsid w:val="004F0B91"/>
    <w:rsid w:val="004F0CE7"/>
    <w:rsid w:val="004F488C"/>
    <w:rsid w:val="004F4B71"/>
    <w:rsid w:val="004F4F99"/>
    <w:rsid w:val="004F574F"/>
    <w:rsid w:val="004F5C69"/>
    <w:rsid w:val="004F5D65"/>
    <w:rsid w:val="004F62DF"/>
    <w:rsid w:val="004F6501"/>
    <w:rsid w:val="004F6AE2"/>
    <w:rsid w:val="004F77D9"/>
    <w:rsid w:val="005000D5"/>
    <w:rsid w:val="00502940"/>
    <w:rsid w:val="005032FF"/>
    <w:rsid w:val="00503F6B"/>
    <w:rsid w:val="00504550"/>
    <w:rsid w:val="005061AD"/>
    <w:rsid w:val="005061D7"/>
    <w:rsid w:val="00510E6E"/>
    <w:rsid w:val="00511009"/>
    <w:rsid w:val="005118E6"/>
    <w:rsid w:val="00511B60"/>
    <w:rsid w:val="0051232A"/>
    <w:rsid w:val="00513598"/>
    <w:rsid w:val="00513AA9"/>
    <w:rsid w:val="00514179"/>
    <w:rsid w:val="00515AD9"/>
    <w:rsid w:val="00517063"/>
    <w:rsid w:val="005179F2"/>
    <w:rsid w:val="00517F5F"/>
    <w:rsid w:val="00520BF2"/>
    <w:rsid w:val="005213C3"/>
    <w:rsid w:val="0052156C"/>
    <w:rsid w:val="00521C34"/>
    <w:rsid w:val="00521C60"/>
    <w:rsid w:val="00523063"/>
    <w:rsid w:val="0052316D"/>
    <w:rsid w:val="005239B9"/>
    <w:rsid w:val="00524959"/>
    <w:rsid w:val="00524DA5"/>
    <w:rsid w:val="0052533C"/>
    <w:rsid w:val="005263D2"/>
    <w:rsid w:val="00527017"/>
    <w:rsid w:val="00527DC0"/>
    <w:rsid w:val="005308A4"/>
    <w:rsid w:val="00530ACB"/>
    <w:rsid w:val="00530DDA"/>
    <w:rsid w:val="00531DB7"/>
    <w:rsid w:val="00533519"/>
    <w:rsid w:val="00535C80"/>
    <w:rsid w:val="00536F1D"/>
    <w:rsid w:val="005401AC"/>
    <w:rsid w:val="00540330"/>
    <w:rsid w:val="00540451"/>
    <w:rsid w:val="005427DD"/>
    <w:rsid w:val="00542A01"/>
    <w:rsid w:val="00542F4D"/>
    <w:rsid w:val="00543786"/>
    <w:rsid w:val="00543A96"/>
    <w:rsid w:val="00544312"/>
    <w:rsid w:val="00544832"/>
    <w:rsid w:val="005459ED"/>
    <w:rsid w:val="005461B8"/>
    <w:rsid w:val="005468A1"/>
    <w:rsid w:val="00547093"/>
    <w:rsid w:val="005473F2"/>
    <w:rsid w:val="00550A46"/>
    <w:rsid w:val="00550A63"/>
    <w:rsid w:val="00551729"/>
    <w:rsid w:val="005526D6"/>
    <w:rsid w:val="00552777"/>
    <w:rsid w:val="00552A8F"/>
    <w:rsid w:val="005530DC"/>
    <w:rsid w:val="0055389A"/>
    <w:rsid w:val="00554294"/>
    <w:rsid w:val="00554FD4"/>
    <w:rsid w:val="00555DBC"/>
    <w:rsid w:val="00556DF8"/>
    <w:rsid w:val="00557263"/>
    <w:rsid w:val="00557D16"/>
    <w:rsid w:val="0056240B"/>
    <w:rsid w:val="005628B6"/>
    <w:rsid w:val="00562A6E"/>
    <w:rsid w:val="00562E15"/>
    <w:rsid w:val="0056411E"/>
    <w:rsid w:val="00565099"/>
    <w:rsid w:val="00565121"/>
    <w:rsid w:val="00565786"/>
    <w:rsid w:val="00566C78"/>
    <w:rsid w:val="00567172"/>
    <w:rsid w:val="00570801"/>
    <w:rsid w:val="00570B52"/>
    <w:rsid w:val="00570FA6"/>
    <w:rsid w:val="005724CC"/>
    <w:rsid w:val="00572A01"/>
    <w:rsid w:val="0057632E"/>
    <w:rsid w:val="00576B13"/>
    <w:rsid w:val="005771E7"/>
    <w:rsid w:val="005775E8"/>
    <w:rsid w:val="00577F9A"/>
    <w:rsid w:val="005802F1"/>
    <w:rsid w:val="00580796"/>
    <w:rsid w:val="00580CEF"/>
    <w:rsid w:val="00580EFC"/>
    <w:rsid w:val="00581634"/>
    <w:rsid w:val="005827AB"/>
    <w:rsid w:val="00582E73"/>
    <w:rsid w:val="005833B9"/>
    <w:rsid w:val="005834BD"/>
    <w:rsid w:val="00584A16"/>
    <w:rsid w:val="0058551E"/>
    <w:rsid w:val="00585712"/>
    <w:rsid w:val="005857B4"/>
    <w:rsid w:val="005862C2"/>
    <w:rsid w:val="005871E4"/>
    <w:rsid w:val="0058770C"/>
    <w:rsid w:val="00592664"/>
    <w:rsid w:val="00592EAF"/>
    <w:rsid w:val="00593F6F"/>
    <w:rsid w:val="0059520A"/>
    <w:rsid w:val="00595315"/>
    <w:rsid w:val="00595670"/>
    <w:rsid w:val="00595B2A"/>
    <w:rsid w:val="0059645B"/>
    <w:rsid w:val="00596CB7"/>
    <w:rsid w:val="00596F2E"/>
    <w:rsid w:val="00597106"/>
    <w:rsid w:val="00597999"/>
    <w:rsid w:val="005A07BD"/>
    <w:rsid w:val="005A0D86"/>
    <w:rsid w:val="005A1D73"/>
    <w:rsid w:val="005A2718"/>
    <w:rsid w:val="005A48AF"/>
    <w:rsid w:val="005A51F8"/>
    <w:rsid w:val="005A549B"/>
    <w:rsid w:val="005A5801"/>
    <w:rsid w:val="005A5860"/>
    <w:rsid w:val="005A5C3A"/>
    <w:rsid w:val="005A72D2"/>
    <w:rsid w:val="005A72DA"/>
    <w:rsid w:val="005B1D21"/>
    <w:rsid w:val="005B1D74"/>
    <w:rsid w:val="005B2D65"/>
    <w:rsid w:val="005B2FCA"/>
    <w:rsid w:val="005B323A"/>
    <w:rsid w:val="005B3525"/>
    <w:rsid w:val="005B35BD"/>
    <w:rsid w:val="005B3ED1"/>
    <w:rsid w:val="005B5B3B"/>
    <w:rsid w:val="005B689D"/>
    <w:rsid w:val="005C12FA"/>
    <w:rsid w:val="005C1B6A"/>
    <w:rsid w:val="005C2263"/>
    <w:rsid w:val="005C2783"/>
    <w:rsid w:val="005C293C"/>
    <w:rsid w:val="005C374F"/>
    <w:rsid w:val="005C3B12"/>
    <w:rsid w:val="005C4295"/>
    <w:rsid w:val="005C435F"/>
    <w:rsid w:val="005C4581"/>
    <w:rsid w:val="005C5282"/>
    <w:rsid w:val="005C5C00"/>
    <w:rsid w:val="005C7712"/>
    <w:rsid w:val="005D1529"/>
    <w:rsid w:val="005D1723"/>
    <w:rsid w:val="005D2053"/>
    <w:rsid w:val="005D26A1"/>
    <w:rsid w:val="005D3091"/>
    <w:rsid w:val="005D310B"/>
    <w:rsid w:val="005D320A"/>
    <w:rsid w:val="005D3B72"/>
    <w:rsid w:val="005E15BC"/>
    <w:rsid w:val="005E3129"/>
    <w:rsid w:val="005E33F7"/>
    <w:rsid w:val="005E4219"/>
    <w:rsid w:val="005E5B75"/>
    <w:rsid w:val="005E67E6"/>
    <w:rsid w:val="005E71DD"/>
    <w:rsid w:val="005E7353"/>
    <w:rsid w:val="005F07EA"/>
    <w:rsid w:val="005F1623"/>
    <w:rsid w:val="005F238A"/>
    <w:rsid w:val="005F3004"/>
    <w:rsid w:val="005F3011"/>
    <w:rsid w:val="005F3051"/>
    <w:rsid w:val="005F5FC1"/>
    <w:rsid w:val="005F7309"/>
    <w:rsid w:val="006011D0"/>
    <w:rsid w:val="00601490"/>
    <w:rsid w:val="00601FAE"/>
    <w:rsid w:val="00602197"/>
    <w:rsid w:val="006022E3"/>
    <w:rsid w:val="006039E7"/>
    <w:rsid w:val="00604A87"/>
    <w:rsid w:val="00604C0D"/>
    <w:rsid w:val="00604FC5"/>
    <w:rsid w:val="006050A4"/>
    <w:rsid w:val="00605E45"/>
    <w:rsid w:val="00606CD8"/>
    <w:rsid w:val="0061050D"/>
    <w:rsid w:val="00610EFE"/>
    <w:rsid w:val="006110F3"/>
    <w:rsid w:val="00611C10"/>
    <w:rsid w:val="00612DF7"/>
    <w:rsid w:val="006141A0"/>
    <w:rsid w:val="006142EA"/>
    <w:rsid w:val="0061480B"/>
    <w:rsid w:val="00615B31"/>
    <w:rsid w:val="006166DB"/>
    <w:rsid w:val="00616FC1"/>
    <w:rsid w:val="006206CA"/>
    <w:rsid w:val="0062193F"/>
    <w:rsid w:val="006225A1"/>
    <w:rsid w:val="00623053"/>
    <w:rsid w:val="00624D9D"/>
    <w:rsid w:val="006262BB"/>
    <w:rsid w:val="00626893"/>
    <w:rsid w:val="00626E50"/>
    <w:rsid w:val="00627246"/>
    <w:rsid w:val="00627E45"/>
    <w:rsid w:val="006316DD"/>
    <w:rsid w:val="00631A94"/>
    <w:rsid w:val="0063281F"/>
    <w:rsid w:val="00632915"/>
    <w:rsid w:val="006339BF"/>
    <w:rsid w:val="00634A88"/>
    <w:rsid w:val="00637674"/>
    <w:rsid w:val="00640765"/>
    <w:rsid w:val="00640DAD"/>
    <w:rsid w:val="00641BC6"/>
    <w:rsid w:val="006426C3"/>
    <w:rsid w:val="00642CDF"/>
    <w:rsid w:val="0064419A"/>
    <w:rsid w:val="0064465B"/>
    <w:rsid w:val="00645CE9"/>
    <w:rsid w:val="00650308"/>
    <w:rsid w:val="00651406"/>
    <w:rsid w:val="00651C2A"/>
    <w:rsid w:val="00652260"/>
    <w:rsid w:val="00653B84"/>
    <w:rsid w:val="00654328"/>
    <w:rsid w:val="00654CD7"/>
    <w:rsid w:val="0065577F"/>
    <w:rsid w:val="0065668C"/>
    <w:rsid w:val="00660552"/>
    <w:rsid w:val="00660966"/>
    <w:rsid w:val="00661280"/>
    <w:rsid w:val="006615CD"/>
    <w:rsid w:val="00661D04"/>
    <w:rsid w:val="006639A6"/>
    <w:rsid w:val="00663C7B"/>
    <w:rsid w:val="00666185"/>
    <w:rsid w:val="00671A21"/>
    <w:rsid w:val="006729EC"/>
    <w:rsid w:val="00672BF3"/>
    <w:rsid w:val="006735EE"/>
    <w:rsid w:val="00673F88"/>
    <w:rsid w:val="0067598B"/>
    <w:rsid w:val="00676A34"/>
    <w:rsid w:val="006770CC"/>
    <w:rsid w:val="006770FA"/>
    <w:rsid w:val="006803EC"/>
    <w:rsid w:val="006810CE"/>
    <w:rsid w:val="006812CE"/>
    <w:rsid w:val="006819B3"/>
    <w:rsid w:val="0068209C"/>
    <w:rsid w:val="00682B2D"/>
    <w:rsid w:val="00684352"/>
    <w:rsid w:val="006854B5"/>
    <w:rsid w:val="00685EB4"/>
    <w:rsid w:val="0068736E"/>
    <w:rsid w:val="00687A72"/>
    <w:rsid w:val="0069035B"/>
    <w:rsid w:val="0069084D"/>
    <w:rsid w:val="0069094C"/>
    <w:rsid w:val="00691059"/>
    <w:rsid w:val="00691ADF"/>
    <w:rsid w:val="0069397B"/>
    <w:rsid w:val="0069418C"/>
    <w:rsid w:val="00694D54"/>
    <w:rsid w:val="00695690"/>
    <w:rsid w:val="0069574A"/>
    <w:rsid w:val="00695A33"/>
    <w:rsid w:val="006964C7"/>
    <w:rsid w:val="006976E9"/>
    <w:rsid w:val="006A05AA"/>
    <w:rsid w:val="006A0A1C"/>
    <w:rsid w:val="006A1185"/>
    <w:rsid w:val="006A179F"/>
    <w:rsid w:val="006A29C6"/>
    <w:rsid w:val="006A2C74"/>
    <w:rsid w:val="006A318A"/>
    <w:rsid w:val="006A3472"/>
    <w:rsid w:val="006A3694"/>
    <w:rsid w:val="006A3D27"/>
    <w:rsid w:val="006A3E5F"/>
    <w:rsid w:val="006A466E"/>
    <w:rsid w:val="006A49FD"/>
    <w:rsid w:val="006A5243"/>
    <w:rsid w:val="006A686B"/>
    <w:rsid w:val="006A6B29"/>
    <w:rsid w:val="006A7297"/>
    <w:rsid w:val="006A763E"/>
    <w:rsid w:val="006A77B5"/>
    <w:rsid w:val="006A7E88"/>
    <w:rsid w:val="006B098E"/>
    <w:rsid w:val="006B0BBE"/>
    <w:rsid w:val="006B1AF0"/>
    <w:rsid w:val="006B211D"/>
    <w:rsid w:val="006B2606"/>
    <w:rsid w:val="006B3CBB"/>
    <w:rsid w:val="006B45C9"/>
    <w:rsid w:val="006B4EFB"/>
    <w:rsid w:val="006B5950"/>
    <w:rsid w:val="006B59BE"/>
    <w:rsid w:val="006B660C"/>
    <w:rsid w:val="006B70EF"/>
    <w:rsid w:val="006B7558"/>
    <w:rsid w:val="006C22BA"/>
    <w:rsid w:val="006C269E"/>
    <w:rsid w:val="006C3C10"/>
    <w:rsid w:val="006C47E7"/>
    <w:rsid w:val="006C4D0E"/>
    <w:rsid w:val="006C51A4"/>
    <w:rsid w:val="006C5D40"/>
    <w:rsid w:val="006C75D1"/>
    <w:rsid w:val="006D027D"/>
    <w:rsid w:val="006D072A"/>
    <w:rsid w:val="006D1143"/>
    <w:rsid w:val="006D1DC1"/>
    <w:rsid w:val="006D2342"/>
    <w:rsid w:val="006D271C"/>
    <w:rsid w:val="006D3935"/>
    <w:rsid w:val="006D422E"/>
    <w:rsid w:val="006D4C04"/>
    <w:rsid w:val="006D4CA0"/>
    <w:rsid w:val="006D50C9"/>
    <w:rsid w:val="006D57CB"/>
    <w:rsid w:val="006D6058"/>
    <w:rsid w:val="006D692B"/>
    <w:rsid w:val="006E180C"/>
    <w:rsid w:val="006E288C"/>
    <w:rsid w:val="006E2CC1"/>
    <w:rsid w:val="006E3695"/>
    <w:rsid w:val="006E4044"/>
    <w:rsid w:val="006E4627"/>
    <w:rsid w:val="006E4ABB"/>
    <w:rsid w:val="006E66AB"/>
    <w:rsid w:val="006E6F41"/>
    <w:rsid w:val="006E7D6E"/>
    <w:rsid w:val="006F0135"/>
    <w:rsid w:val="006F17BA"/>
    <w:rsid w:val="006F1DAA"/>
    <w:rsid w:val="006F2F54"/>
    <w:rsid w:val="006F300A"/>
    <w:rsid w:val="006F3364"/>
    <w:rsid w:val="006F37E7"/>
    <w:rsid w:val="006F3D74"/>
    <w:rsid w:val="006F7A20"/>
    <w:rsid w:val="00700460"/>
    <w:rsid w:val="00700888"/>
    <w:rsid w:val="00700B7B"/>
    <w:rsid w:val="007014C2"/>
    <w:rsid w:val="007033C1"/>
    <w:rsid w:val="007033F1"/>
    <w:rsid w:val="007056BD"/>
    <w:rsid w:val="00706155"/>
    <w:rsid w:val="00707C43"/>
    <w:rsid w:val="0071008F"/>
    <w:rsid w:val="00710325"/>
    <w:rsid w:val="007126A1"/>
    <w:rsid w:val="00712834"/>
    <w:rsid w:val="00713048"/>
    <w:rsid w:val="007131B7"/>
    <w:rsid w:val="00713238"/>
    <w:rsid w:val="00714DE2"/>
    <w:rsid w:val="00715FC2"/>
    <w:rsid w:val="0071799F"/>
    <w:rsid w:val="007208B3"/>
    <w:rsid w:val="0072100B"/>
    <w:rsid w:val="00724BE9"/>
    <w:rsid w:val="00725C19"/>
    <w:rsid w:val="00727C43"/>
    <w:rsid w:val="00730613"/>
    <w:rsid w:val="00732F03"/>
    <w:rsid w:val="007343C9"/>
    <w:rsid w:val="00734721"/>
    <w:rsid w:val="00735B86"/>
    <w:rsid w:val="00735EF7"/>
    <w:rsid w:val="007365B8"/>
    <w:rsid w:val="00736C89"/>
    <w:rsid w:val="00740828"/>
    <w:rsid w:val="007417E7"/>
    <w:rsid w:val="00742383"/>
    <w:rsid w:val="0074289A"/>
    <w:rsid w:val="0074327F"/>
    <w:rsid w:val="0074440E"/>
    <w:rsid w:val="00744E8C"/>
    <w:rsid w:val="007458C0"/>
    <w:rsid w:val="00745BCA"/>
    <w:rsid w:val="007463F2"/>
    <w:rsid w:val="0074774A"/>
    <w:rsid w:val="007525ED"/>
    <w:rsid w:val="007537C7"/>
    <w:rsid w:val="0075407A"/>
    <w:rsid w:val="007547F9"/>
    <w:rsid w:val="00754C2D"/>
    <w:rsid w:val="007579F9"/>
    <w:rsid w:val="007628C7"/>
    <w:rsid w:val="007653A5"/>
    <w:rsid w:val="00766297"/>
    <w:rsid w:val="0076699F"/>
    <w:rsid w:val="00770233"/>
    <w:rsid w:val="00770E27"/>
    <w:rsid w:val="007710A3"/>
    <w:rsid w:val="007719C0"/>
    <w:rsid w:val="00772876"/>
    <w:rsid w:val="007738BB"/>
    <w:rsid w:val="00773D2C"/>
    <w:rsid w:val="00775C00"/>
    <w:rsid w:val="00780244"/>
    <w:rsid w:val="007802C4"/>
    <w:rsid w:val="00780A41"/>
    <w:rsid w:val="00782FCF"/>
    <w:rsid w:val="0078491B"/>
    <w:rsid w:val="00786536"/>
    <w:rsid w:val="00786C4E"/>
    <w:rsid w:val="007874CA"/>
    <w:rsid w:val="00790043"/>
    <w:rsid w:val="00791228"/>
    <w:rsid w:val="00791BB1"/>
    <w:rsid w:val="00793285"/>
    <w:rsid w:val="00793B65"/>
    <w:rsid w:val="00795943"/>
    <w:rsid w:val="007A13E9"/>
    <w:rsid w:val="007A1C56"/>
    <w:rsid w:val="007A413A"/>
    <w:rsid w:val="007A5D29"/>
    <w:rsid w:val="007A5EA3"/>
    <w:rsid w:val="007A6BC9"/>
    <w:rsid w:val="007B0318"/>
    <w:rsid w:val="007B0F48"/>
    <w:rsid w:val="007B12FB"/>
    <w:rsid w:val="007B12FC"/>
    <w:rsid w:val="007B196C"/>
    <w:rsid w:val="007B25F0"/>
    <w:rsid w:val="007B3C63"/>
    <w:rsid w:val="007B3E0B"/>
    <w:rsid w:val="007B488F"/>
    <w:rsid w:val="007B4D76"/>
    <w:rsid w:val="007B4F17"/>
    <w:rsid w:val="007B6F6F"/>
    <w:rsid w:val="007B7494"/>
    <w:rsid w:val="007C34DA"/>
    <w:rsid w:val="007C4840"/>
    <w:rsid w:val="007C52C0"/>
    <w:rsid w:val="007C5F1D"/>
    <w:rsid w:val="007C6288"/>
    <w:rsid w:val="007C64EA"/>
    <w:rsid w:val="007C6732"/>
    <w:rsid w:val="007D0420"/>
    <w:rsid w:val="007D1616"/>
    <w:rsid w:val="007D1814"/>
    <w:rsid w:val="007D2E0B"/>
    <w:rsid w:val="007D327C"/>
    <w:rsid w:val="007D4671"/>
    <w:rsid w:val="007D5766"/>
    <w:rsid w:val="007D58B7"/>
    <w:rsid w:val="007D5F92"/>
    <w:rsid w:val="007D6216"/>
    <w:rsid w:val="007D6268"/>
    <w:rsid w:val="007D7B00"/>
    <w:rsid w:val="007E0617"/>
    <w:rsid w:val="007E0D5F"/>
    <w:rsid w:val="007E0D77"/>
    <w:rsid w:val="007E0EA9"/>
    <w:rsid w:val="007E1C8F"/>
    <w:rsid w:val="007E1CF7"/>
    <w:rsid w:val="007E1ECF"/>
    <w:rsid w:val="007E238F"/>
    <w:rsid w:val="007E3416"/>
    <w:rsid w:val="007E37C8"/>
    <w:rsid w:val="007E3BE1"/>
    <w:rsid w:val="007E3C28"/>
    <w:rsid w:val="007E3EB8"/>
    <w:rsid w:val="007E4040"/>
    <w:rsid w:val="007E45E6"/>
    <w:rsid w:val="007E5782"/>
    <w:rsid w:val="007E689F"/>
    <w:rsid w:val="007E7337"/>
    <w:rsid w:val="007E745C"/>
    <w:rsid w:val="007E74C8"/>
    <w:rsid w:val="007F1948"/>
    <w:rsid w:val="007F3E6D"/>
    <w:rsid w:val="007F450F"/>
    <w:rsid w:val="007F4DB1"/>
    <w:rsid w:val="007F53AC"/>
    <w:rsid w:val="007F7165"/>
    <w:rsid w:val="007F7185"/>
    <w:rsid w:val="007F7350"/>
    <w:rsid w:val="007F73D7"/>
    <w:rsid w:val="007F77E4"/>
    <w:rsid w:val="0080058A"/>
    <w:rsid w:val="00800A6B"/>
    <w:rsid w:val="0080191D"/>
    <w:rsid w:val="008029B2"/>
    <w:rsid w:val="008029F1"/>
    <w:rsid w:val="00802AED"/>
    <w:rsid w:val="00802D10"/>
    <w:rsid w:val="00803000"/>
    <w:rsid w:val="00806527"/>
    <w:rsid w:val="00807025"/>
    <w:rsid w:val="0081099E"/>
    <w:rsid w:val="00811534"/>
    <w:rsid w:val="00811BBF"/>
    <w:rsid w:val="008124D5"/>
    <w:rsid w:val="00812CE0"/>
    <w:rsid w:val="00815766"/>
    <w:rsid w:val="00815B02"/>
    <w:rsid w:val="00816559"/>
    <w:rsid w:val="00816678"/>
    <w:rsid w:val="00816715"/>
    <w:rsid w:val="008205BB"/>
    <w:rsid w:val="0082143A"/>
    <w:rsid w:val="00821579"/>
    <w:rsid w:val="0082287A"/>
    <w:rsid w:val="00823356"/>
    <w:rsid w:val="0082477C"/>
    <w:rsid w:val="00824E7A"/>
    <w:rsid w:val="008251B6"/>
    <w:rsid w:val="00825D04"/>
    <w:rsid w:val="008271D4"/>
    <w:rsid w:val="0083004A"/>
    <w:rsid w:val="00830EF1"/>
    <w:rsid w:val="00833642"/>
    <w:rsid w:val="00834395"/>
    <w:rsid w:val="008346F3"/>
    <w:rsid w:val="008351CF"/>
    <w:rsid w:val="008358F3"/>
    <w:rsid w:val="00836838"/>
    <w:rsid w:val="00840077"/>
    <w:rsid w:val="00841C85"/>
    <w:rsid w:val="00842112"/>
    <w:rsid w:val="00842EF9"/>
    <w:rsid w:val="00844BC0"/>
    <w:rsid w:val="00845BF0"/>
    <w:rsid w:val="00845ECA"/>
    <w:rsid w:val="00846481"/>
    <w:rsid w:val="0084691C"/>
    <w:rsid w:val="00851A1C"/>
    <w:rsid w:val="00852D1B"/>
    <w:rsid w:val="00854193"/>
    <w:rsid w:val="008544FE"/>
    <w:rsid w:val="00854534"/>
    <w:rsid w:val="00854BFA"/>
    <w:rsid w:val="00855DA2"/>
    <w:rsid w:val="00856EDA"/>
    <w:rsid w:val="0085737C"/>
    <w:rsid w:val="00857F73"/>
    <w:rsid w:val="00860372"/>
    <w:rsid w:val="008617BA"/>
    <w:rsid w:val="00861C41"/>
    <w:rsid w:val="00861FEF"/>
    <w:rsid w:val="00862337"/>
    <w:rsid w:val="008634DE"/>
    <w:rsid w:val="00863677"/>
    <w:rsid w:val="008641F6"/>
    <w:rsid w:val="00864743"/>
    <w:rsid w:val="00864D2E"/>
    <w:rsid w:val="00866373"/>
    <w:rsid w:val="00866B2F"/>
    <w:rsid w:val="00867B62"/>
    <w:rsid w:val="008714F1"/>
    <w:rsid w:val="00871D74"/>
    <w:rsid w:val="00872A5D"/>
    <w:rsid w:val="00873517"/>
    <w:rsid w:val="00873A51"/>
    <w:rsid w:val="00873C11"/>
    <w:rsid w:val="00874384"/>
    <w:rsid w:val="00875733"/>
    <w:rsid w:val="0087609F"/>
    <w:rsid w:val="00877B59"/>
    <w:rsid w:val="00877D6B"/>
    <w:rsid w:val="008807A1"/>
    <w:rsid w:val="008807C4"/>
    <w:rsid w:val="008813BD"/>
    <w:rsid w:val="00882D85"/>
    <w:rsid w:val="00884248"/>
    <w:rsid w:val="00884A41"/>
    <w:rsid w:val="008850E5"/>
    <w:rsid w:val="008852D5"/>
    <w:rsid w:val="008853B0"/>
    <w:rsid w:val="008865D7"/>
    <w:rsid w:val="00887007"/>
    <w:rsid w:val="00890445"/>
    <w:rsid w:val="00890DB2"/>
    <w:rsid w:val="00891552"/>
    <w:rsid w:val="008920B5"/>
    <w:rsid w:val="008927D4"/>
    <w:rsid w:val="00892FEE"/>
    <w:rsid w:val="00894E3D"/>
    <w:rsid w:val="00895D27"/>
    <w:rsid w:val="00897196"/>
    <w:rsid w:val="00897805"/>
    <w:rsid w:val="008978EC"/>
    <w:rsid w:val="008A0128"/>
    <w:rsid w:val="008A39D7"/>
    <w:rsid w:val="008A39EC"/>
    <w:rsid w:val="008A3DBF"/>
    <w:rsid w:val="008A3E05"/>
    <w:rsid w:val="008A42E6"/>
    <w:rsid w:val="008A4E18"/>
    <w:rsid w:val="008A4E91"/>
    <w:rsid w:val="008A4FF9"/>
    <w:rsid w:val="008A5535"/>
    <w:rsid w:val="008A62C4"/>
    <w:rsid w:val="008A6474"/>
    <w:rsid w:val="008A6C4E"/>
    <w:rsid w:val="008A6DA4"/>
    <w:rsid w:val="008B010A"/>
    <w:rsid w:val="008B1778"/>
    <w:rsid w:val="008B1ED4"/>
    <w:rsid w:val="008B4637"/>
    <w:rsid w:val="008B4ECA"/>
    <w:rsid w:val="008C0493"/>
    <w:rsid w:val="008C09B7"/>
    <w:rsid w:val="008C1DCC"/>
    <w:rsid w:val="008C3419"/>
    <w:rsid w:val="008C3B37"/>
    <w:rsid w:val="008C40A1"/>
    <w:rsid w:val="008C5AE9"/>
    <w:rsid w:val="008C6B94"/>
    <w:rsid w:val="008C6BD8"/>
    <w:rsid w:val="008C72A8"/>
    <w:rsid w:val="008C7D36"/>
    <w:rsid w:val="008D0128"/>
    <w:rsid w:val="008D03A5"/>
    <w:rsid w:val="008D21C8"/>
    <w:rsid w:val="008D2692"/>
    <w:rsid w:val="008D2744"/>
    <w:rsid w:val="008D2D21"/>
    <w:rsid w:val="008D4A6D"/>
    <w:rsid w:val="008D5893"/>
    <w:rsid w:val="008D5CB5"/>
    <w:rsid w:val="008D60A0"/>
    <w:rsid w:val="008D694A"/>
    <w:rsid w:val="008D6DCB"/>
    <w:rsid w:val="008D70BB"/>
    <w:rsid w:val="008E0679"/>
    <w:rsid w:val="008E1E9D"/>
    <w:rsid w:val="008E3D01"/>
    <w:rsid w:val="008E7466"/>
    <w:rsid w:val="008F12F7"/>
    <w:rsid w:val="008F1FE3"/>
    <w:rsid w:val="008F3743"/>
    <w:rsid w:val="008F442E"/>
    <w:rsid w:val="008F4FB2"/>
    <w:rsid w:val="008F5044"/>
    <w:rsid w:val="008F5CC4"/>
    <w:rsid w:val="008F7FEF"/>
    <w:rsid w:val="0090147E"/>
    <w:rsid w:val="00901E4A"/>
    <w:rsid w:val="00902B99"/>
    <w:rsid w:val="00903771"/>
    <w:rsid w:val="0090442E"/>
    <w:rsid w:val="0090463B"/>
    <w:rsid w:val="009054A6"/>
    <w:rsid w:val="00905579"/>
    <w:rsid w:val="00905ACA"/>
    <w:rsid w:val="009061C9"/>
    <w:rsid w:val="009062CD"/>
    <w:rsid w:val="009065C0"/>
    <w:rsid w:val="00906AA7"/>
    <w:rsid w:val="0090733A"/>
    <w:rsid w:val="00907597"/>
    <w:rsid w:val="00910068"/>
    <w:rsid w:val="00911430"/>
    <w:rsid w:val="00911A90"/>
    <w:rsid w:val="0091484F"/>
    <w:rsid w:val="009166EC"/>
    <w:rsid w:val="009169E1"/>
    <w:rsid w:val="00916C2C"/>
    <w:rsid w:val="009175A6"/>
    <w:rsid w:val="00917970"/>
    <w:rsid w:val="00917B21"/>
    <w:rsid w:val="0092005A"/>
    <w:rsid w:val="009204A1"/>
    <w:rsid w:val="00921491"/>
    <w:rsid w:val="0092245D"/>
    <w:rsid w:val="00922BEB"/>
    <w:rsid w:val="00922E6A"/>
    <w:rsid w:val="00923B66"/>
    <w:rsid w:val="00923C71"/>
    <w:rsid w:val="00923EC0"/>
    <w:rsid w:val="00926164"/>
    <w:rsid w:val="00926A22"/>
    <w:rsid w:val="00926CE5"/>
    <w:rsid w:val="00927FEA"/>
    <w:rsid w:val="00930FB6"/>
    <w:rsid w:val="009314A3"/>
    <w:rsid w:val="009316DA"/>
    <w:rsid w:val="009322AF"/>
    <w:rsid w:val="00932744"/>
    <w:rsid w:val="00933053"/>
    <w:rsid w:val="00933B23"/>
    <w:rsid w:val="0093631B"/>
    <w:rsid w:val="009364B8"/>
    <w:rsid w:val="00937A48"/>
    <w:rsid w:val="009405D5"/>
    <w:rsid w:val="00941744"/>
    <w:rsid w:val="0094221F"/>
    <w:rsid w:val="0094259C"/>
    <w:rsid w:val="00942632"/>
    <w:rsid w:val="00945287"/>
    <w:rsid w:val="00945AC1"/>
    <w:rsid w:val="0094627A"/>
    <w:rsid w:val="0094631B"/>
    <w:rsid w:val="00946AB0"/>
    <w:rsid w:val="00950893"/>
    <w:rsid w:val="00951D1F"/>
    <w:rsid w:val="00952E0F"/>
    <w:rsid w:val="00953795"/>
    <w:rsid w:val="00953939"/>
    <w:rsid w:val="0095486A"/>
    <w:rsid w:val="009551F3"/>
    <w:rsid w:val="00955AC6"/>
    <w:rsid w:val="00955CB6"/>
    <w:rsid w:val="0095703A"/>
    <w:rsid w:val="00957D4C"/>
    <w:rsid w:val="00961844"/>
    <w:rsid w:val="009632DD"/>
    <w:rsid w:val="00963457"/>
    <w:rsid w:val="00963B61"/>
    <w:rsid w:val="009642C9"/>
    <w:rsid w:val="00965B9B"/>
    <w:rsid w:val="00966B56"/>
    <w:rsid w:val="00966DF9"/>
    <w:rsid w:val="009673A9"/>
    <w:rsid w:val="009706C4"/>
    <w:rsid w:val="00970ED6"/>
    <w:rsid w:val="00971820"/>
    <w:rsid w:val="00971918"/>
    <w:rsid w:val="00972617"/>
    <w:rsid w:val="00972812"/>
    <w:rsid w:val="0097444C"/>
    <w:rsid w:val="009745E7"/>
    <w:rsid w:val="00975CD9"/>
    <w:rsid w:val="0097634D"/>
    <w:rsid w:val="009763C6"/>
    <w:rsid w:val="00976502"/>
    <w:rsid w:val="00976E08"/>
    <w:rsid w:val="009807EE"/>
    <w:rsid w:val="00980A0D"/>
    <w:rsid w:val="00982BB1"/>
    <w:rsid w:val="009848DF"/>
    <w:rsid w:val="009849C1"/>
    <w:rsid w:val="0098526A"/>
    <w:rsid w:val="009854C9"/>
    <w:rsid w:val="00985875"/>
    <w:rsid w:val="0098615A"/>
    <w:rsid w:val="009861DC"/>
    <w:rsid w:val="009901EA"/>
    <w:rsid w:val="00990C5F"/>
    <w:rsid w:val="00991959"/>
    <w:rsid w:val="00991A0F"/>
    <w:rsid w:val="009922BB"/>
    <w:rsid w:val="009934AC"/>
    <w:rsid w:val="009939AF"/>
    <w:rsid w:val="009948C1"/>
    <w:rsid w:val="00994FCD"/>
    <w:rsid w:val="009956A1"/>
    <w:rsid w:val="00995EEA"/>
    <w:rsid w:val="009966C2"/>
    <w:rsid w:val="0099756F"/>
    <w:rsid w:val="009976B4"/>
    <w:rsid w:val="009978D0"/>
    <w:rsid w:val="00997F4A"/>
    <w:rsid w:val="009A0391"/>
    <w:rsid w:val="009A0619"/>
    <w:rsid w:val="009A0FD0"/>
    <w:rsid w:val="009A175F"/>
    <w:rsid w:val="009A2A32"/>
    <w:rsid w:val="009A305F"/>
    <w:rsid w:val="009A30CB"/>
    <w:rsid w:val="009A3CFD"/>
    <w:rsid w:val="009A3E9F"/>
    <w:rsid w:val="009A4DF7"/>
    <w:rsid w:val="009A5729"/>
    <w:rsid w:val="009A6710"/>
    <w:rsid w:val="009A687F"/>
    <w:rsid w:val="009A744D"/>
    <w:rsid w:val="009A75DE"/>
    <w:rsid w:val="009B005D"/>
    <w:rsid w:val="009B03B7"/>
    <w:rsid w:val="009B0641"/>
    <w:rsid w:val="009B32B8"/>
    <w:rsid w:val="009B3F2B"/>
    <w:rsid w:val="009B5FDE"/>
    <w:rsid w:val="009B7921"/>
    <w:rsid w:val="009B7C77"/>
    <w:rsid w:val="009C0CD5"/>
    <w:rsid w:val="009C2333"/>
    <w:rsid w:val="009C26F1"/>
    <w:rsid w:val="009C5CB5"/>
    <w:rsid w:val="009C6CB6"/>
    <w:rsid w:val="009C7C6F"/>
    <w:rsid w:val="009D1E01"/>
    <w:rsid w:val="009D2A7A"/>
    <w:rsid w:val="009D32D3"/>
    <w:rsid w:val="009D5C35"/>
    <w:rsid w:val="009D6A8C"/>
    <w:rsid w:val="009E147C"/>
    <w:rsid w:val="009E1F81"/>
    <w:rsid w:val="009E25EE"/>
    <w:rsid w:val="009E488F"/>
    <w:rsid w:val="009E4B71"/>
    <w:rsid w:val="009E4D93"/>
    <w:rsid w:val="009E58D8"/>
    <w:rsid w:val="009E5F38"/>
    <w:rsid w:val="009E7739"/>
    <w:rsid w:val="009F0EF0"/>
    <w:rsid w:val="009F10C2"/>
    <w:rsid w:val="009F2102"/>
    <w:rsid w:val="009F238C"/>
    <w:rsid w:val="009F293B"/>
    <w:rsid w:val="009F2C0A"/>
    <w:rsid w:val="009F604B"/>
    <w:rsid w:val="009F66A6"/>
    <w:rsid w:val="009F69D6"/>
    <w:rsid w:val="009F6B24"/>
    <w:rsid w:val="009F6B4C"/>
    <w:rsid w:val="009F7189"/>
    <w:rsid w:val="009F756C"/>
    <w:rsid w:val="00A003AB"/>
    <w:rsid w:val="00A008EE"/>
    <w:rsid w:val="00A00C8E"/>
    <w:rsid w:val="00A01095"/>
    <w:rsid w:val="00A012B1"/>
    <w:rsid w:val="00A01D3E"/>
    <w:rsid w:val="00A01FEE"/>
    <w:rsid w:val="00A03BFB"/>
    <w:rsid w:val="00A03E07"/>
    <w:rsid w:val="00A044FB"/>
    <w:rsid w:val="00A04B4B"/>
    <w:rsid w:val="00A05D4B"/>
    <w:rsid w:val="00A07B7F"/>
    <w:rsid w:val="00A07DFE"/>
    <w:rsid w:val="00A07E9B"/>
    <w:rsid w:val="00A1321D"/>
    <w:rsid w:val="00A13A95"/>
    <w:rsid w:val="00A143AD"/>
    <w:rsid w:val="00A143F3"/>
    <w:rsid w:val="00A14703"/>
    <w:rsid w:val="00A150EF"/>
    <w:rsid w:val="00A15D98"/>
    <w:rsid w:val="00A173FE"/>
    <w:rsid w:val="00A22763"/>
    <w:rsid w:val="00A228B6"/>
    <w:rsid w:val="00A232ED"/>
    <w:rsid w:val="00A259DB"/>
    <w:rsid w:val="00A25C25"/>
    <w:rsid w:val="00A26606"/>
    <w:rsid w:val="00A26A22"/>
    <w:rsid w:val="00A26D87"/>
    <w:rsid w:val="00A273CE"/>
    <w:rsid w:val="00A303C7"/>
    <w:rsid w:val="00A32A58"/>
    <w:rsid w:val="00A333F6"/>
    <w:rsid w:val="00A33E8F"/>
    <w:rsid w:val="00A346A5"/>
    <w:rsid w:val="00A359EC"/>
    <w:rsid w:val="00A37177"/>
    <w:rsid w:val="00A4003D"/>
    <w:rsid w:val="00A41FD8"/>
    <w:rsid w:val="00A4340F"/>
    <w:rsid w:val="00A44AB6"/>
    <w:rsid w:val="00A458A0"/>
    <w:rsid w:val="00A464B7"/>
    <w:rsid w:val="00A467F3"/>
    <w:rsid w:val="00A46B58"/>
    <w:rsid w:val="00A46B91"/>
    <w:rsid w:val="00A47CD0"/>
    <w:rsid w:val="00A50D41"/>
    <w:rsid w:val="00A50D4F"/>
    <w:rsid w:val="00A51E09"/>
    <w:rsid w:val="00A52B9B"/>
    <w:rsid w:val="00A53133"/>
    <w:rsid w:val="00A5345A"/>
    <w:rsid w:val="00A53781"/>
    <w:rsid w:val="00A54552"/>
    <w:rsid w:val="00A5464B"/>
    <w:rsid w:val="00A5563B"/>
    <w:rsid w:val="00A55964"/>
    <w:rsid w:val="00A56D94"/>
    <w:rsid w:val="00A574EC"/>
    <w:rsid w:val="00A64B30"/>
    <w:rsid w:val="00A675E8"/>
    <w:rsid w:val="00A67632"/>
    <w:rsid w:val="00A7096F"/>
    <w:rsid w:val="00A7157F"/>
    <w:rsid w:val="00A72437"/>
    <w:rsid w:val="00A735F3"/>
    <w:rsid w:val="00A7449B"/>
    <w:rsid w:val="00A75FAE"/>
    <w:rsid w:val="00A80F3B"/>
    <w:rsid w:val="00A83120"/>
    <w:rsid w:val="00A8344B"/>
    <w:rsid w:val="00A83919"/>
    <w:rsid w:val="00A84EFC"/>
    <w:rsid w:val="00A85411"/>
    <w:rsid w:val="00A857D0"/>
    <w:rsid w:val="00A85A7F"/>
    <w:rsid w:val="00A85D85"/>
    <w:rsid w:val="00A862AD"/>
    <w:rsid w:val="00A86577"/>
    <w:rsid w:val="00A87A3C"/>
    <w:rsid w:val="00A906CF"/>
    <w:rsid w:val="00A9075E"/>
    <w:rsid w:val="00A930CA"/>
    <w:rsid w:val="00A95659"/>
    <w:rsid w:val="00A96092"/>
    <w:rsid w:val="00A974A8"/>
    <w:rsid w:val="00AA07FE"/>
    <w:rsid w:val="00AA080B"/>
    <w:rsid w:val="00AA0AAD"/>
    <w:rsid w:val="00AA0C07"/>
    <w:rsid w:val="00AA1DEC"/>
    <w:rsid w:val="00AA289E"/>
    <w:rsid w:val="00AA34CB"/>
    <w:rsid w:val="00AA50B7"/>
    <w:rsid w:val="00AA5EB3"/>
    <w:rsid w:val="00AA6BDE"/>
    <w:rsid w:val="00AA7EDD"/>
    <w:rsid w:val="00AB0062"/>
    <w:rsid w:val="00AB030C"/>
    <w:rsid w:val="00AB0EF0"/>
    <w:rsid w:val="00AB1747"/>
    <w:rsid w:val="00AB2EB4"/>
    <w:rsid w:val="00AB3644"/>
    <w:rsid w:val="00AB45CD"/>
    <w:rsid w:val="00AB57A5"/>
    <w:rsid w:val="00AB5CD4"/>
    <w:rsid w:val="00AB6795"/>
    <w:rsid w:val="00AB6AFF"/>
    <w:rsid w:val="00AB6FEE"/>
    <w:rsid w:val="00AB7880"/>
    <w:rsid w:val="00AB7EAC"/>
    <w:rsid w:val="00AC050D"/>
    <w:rsid w:val="00AC15D7"/>
    <w:rsid w:val="00AC1AE3"/>
    <w:rsid w:val="00AC1C03"/>
    <w:rsid w:val="00AC2008"/>
    <w:rsid w:val="00AC21D2"/>
    <w:rsid w:val="00AC2568"/>
    <w:rsid w:val="00AC2A02"/>
    <w:rsid w:val="00AC37D6"/>
    <w:rsid w:val="00AC3EFC"/>
    <w:rsid w:val="00AC4493"/>
    <w:rsid w:val="00AC48C0"/>
    <w:rsid w:val="00AD0A0D"/>
    <w:rsid w:val="00AD0EF2"/>
    <w:rsid w:val="00AD2A58"/>
    <w:rsid w:val="00AD47C3"/>
    <w:rsid w:val="00AD5036"/>
    <w:rsid w:val="00AD55C7"/>
    <w:rsid w:val="00AD5B48"/>
    <w:rsid w:val="00AD5E93"/>
    <w:rsid w:val="00AD6FFF"/>
    <w:rsid w:val="00AD7CE8"/>
    <w:rsid w:val="00AE1335"/>
    <w:rsid w:val="00AE2C56"/>
    <w:rsid w:val="00AE3192"/>
    <w:rsid w:val="00AE379C"/>
    <w:rsid w:val="00AE37DF"/>
    <w:rsid w:val="00AE6BB2"/>
    <w:rsid w:val="00AE6EAF"/>
    <w:rsid w:val="00AE7621"/>
    <w:rsid w:val="00AE7749"/>
    <w:rsid w:val="00AE7D61"/>
    <w:rsid w:val="00AF03F7"/>
    <w:rsid w:val="00AF09D2"/>
    <w:rsid w:val="00AF0D76"/>
    <w:rsid w:val="00AF46B6"/>
    <w:rsid w:val="00AF4A47"/>
    <w:rsid w:val="00AF5528"/>
    <w:rsid w:val="00AF573D"/>
    <w:rsid w:val="00AF6B41"/>
    <w:rsid w:val="00B023A4"/>
    <w:rsid w:val="00B03788"/>
    <w:rsid w:val="00B038F4"/>
    <w:rsid w:val="00B03BBA"/>
    <w:rsid w:val="00B04E5A"/>
    <w:rsid w:val="00B05A65"/>
    <w:rsid w:val="00B062B9"/>
    <w:rsid w:val="00B0710E"/>
    <w:rsid w:val="00B07F5E"/>
    <w:rsid w:val="00B10297"/>
    <w:rsid w:val="00B10895"/>
    <w:rsid w:val="00B116B5"/>
    <w:rsid w:val="00B11965"/>
    <w:rsid w:val="00B11C3D"/>
    <w:rsid w:val="00B12A2B"/>
    <w:rsid w:val="00B139E6"/>
    <w:rsid w:val="00B1456B"/>
    <w:rsid w:val="00B14910"/>
    <w:rsid w:val="00B15159"/>
    <w:rsid w:val="00B16409"/>
    <w:rsid w:val="00B1799A"/>
    <w:rsid w:val="00B2018D"/>
    <w:rsid w:val="00B209DA"/>
    <w:rsid w:val="00B20DAA"/>
    <w:rsid w:val="00B21D46"/>
    <w:rsid w:val="00B21E4F"/>
    <w:rsid w:val="00B2311C"/>
    <w:rsid w:val="00B23B94"/>
    <w:rsid w:val="00B23CAC"/>
    <w:rsid w:val="00B2443C"/>
    <w:rsid w:val="00B2640A"/>
    <w:rsid w:val="00B30F8F"/>
    <w:rsid w:val="00B31450"/>
    <w:rsid w:val="00B31BB4"/>
    <w:rsid w:val="00B328C9"/>
    <w:rsid w:val="00B34656"/>
    <w:rsid w:val="00B35608"/>
    <w:rsid w:val="00B361E4"/>
    <w:rsid w:val="00B3679B"/>
    <w:rsid w:val="00B372E7"/>
    <w:rsid w:val="00B37A58"/>
    <w:rsid w:val="00B37E51"/>
    <w:rsid w:val="00B4029C"/>
    <w:rsid w:val="00B408DF"/>
    <w:rsid w:val="00B40B6A"/>
    <w:rsid w:val="00B41016"/>
    <w:rsid w:val="00B4265C"/>
    <w:rsid w:val="00B42A81"/>
    <w:rsid w:val="00B45B50"/>
    <w:rsid w:val="00B473C1"/>
    <w:rsid w:val="00B47690"/>
    <w:rsid w:val="00B5096F"/>
    <w:rsid w:val="00B50F54"/>
    <w:rsid w:val="00B523DF"/>
    <w:rsid w:val="00B5260D"/>
    <w:rsid w:val="00B52B0A"/>
    <w:rsid w:val="00B53296"/>
    <w:rsid w:val="00B53352"/>
    <w:rsid w:val="00B5518A"/>
    <w:rsid w:val="00B55F56"/>
    <w:rsid w:val="00B56F75"/>
    <w:rsid w:val="00B57472"/>
    <w:rsid w:val="00B57659"/>
    <w:rsid w:val="00B57857"/>
    <w:rsid w:val="00B61B82"/>
    <w:rsid w:val="00B61BBD"/>
    <w:rsid w:val="00B62884"/>
    <w:rsid w:val="00B6375F"/>
    <w:rsid w:val="00B6494F"/>
    <w:rsid w:val="00B65258"/>
    <w:rsid w:val="00B657B0"/>
    <w:rsid w:val="00B67CCC"/>
    <w:rsid w:val="00B701C2"/>
    <w:rsid w:val="00B70B65"/>
    <w:rsid w:val="00B70D2F"/>
    <w:rsid w:val="00B70D40"/>
    <w:rsid w:val="00B71DC6"/>
    <w:rsid w:val="00B74006"/>
    <w:rsid w:val="00B74D24"/>
    <w:rsid w:val="00B74E9F"/>
    <w:rsid w:val="00B75653"/>
    <w:rsid w:val="00B762A8"/>
    <w:rsid w:val="00B766FE"/>
    <w:rsid w:val="00B76FA1"/>
    <w:rsid w:val="00B77192"/>
    <w:rsid w:val="00B8130D"/>
    <w:rsid w:val="00B81AAD"/>
    <w:rsid w:val="00B82612"/>
    <w:rsid w:val="00B86109"/>
    <w:rsid w:val="00B86903"/>
    <w:rsid w:val="00B8716A"/>
    <w:rsid w:val="00B9014C"/>
    <w:rsid w:val="00B9134D"/>
    <w:rsid w:val="00B915AA"/>
    <w:rsid w:val="00B917C5"/>
    <w:rsid w:val="00B9188D"/>
    <w:rsid w:val="00B94CB8"/>
    <w:rsid w:val="00B95883"/>
    <w:rsid w:val="00B95C2B"/>
    <w:rsid w:val="00B95CE1"/>
    <w:rsid w:val="00B96548"/>
    <w:rsid w:val="00B96F03"/>
    <w:rsid w:val="00B979F0"/>
    <w:rsid w:val="00BA14E8"/>
    <w:rsid w:val="00BA206A"/>
    <w:rsid w:val="00BA211A"/>
    <w:rsid w:val="00BA2762"/>
    <w:rsid w:val="00BA4499"/>
    <w:rsid w:val="00BA471F"/>
    <w:rsid w:val="00BA4FA7"/>
    <w:rsid w:val="00BA5A46"/>
    <w:rsid w:val="00BA62D7"/>
    <w:rsid w:val="00BA6D6D"/>
    <w:rsid w:val="00BB0E94"/>
    <w:rsid w:val="00BB1969"/>
    <w:rsid w:val="00BB1B29"/>
    <w:rsid w:val="00BB1BE3"/>
    <w:rsid w:val="00BB287D"/>
    <w:rsid w:val="00BB2D56"/>
    <w:rsid w:val="00BB2E52"/>
    <w:rsid w:val="00BB39C0"/>
    <w:rsid w:val="00BB5C81"/>
    <w:rsid w:val="00BB760F"/>
    <w:rsid w:val="00BC06D1"/>
    <w:rsid w:val="00BC25E0"/>
    <w:rsid w:val="00BC2F78"/>
    <w:rsid w:val="00BC5651"/>
    <w:rsid w:val="00BC7781"/>
    <w:rsid w:val="00BD025F"/>
    <w:rsid w:val="00BD0EFA"/>
    <w:rsid w:val="00BD14EA"/>
    <w:rsid w:val="00BD1FBE"/>
    <w:rsid w:val="00BD1FCF"/>
    <w:rsid w:val="00BD262A"/>
    <w:rsid w:val="00BD27C2"/>
    <w:rsid w:val="00BD2901"/>
    <w:rsid w:val="00BD324E"/>
    <w:rsid w:val="00BD3596"/>
    <w:rsid w:val="00BD3A3E"/>
    <w:rsid w:val="00BD3DBC"/>
    <w:rsid w:val="00BD4059"/>
    <w:rsid w:val="00BD556D"/>
    <w:rsid w:val="00BD5989"/>
    <w:rsid w:val="00BD6805"/>
    <w:rsid w:val="00BD6FDE"/>
    <w:rsid w:val="00BD7180"/>
    <w:rsid w:val="00BE126B"/>
    <w:rsid w:val="00BE144A"/>
    <w:rsid w:val="00BE18E8"/>
    <w:rsid w:val="00BE1AB2"/>
    <w:rsid w:val="00BE2507"/>
    <w:rsid w:val="00BE2C9E"/>
    <w:rsid w:val="00BE3914"/>
    <w:rsid w:val="00BE616C"/>
    <w:rsid w:val="00BE621E"/>
    <w:rsid w:val="00BE62D4"/>
    <w:rsid w:val="00BE694E"/>
    <w:rsid w:val="00BE70F9"/>
    <w:rsid w:val="00BE79AB"/>
    <w:rsid w:val="00BF01DA"/>
    <w:rsid w:val="00BF14D3"/>
    <w:rsid w:val="00BF1B0C"/>
    <w:rsid w:val="00BF21B4"/>
    <w:rsid w:val="00BF540B"/>
    <w:rsid w:val="00C01E18"/>
    <w:rsid w:val="00C01E20"/>
    <w:rsid w:val="00C0240F"/>
    <w:rsid w:val="00C02B32"/>
    <w:rsid w:val="00C03077"/>
    <w:rsid w:val="00C030D8"/>
    <w:rsid w:val="00C0340C"/>
    <w:rsid w:val="00C040D6"/>
    <w:rsid w:val="00C05528"/>
    <w:rsid w:val="00C10C04"/>
    <w:rsid w:val="00C110C9"/>
    <w:rsid w:val="00C12495"/>
    <w:rsid w:val="00C1411C"/>
    <w:rsid w:val="00C15667"/>
    <w:rsid w:val="00C16263"/>
    <w:rsid w:val="00C17DA0"/>
    <w:rsid w:val="00C217FB"/>
    <w:rsid w:val="00C22294"/>
    <w:rsid w:val="00C231FC"/>
    <w:rsid w:val="00C2332C"/>
    <w:rsid w:val="00C23FBF"/>
    <w:rsid w:val="00C24267"/>
    <w:rsid w:val="00C26C19"/>
    <w:rsid w:val="00C27636"/>
    <w:rsid w:val="00C2779F"/>
    <w:rsid w:val="00C27903"/>
    <w:rsid w:val="00C30560"/>
    <w:rsid w:val="00C3143E"/>
    <w:rsid w:val="00C3161A"/>
    <w:rsid w:val="00C3233E"/>
    <w:rsid w:val="00C32AC8"/>
    <w:rsid w:val="00C3636F"/>
    <w:rsid w:val="00C36F94"/>
    <w:rsid w:val="00C43AE9"/>
    <w:rsid w:val="00C446EA"/>
    <w:rsid w:val="00C44960"/>
    <w:rsid w:val="00C45160"/>
    <w:rsid w:val="00C45268"/>
    <w:rsid w:val="00C453A4"/>
    <w:rsid w:val="00C454EC"/>
    <w:rsid w:val="00C45BE2"/>
    <w:rsid w:val="00C4659E"/>
    <w:rsid w:val="00C47D94"/>
    <w:rsid w:val="00C50696"/>
    <w:rsid w:val="00C5096C"/>
    <w:rsid w:val="00C510CE"/>
    <w:rsid w:val="00C52279"/>
    <w:rsid w:val="00C52A4E"/>
    <w:rsid w:val="00C52AE8"/>
    <w:rsid w:val="00C52CBF"/>
    <w:rsid w:val="00C53A3F"/>
    <w:rsid w:val="00C53B2E"/>
    <w:rsid w:val="00C54204"/>
    <w:rsid w:val="00C54456"/>
    <w:rsid w:val="00C56F4E"/>
    <w:rsid w:val="00C60123"/>
    <w:rsid w:val="00C61550"/>
    <w:rsid w:val="00C616CF"/>
    <w:rsid w:val="00C6363E"/>
    <w:rsid w:val="00C637ED"/>
    <w:rsid w:val="00C63C27"/>
    <w:rsid w:val="00C651FD"/>
    <w:rsid w:val="00C65C4B"/>
    <w:rsid w:val="00C6624A"/>
    <w:rsid w:val="00C70740"/>
    <w:rsid w:val="00C70D72"/>
    <w:rsid w:val="00C716DD"/>
    <w:rsid w:val="00C7272D"/>
    <w:rsid w:val="00C72E9F"/>
    <w:rsid w:val="00C73083"/>
    <w:rsid w:val="00C73396"/>
    <w:rsid w:val="00C738C8"/>
    <w:rsid w:val="00C73A63"/>
    <w:rsid w:val="00C74A01"/>
    <w:rsid w:val="00C74A40"/>
    <w:rsid w:val="00C7560A"/>
    <w:rsid w:val="00C76092"/>
    <w:rsid w:val="00C777A2"/>
    <w:rsid w:val="00C77A85"/>
    <w:rsid w:val="00C77CBE"/>
    <w:rsid w:val="00C806D9"/>
    <w:rsid w:val="00C82221"/>
    <w:rsid w:val="00C826D1"/>
    <w:rsid w:val="00C82E6C"/>
    <w:rsid w:val="00C83354"/>
    <w:rsid w:val="00C8484B"/>
    <w:rsid w:val="00C86333"/>
    <w:rsid w:val="00C86F2F"/>
    <w:rsid w:val="00C900AA"/>
    <w:rsid w:val="00C913BC"/>
    <w:rsid w:val="00C91CE9"/>
    <w:rsid w:val="00C91F85"/>
    <w:rsid w:val="00C9262E"/>
    <w:rsid w:val="00C9472B"/>
    <w:rsid w:val="00C94D2A"/>
    <w:rsid w:val="00C95241"/>
    <w:rsid w:val="00C95DDF"/>
    <w:rsid w:val="00C9748F"/>
    <w:rsid w:val="00C979C2"/>
    <w:rsid w:val="00CA089B"/>
    <w:rsid w:val="00CA09F8"/>
    <w:rsid w:val="00CA1AEA"/>
    <w:rsid w:val="00CA216D"/>
    <w:rsid w:val="00CA2C9E"/>
    <w:rsid w:val="00CA3A36"/>
    <w:rsid w:val="00CA48CF"/>
    <w:rsid w:val="00CA5739"/>
    <w:rsid w:val="00CA58E1"/>
    <w:rsid w:val="00CA7241"/>
    <w:rsid w:val="00CB098D"/>
    <w:rsid w:val="00CB148E"/>
    <w:rsid w:val="00CB186C"/>
    <w:rsid w:val="00CB18B6"/>
    <w:rsid w:val="00CB2719"/>
    <w:rsid w:val="00CB3245"/>
    <w:rsid w:val="00CB345A"/>
    <w:rsid w:val="00CB441F"/>
    <w:rsid w:val="00CB45AA"/>
    <w:rsid w:val="00CB676B"/>
    <w:rsid w:val="00CB73B0"/>
    <w:rsid w:val="00CC034E"/>
    <w:rsid w:val="00CC1453"/>
    <w:rsid w:val="00CC1C76"/>
    <w:rsid w:val="00CC3FBB"/>
    <w:rsid w:val="00CC4F1A"/>
    <w:rsid w:val="00CC5257"/>
    <w:rsid w:val="00CC65C8"/>
    <w:rsid w:val="00CC7609"/>
    <w:rsid w:val="00CD1870"/>
    <w:rsid w:val="00CD349B"/>
    <w:rsid w:val="00CD5569"/>
    <w:rsid w:val="00CD60FD"/>
    <w:rsid w:val="00CD6505"/>
    <w:rsid w:val="00CD6695"/>
    <w:rsid w:val="00CD6946"/>
    <w:rsid w:val="00CD793B"/>
    <w:rsid w:val="00CD7CB1"/>
    <w:rsid w:val="00CE20A3"/>
    <w:rsid w:val="00CE25C9"/>
    <w:rsid w:val="00CE26B3"/>
    <w:rsid w:val="00CE2DF9"/>
    <w:rsid w:val="00CE386A"/>
    <w:rsid w:val="00CE4FD6"/>
    <w:rsid w:val="00CE582E"/>
    <w:rsid w:val="00CE6937"/>
    <w:rsid w:val="00CE6AEF"/>
    <w:rsid w:val="00CE740F"/>
    <w:rsid w:val="00CF06DF"/>
    <w:rsid w:val="00CF1482"/>
    <w:rsid w:val="00CF2461"/>
    <w:rsid w:val="00CF373E"/>
    <w:rsid w:val="00CF4E63"/>
    <w:rsid w:val="00CF6EDA"/>
    <w:rsid w:val="00CF75F0"/>
    <w:rsid w:val="00D00A89"/>
    <w:rsid w:val="00D01898"/>
    <w:rsid w:val="00D04272"/>
    <w:rsid w:val="00D0489D"/>
    <w:rsid w:val="00D050DA"/>
    <w:rsid w:val="00D053C8"/>
    <w:rsid w:val="00D057AD"/>
    <w:rsid w:val="00D07B94"/>
    <w:rsid w:val="00D10E2A"/>
    <w:rsid w:val="00D11AEE"/>
    <w:rsid w:val="00D131D8"/>
    <w:rsid w:val="00D13D74"/>
    <w:rsid w:val="00D1440E"/>
    <w:rsid w:val="00D15090"/>
    <w:rsid w:val="00D1513D"/>
    <w:rsid w:val="00D17774"/>
    <w:rsid w:val="00D20279"/>
    <w:rsid w:val="00D20772"/>
    <w:rsid w:val="00D2101C"/>
    <w:rsid w:val="00D26B1B"/>
    <w:rsid w:val="00D27B2A"/>
    <w:rsid w:val="00D31AE3"/>
    <w:rsid w:val="00D32315"/>
    <w:rsid w:val="00D3356B"/>
    <w:rsid w:val="00D3462C"/>
    <w:rsid w:val="00D346B8"/>
    <w:rsid w:val="00D34CD4"/>
    <w:rsid w:val="00D34D6D"/>
    <w:rsid w:val="00D35CC2"/>
    <w:rsid w:val="00D37306"/>
    <w:rsid w:val="00D40D1B"/>
    <w:rsid w:val="00D41BE4"/>
    <w:rsid w:val="00D42F3A"/>
    <w:rsid w:val="00D44288"/>
    <w:rsid w:val="00D44856"/>
    <w:rsid w:val="00D45DB8"/>
    <w:rsid w:val="00D45F38"/>
    <w:rsid w:val="00D46564"/>
    <w:rsid w:val="00D4707E"/>
    <w:rsid w:val="00D503B2"/>
    <w:rsid w:val="00D512CA"/>
    <w:rsid w:val="00D52724"/>
    <w:rsid w:val="00D52E94"/>
    <w:rsid w:val="00D54517"/>
    <w:rsid w:val="00D55D60"/>
    <w:rsid w:val="00D614C6"/>
    <w:rsid w:val="00D614FD"/>
    <w:rsid w:val="00D62070"/>
    <w:rsid w:val="00D6212F"/>
    <w:rsid w:val="00D62459"/>
    <w:rsid w:val="00D62F15"/>
    <w:rsid w:val="00D63D6B"/>
    <w:rsid w:val="00D64C66"/>
    <w:rsid w:val="00D64D33"/>
    <w:rsid w:val="00D66D55"/>
    <w:rsid w:val="00D674F7"/>
    <w:rsid w:val="00D70708"/>
    <w:rsid w:val="00D71104"/>
    <w:rsid w:val="00D7288F"/>
    <w:rsid w:val="00D73599"/>
    <w:rsid w:val="00D76073"/>
    <w:rsid w:val="00D76B28"/>
    <w:rsid w:val="00D826BF"/>
    <w:rsid w:val="00D83C8C"/>
    <w:rsid w:val="00D86774"/>
    <w:rsid w:val="00D86850"/>
    <w:rsid w:val="00D86C95"/>
    <w:rsid w:val="00D872DE"/>
    <w:rsid w:val="00D8761C"/>
    <w:rsid w:val="00D9019E"/>
    <w:rsid w:val="00D903D8"/>
    <w:rsid w:val="00D90EF6"/>
    <w:rsid w:val="00D91303"/>
    <w:rsid w:val="00D913D8"/>
    <w:rsid w:val="00D9243B"/>
    <w:rsid w:val="00D92C65"/>
    <w:rsid w:val="00D93BA9"/>
    <w:rsid w:val="00D94918"/>
    <w:rsid w:val="00D96AD1"/>
    <w:rsid w:val="00D97D8D"/>
    <w:rsid w:val="00D97F43"/>
    <w:rsid w:val="00DA11E8"/>
    <w:rsid w:val="00DA2D1B"/>
    <w:rsid w:val="00DA2D67"/>
    <w:rsid w:val="00DA2EC0"/>
    <w:rsid w:val="00DA30F3"/>
    <w:rsid w:val="00DA374C"/>
    <w:rsid w:val="00DA3BA4"/>
    <w:rsid w:val="00DA50DC"/>
    <w:rsid w:val="00DA5212"/>
    <w:rsid w:val="00DA530D"/>
    <w:rsid w:val="00DA57BC"/>
    <w:rsid w:val="00DA751C"/>
    <w:rsid w:val="00DA7DDA"/>
    <w:rsid w:val="00DB0075"/>
    <w:rsid w:val="00DB083E"/>
    <w:rsid w:val="00DB1655"/>
    <w:rsid w:val="00DB1CD2"/>
    <w:rsid w:val="00DB3BD7"/>
    <w:rsid w:val="00DB3EA7"/>
    <w:rsid w:val="00DB4F18"/>
    <w:rsid w:val="00DB7753"/>
    <w:rsid w:val="00DB7A95"/>
    <w:rsid w:val="00DC07E2"/>
    <w:rsid w:val="00DC0930"/>
    <w:rsid w:val="00DC0A1A"/>
    <w:rsid w:val="00DC35F6"/>
    <w:rsid w:val="00DC40B1"/>
    <w:rsid w:val="00DC55A3"/>
    <w:rsid w:val="00DC5711"/>
    <w:rsid w:val="00DC7226"/>
    <w:rsid w:val="00DC79A2"/>
    <w:rsid w:val="00DC79FD"/>
    <w:rsid w:val="00DD0F31"/>
    <w:rsid w:val="00DD1D3C"/>
    <w:rsid w:val="00DD1DB0"/>
    <w:rsid w:val="00DD1E60"/>
    <w:rsid w:val="00DD2900"/>
    <w:rsid w:val="00DD2B49"/>
    <w:rsid w:val="00DD2E5B"/>
    <w:rsid w:val="00DD4D72"/>
    <w:rsid w:val="00DD599F"/>
    <w:rsid w:val="00DD602E"/>
    <w:rsid w:val="00DD6491"/>
    <w:rsid w:val="00DD7995"/>
    <w:rsid w:val="00DD7BD8"/>
    <w:rsid w:val="00DD7F5D"/>
    <w:rsid w:val="00DE06F2"/>
    <w:rsid w:val="00DE1077"/>
    <w:rsid w:val="00DE1367"/>
    <w:rsid w:val="00DE1DE6"/>
    <w:rsid w:val="00DE2448"/>
    <w:rsid w:val="00DE2B97"/>
    <w:rsid w:val="00DE2F74"/>
    <w:rsid w:val="00DE3C4A"/>
    <w:rsid w:val="00DE47B0"/>
    <w:rsid w:val="00DE5B18"/>
    <w:rsid w:val="00DE66C8"/>
    <w:rsid w:val="00DF07C0"/>
    <w:rsid w:val="00DF1E9F"/>
    <w:rsid w:val="00DF21DD"/>
    <w:rsid w:val="00DF3DC7"/>
    <w:rsid w:val="00DF3EE8"/>
    <w:rsid w:val="00DF4832"/>
    <w:rsid w:val="00DF5A3B"/>
    <w:rsid w:val="00DF6F8B"/>
    <w:rsid w:val="00DF7107"/>
    <w:rsid w:val="00DF7C3C"/>
    <w:rsid w:val="00DF7DFB"/>
    <w:rsid w:val="00E01672"/>
    <w:rsid w:val="00E016FC"/>
    <w:rsid w:val="00E01FE0"/>
    <w:rsid w:val="00E03408"/>
    <w:rsid w:val="00E037AA"/>
    <w:rsid w:val="00E045FA"/>
    <w:rsid w:val="00E04C78"/>
    <w:rsid w:val="00E05407"/>
    <w:rsid w:val="00E067CB"/>
    <w:rsid w:val="00E074E9"/>
    <w:rsid w:val="00E07A58"/>
    <w:rsid w:val="00E07FE8"/>
    <w:rsid w:val="00E116B8"/>
    <w:rsid w:val="00E125F8"/>
    <w:rsid w:val="00E13314"/>
    <w:rsid w:val="00E1371C"/>
    <w:rsid w:val="00E13C20"/>
    <w:rsid w:val="00E21B0F"/>
    <w:rsid w:val="00E21D64"/>
    <w:rsid w:val="00E23B4A"/>
    <w:rsid w:val="00E24461"/>
    <w:rsid w:val="00E2770E"/>
    <w:rsid w:val="00E27EA7"/>
    <w:rsid w:val="00E30492"/>
    <w:rsid w:val="00E31559"/>
    <w:rsid w:val="00E31C24"/>
    <w:rsid w:val="00E33070"/>
    <w:rsid w:val="00E35DFC"/>
    <w:rsid w:val="00E35FE6"/>
    <w:rsid w:val="00E368F0"/>
    <w:rsid w:val="00E36F13"/>
    <w:rsid w:val="00E40939"/>
    <w:rsid w:val="00E40EE5"/>
    <w:rsid w:val="00E421C4"/>
    <w:rsid w:val="00E43CB5"/>
    <w:rsid w:val="00E4422C"/>
    <w:rsid w:val="00E445FE"/>
    <w:rsid w:val="00E446B0"/>
    <w:rsid w:val="00E44A8E"/>
    <w:rsid w:val="00E44ACC"/>
    <w:rsid w:val="00E44C71"/>
    <w:rsid w:val="00E44E99"/>
    <w:rsid w:val="00E45DD2"/>
    <w:rsid w:val="00E45FA9"/>
    <w:rsid w:val="00E46F87"/>
    <w:rsid w:val="00E47426"/>
    <w:rsid w:val="00E47815"/>
    <w:rsid w:val="00E520BE"/>
    <w:rsid w:val="00E538D8"/>
    <w:rsid w:val="00E55472"/>
    <w:rsid w:val="00E554DC"/>
    <w:rsid w:val="00E55645"/>
    <w:rsid w:val="00E56D0E"/>
    <w:rsid w:val="00E57C80"/>
    <w:rsid w:val="00E60341"/>
    <w:rsid w:val="00E62CBB"/>
    <w:rsid w:val="00E63425"/>
    <w:rsid w:val="00E6376A"/>
    <w:rsid w:val="00E63A18"/>
    <w:rsid w:val="00E64396"/>
    <w:rsid w:val="00E6468A"/>
    <w:rsid w:val="00E6492D"/>
    <w:rsid w:val="00E65340"/>
    <w:rsid w:val="00E65733"/>
    <w:rsid w:val="00E658C4"/>
    <w:rsid w:val="00E65E77"/>
    <w:rsid w:val="00E7100A"/>
    <w:rsid w:val="00E7141E"/>
    <w:rsid w:val="00E71599"/>
    <w:rsid w:val="00E728A1"/>
    <w:rsid w:val="00E73205"/>
    <w:rsid w:val="00E73604"/>
    <w:rsid w:val="00E738C5"/>
    <w:rsid w:val="00E74880"/>
    <w:rsid w:val="00E74EF6"/>
    <w:rsid w:val="00E74F69"/>
    <w:rsid w:val="00E7554C"/>
    <w:rsid w:val="00E773BC"/>
    <w:rsid w:val="00E805B0"/>
    <w:rsid w:val="00E8160B"/>
    <w:rsid w:val="00E81B13"/>
    <w:rsid w:val="00E81CEA"/>
    <w:rsid w:val="00E82F58"/>
    <w:rsid w:val="00E83E00"/>
    <w:rsid w:val="00E8611E"/>
    <w:rsid w:val="00E87E58"/>
    <w:rsid w:val="00E9077E"/>
    <w:rsid w:val="00E92AE3"/>
    <w:rsid w:val="00E94426"/>
    <w:rsid w:val="00E945A3"/>
    <w:rsid w:val="00E9516B"/>
    <w:rsid w:val="00E965CD"/>
    <w:rsid w:val="00E9668D"/>
    <w:rsid w:val="00E96F22"/>
    <w:rsid w:val="00EA120D"/>
    <w:rsid w:val="00EA1466"/>
    <w:rsid w:val="00EA2CCD"/>
    <w:rsid w:val="00EA3D68"/>
    <w:rsid w:val="00EA3DFD"/>
    <w:rsid w:val="00EA43F8"/>
    <w:rsid w:val="00EA4DAE"/>
    <w:rsid w:val="00EA4E0E"/>
    <w:rsid w:val="00EA58A4"/>
    <w:rsid w:val="00EA5BD6"/>
    <w:rsid w:val="00EA66B3"/>
    <w:rsid w:val="00EA6B49"/>
    <w:rsid w:val="00EB04F6"/>
    <w:rsid w:val="00EB0BA9"/>
    <w:rsid w:val="00EB0EDF"/>
    <w:rsid w:val="00EB176F"/>
    <w:rsid w:val="00EB275F"/>
    <w:rsid w:val="00EB30ED"/>
    <w:rsid w:val="00EB4296"/>
    <w:rsid w:val="00EB59DC"/>
    <w:rsid w:val="00EB5AAC"/>
    <w:rsid w:val="00EB7A55"/>
    <w:rsid w:val="00EC0B81"/>
    <w:rsid w:val="00EC3007"/>
    <w:rsid w:val="00EC7022"/>
    <w:rsid w:val="00ED077E"/>
    <w:rsid w:val="00ED098E"/>
    <w:rsid w:val="00ED5F0F"/>
    <w:rsid w:val="00ED6C06"/>
    <w:rsid w:val="00ED6D30"/>
    <w:rsid w:val="00ED6EC7"/>
    <w:rsid w:val="00ED73ED"/>
    <w:rsid w:val="00EE0270"/>
    <w:rsid w:val="00EE188B"/>
    <w:rsid w:val="00EE18BD"/>
    <w:rsid w:val="00EE1BD9"/>
    <w:rsid w:val="00EE2C36"/>
    <w:rsid w:val="00EE4068"/>
    <w:rsid w:val="00EE4961"/>
    <w:rsid w:val="00EE6632"/>
    <w:rsid w:val="00EE7248"/>
    <w:rsid w:val="00EF24C9"/>
    <w:rsid w:val="00EF3931"/>
    <w:rsid w:val="00EF4B90"/>
    <w:rsid w:val="00EF5F53"/>
    <w:rsid w:val="00EF7CFA"/>
    <w:rsid w:val="00F018A6"/>
    <w:rsid w:val="00F01A9C"/>
    <w:rsid w:val="00F01FB0"/>
    <w:rsid w:val="00F02D53"/>
    <w:rsid w:val="00F031F4"/>
    <w:rsid w:val="00F038C1"/>
    <w:rsid w:val="00F04670"/>
    <w:rsid w:val="00F06355"/>
    <w:rsid w:val="00F06729"/>
    <w:rsid w:val="00F06986"/>
    <w:rsid w:val="00F07D01"/>
    <w:rsid w:val="00F10800"/>
    <w:rsid w:val="00F12B53"/>
    <w:rsid w:val="00F13FE1"/>
    <w:rsid w:val="00F14AB0"/>
    <w:rsid w:val="00F14F56"/>
    <w:rsid w:val="00F15A0E"/>
    <w:rsid w:val="00F16F6A"/>
    <w:rsid w:val="00F177B5"/>
    <w:rsid w:val="00F21156"/>
    <w:rsid w:val="00F21BDB"/>
    <w:rsid w:val="00F22451"/>
    <w:rsid w:val="00F2295A"/>
    <w:rsid w:val="00F23E44"/>
    <w:rsid w:val="00F2418B"/>
    <w:rsid w:val="00F26530"/>
    <w:rsid w:val="00F30D35"/>
    <w:rsid w:val="00F325CD"/>
    <w:rsid w:val="00F3330E"/>
    <w:rsid w:val="00F33E6E"/>
    <w:rsid w:val="00F345AE"/>
    <w:rsid w:val="00F35B24"/>
    <w:rsid w:val="00F36725"/>
    <w:rsid w:val="00F37D80"/>
    <w:rsid w:val="00F438C7"/>
    <w:rsid w:val="00F4401A"/>
    <w:rsid w:val="00F440D7"/>
    <w:rsid w:val="00F50381"/>
    <w:rsid w:val="00F506B4"/>
    <w:rsid w:val="00F50FC6"/>
    <w:rsid w:val="00F51601"/>
    <w:rsid w:val="00F51673"/>
    <w:rsid w:val="00F54325"/>
    <w:rsid w:val="00F5446C"/>
    <w:rsid w:val="00F56D84"/>
    <w:rsid w:val="00F60B36"/>
    <w:rsid w:val="00F613C0"/>
    <w:rsid w:val="00F61B62"/>
    <w:rsid w:val="00F61BDB"/>
    <w:rsid w:val="00F61D63"/>
    <w:rsid w:val="00F62534"/>
    <w:rsid w:val="00F63983"/>
    <w:rsid w:val="00F65C84"/>
    <w:rsid w:val="00F66F51"/>
    <w:rsid w:val="00F7145E"/>
    <w:rsid w:val="00F7240F"/>
    <w:rsid w:val="00F773E3"/>
    <w:rsid w:val="00F77A2C"/>
    <w:rsid w:val="00F82320"/>
    <w:rsid w:val="00F82B92"/>
    <w:rsid w:val="00F84228"/>
    <w:rsid w:val="00F84269"/>
    <w:rsid w:val="00F85388"/>
    <w:rsid w:val="00F85668"/>
    <w:rsid w:val="00F856A4"/>
    <w:rsid w:val="00F87651"/>
    <w:rsid w:val="00F90221"/>
    <w:rsid w:val="00F90360"/>
    <w:rsid w:val="00F90A0E"/>
    <w:rsid w:val="00F90A1B"/>
    <w:rsid w:val="00F91064"/>
    <w:rsid w:val="00F92A52"/>
    <w:rsid w:val="00F9583B"/>
    <w:rsid w:val="00F9698C"/>
    <w:rsid w:val="00F97445"/>
    <w:rsid w:val="00FA1D6C"/>
    <w:rsid w:val="00FA1F8D"/>
    <w:rsid w:val="00FA3D7A"/>
    <w:rsid w:val="00FA475D"/>
    <w:rsid w:val="00FA5162"/>
    <w:rsid w:val="00FA7599"/>
    <w:rsid w:val="00FA7913"/>
    <w:rsid w:val="00FB05FD"/>
    <w:rsid w:val="00FB09C2"/>
    <w:rsid w:val="00FB0BB2"/>
    <w:rsid w:val="00FB1A5C"/>
    <w:rsid w:val="00FB2062"/>
    <w:rsid w:val="00FB3387"/>
    <w:rsid w:val="00FB3FE6"/>
    <w:rsid w:val="00FB49B2"/>
    <w:rsid w:val="00FB50CA"/>
    <w:rsid w:val="00FB510A"/>
    <w:rsid w:val="00FB59C5"/>
    <w:rsid w:val="00FB5A30"/>
    <w:rsid w:val="00FB5DD7"/>
    <w:rsid w:val="00FB626D"/>
    <w:rsid w:val="00FC0F95"/>
    <w:rsid w:val="00FC1108"/>
    <w:rsid w:val="00FC2A4C"/>
    <w:rsid w:val="00FC2CE4"/>
    <w:rsid w:val="00FC4C8E"/>
    <w:rsid w:val="00FC517B"/>
    <w:rsid w:val="00FC5B3E"/>
    <w:rsid w:val="00FC5C05"/>
    <w:rsid w:val="00FC6869"/>
    <w:rsid w:val="00FC7632"/>
    <w:rsid w:val="00FC76F8"/>
    <w:rsid w:val="00FC7D12"/>
    <w:rsid w:val="00FD0888"/>
    <w:rsid w:val="00FD16CE"/>
    <w:rsid w:val="00FD1DA5"/>
    <w:rsid w:val="00FD2171"/>
    <w:rsid w:val="00FD2BB2"/>
    <w:rsid w:val="00FD5703"/>
    <w:rsid w:val="00FD5816"/>
    <w:rsid w:val="00FD6037"/>
    <w:rsid w:val="00FD6151"/>
    <w:rsid w:val="00FD7571"/>
    <w:rsid w:val="00FE1397"/>
    <w:rsid w:val="00FE17E1"/>
    <w:rsid w:val="00FE27FB"/>
    <w:rsid w:val="00FE4A02"/>
    <w:rsid w:val="00FE569C"/>
    <w:rsid w:val="00FF1218"/>
    <w:rsid w:val="00FF19BE"/>
    <w:rsid w:val="00FF2D60"/>
    <w:rsid w:val="00FF4374"/>
    <w:rsid w:val="00FF598F"/>
    <w:rsid w:val="00FF5AB7"/>
    <w:rsid w:val="00FF5E4D"/>
    <w:rsid w:val="00FF6A24"/>
    <w:rsid w:val="00FF7D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1BEA5890"/>
  <w15:chartTrackingRefBased/>
  <w15:docId w15:val="{AF1D915C-D2C2-46DB-9566-35AAE39C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98" w:qFormat="1"/>
    <w:lsdException w:name="heading 1" w:uiPriority="4" w:qFormat="1"/>
    <w:lsdException w:name="heading 2" w:semiHidden="1" w:uiPriority="4" w:unhideWhenUsed="1" w:qFormat="1"/>
    <w:lsdException w:name="heading 3" w:semiHidden="1" w:uiPriority="5" w:unhideWhenUsed="1" w:qFormat="1"/>
    <w:lsdException w:name="heading 4" w:semiHidden="1" w:uiPriority="9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rsid w:val="00070E3D"/>
    <w:pPr>
      <w:spacing w:before="120" w:after="120" w:line="240" w:lineRule="auto"/>
    </w:pPr>
    <w:rPr>
      <w:rFonts w:ascii="Arial" w:hAnsi="Arial"/>
    </w:rPr>
  </w:style>
  <w:style w:type="paragraph" w:styleId="Heading1">
    <w:name w:val="heading 1"/>
    <w:aliases w:val="Heading 1 Cab,CAB Section Heading"/>
    <w:next w:val="BodyText"/>
    <w:link w:val="Heading1Char"/>
    <w:uiPriority w:val="4"/>
    <w:qFormat/>
    <w:rsid w:val="00070E3D"/>
    <w:pPr>
      <w:keepNext/>
      <w:keepLines/>
      <w:tabs>
        <w:tab w:val="left" w:pos="567"/>
      </w:tabs>
      <w:spacing w:before="240" w:after="200" w:line="240" w:lineRule="auto"/>
      <w:ind w:left="432" w:hanging="432"/>
      <w:outlineLvl w:val="0"/>
    </w:pPr>
    <w:rPr>
      <w:rFonts w:ascii="Arial" w:eastAsiaTheme="majorEastAsia" w:hAnsi="Arial" w:cstheme="majorBidi"/>
      <w:b/>
      <w:bCs/>
      <w:color w:val="003865"/>
      <w:sz w:val="28"/>
      <w:szCs w:val="28"/>
    </w:rPr>
  </w:style>
  <w:style w:type="paragraph" w:styleId="Heading2">
    <w:name w:val="heading 2"/>
    <w:aliases w:val="Heading 2 Cab"/>
    <w:next w:val="Normal"/>
    <w:link w:val="Heading2Char"/>
    <w:uiPriority w:val="4"/>
    <w:qFormat/>
    <w:rsid w:val="006110F3"/>
    <w:pPr>
      <w:keepNext/>
      <w:keepLines/>
      <w:spacing w:before="120" w:after="120" w:line="240" w:lineRule="auto"/>
      <w:outlineLvl w:val="1"/>
    </w:pPr>
    <w:rPr>
      <w:rFonts w:ascii="Arial" w:eastAsiaTheme="majorEastAsia" w:hAnsi="Arial" w:cstheme="majorBidi"/>
      <w:b/>
      <w:bCs/>
      <w:sz w:val="24"/>
      <w:szCs w:val="32"/>
    </w:rPr>
  </w:style>
  <w:style w:type="paragraph" w:styleId="Heading3">
    <w:name w:val="heading 3"/>
    <w:aliases w:val="Heading 3 Cab"/>
    <w:next w:val="Normal"/>
    <w:link w:val="Heading3Char"/>
    <w:uiPriority w:val="5"/>
    <w:qFormat/>
    <w:rsid w:val="00070E3D"/>
    <w:pPr>
      <w:spacing w:before="100" w:after="100" w:line="240" w:lineRule="auto"/>
      <w:ind w:left="1288" w:hanging="720"/>
      <w:outlineLvl w:val="2"/>
    </w:pPr>
    <w:rPr>
      <w:rFonts w:ascii="Arial" w:eastAsiaTheme="majorEastAsia" w:hAnsi="Arial" w:cstheme="majorBidi"/>
      <w:b/>
      <w:bCs/>
      <w:iCs/>
    </w:rPr>
  </w:style>
  <w:style w:type="paragraph" w:styleId="Heading4">
    <w:name w:val="heading 4"/>
    <w:basedOn w:val="Normal"/>
    <w:next w:val="Normal"/>
    <w:link w:val="Heading4Char"/>
    <w:uiPriority w:val="98"/>
    <w:semiHidden/>
    <w:qFormat/>
    <w:rsid w:val="00070E3D"/>
    <w:pPr>
      <w:keepNext/>
      <w:keepLines/>
      <w:spacing w:before="200"/>
      <w:ind w:left="864" w:hanging="864"/>
      <w:outlineLvl w:val="3"/>
    </w:pPr>
    <w:rPr>
      <w:rFonts w:eastAsiaTheme="majorEastAsia" w:cstheme="majorBidi"/>
      <w:b/>
      <w:bCs/>
      <w:iCs/>
    </w:rPr>
  </w:style>
  <w:style w:type="paragraph" w:styleId="Heading5">
    <w:name w:val="heading 5"/>
    <w:basedOn w:val="Normal"/>
    <w:next w:val="Normal"/>
    <w:link w:val="Heading5Char"/>
    <w:uiPriority w:val="9"/>
    <w:unhideWhenUsed/>
    <w:rsid w:val="00070E3D"/>
    <w:pPr>
      <w:keepNext/>
      <w:keepLines/>
      <w:spacing w:before="200" w:after="0"/>
      <w:ind w:left="1008" w:hanging="1008"/>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1D5918"/>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D5918"/>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D5918"/>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5918"/>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0E3D"/>
    <w:pPr>
      <w:spacing w:after="0" w:line="240" w:lineRule="auto"/>
    </w:pPr>
    <w:rPr>
      <w:sz w:val="20"/>
    </w:rPr>
    <w:tblPr>
      <w:tblBorders>
        <w:insideH w:val="single" w:sz="4" w:space="0" w:color="ED7D31" w:themeColor="accent2"/>
        <w:insideV w:val="single" w:sz="4" w:space="0" w:color="ED7D31" w:themeColor="accent2"/>
      </w:tblBorders>
    </w:tblPr>
    <w:tblStylePr w:type="firstRow">
      <w:tblPr/>
      <w:tcPr>
        <w:shd w:val="clear" w:color="auto" w:fill="FBE4D5" w:themeFill="accent2" w:themeFillTint="33"/>
      </w:tcPr>
    </w:tblStylePr>
  </w:style>
  <w:style w:type="paragraph" w:customStyle="1" w:styleId="Heading2NewTemplate">
    <w:name w:val="Heading 2 New Template"/>
    <w:basedOn w:val="Normal"/>
    <w:link w:val="Heading2NewTemplateChar"/>
    <w:uiPriority w:val="98"/>
    <w:qFormat/>
    <w:rsid w:val="00070E3D"/>
    <w:pPr>
      <w:keepNext/>
      <w:keepLines/>
      <w:tabs>
        <w:tab w:val="left" w:pos="567"/>
      </w:tabs>
      <w:spacing w:before="240" w:after="200"/>
      <w:jc w:val="center"/>
      <w:outlineLvl w:val="0"/>
    </w:pPr>
    <w:rPr>
      <w:rFonts w:eastAsiaTheme="majorEastAsia" w:cstheme="majorBidi"/>
      <w:b/>
      <w:bCs/>
      <w:color w:val="003865"/>
      <w:sz w:val="24"/>
      <w:szCs w:val="28"/>
    </w:rPr>
  </w:style>
  <w:style w:type="character" w:customStyle="1" w:styleId="Heading2NewTemplateChar">
    <w:name w:val="Heading 2 New Template Char"/>
    <w:basedOn w:val="DefaultParagraphFont"/>
    <w:link w:val="Heading2NewTemplate"/>
    <w:uiPriority w:val="98"/>
    <w:rsid w:val="00070E3D"/>
    <w:rPr>
      <w:rFonts w:ascii="Arial" w:eastAsiaTheme="majorEastAsia" w:hAnsi="Arial" w:cstheme="majorBidi"/>
      <w:b/>
      <w:bCs/>
      <w:color w:val="003865"/>
      <w:sz w:val="24"/>
      <w:szCs w:val="28"/>
    </w:rPr>
  </w:style>
  <w:style w:type="paragraph" w:customStyle="1" w:styleId="CABBackGround">
    <w:name w:val="CABBackGround"/>
    <w:basedOn w:val="Normal"/>
    <w:link w:val="CABBackGroundChar1"/>
    <w:rsid w:val="00070E3D"/>
    <w:pPr>
      <w:spacing w:before="0" w:after="0" w:line="360" w:lineRule="auto"/>
    </w:pPr>
    <w:rPr>
      <w:rFonts w:ascii="Times New Roman" w:eastAsia="Times New Roman" w:hAnsi="Times New Roman" w:cs="Times New Roman"/>
      <w:sz w:val="24"/>
      <w:szCs w:val="20"/>
      <w:lang w:eastAsia="en-AU"/>
    </w:rPr>
  </w:style>
  <w:style w:type="character" w:customStyle="1" w:styleId="CABBackGroundChar1">
    <w:name w:val="CABBackGround Char1"/>
    <w:basedOn w:val="DefaultParagraphFont"/>
    <w:link w:val="CABBackGround"/>
    <w:rsid w:val="00070E3D"/>
    <w:rPr>
      <w:rFonts w:ascii="Times New Roman" w:eastAsia="Times New Roman" w:hAnsi="Times New Roman" w:cs="Times New Roman"/>
      <w:sz w:val="24"/>
      <w:szCs w:val="20"/>
      <w:lang w:eastAsia="en-AU"/>
    </w:rPr>
  </w:style>
  <w:style w:type="character" w:customStyle="1" w:styleId="Heading1Char">
    <w:name w:val="Heading 1 Char"/>
    <w:aliases w:val="Heading 1 Cab Char,CAB Section Heading Char"/>
    <w:basedOn w:val="DefaultParagraphFont"/>
    <w:link w:val="Heading1"/>
    <w:uiPriority w:val="4"/>
    <w:rsid w:val="00070E3D"/>
    <w:rPr>
      <w:rFonts w:ascii="Arial" w:eastAsiaTheme="majorEastAsia" w:hAnsi="Arial" w:cstheme="majorBidi"/>
      <w:b/>
      <w:bCs/>
      <w:color w:val="003865"/>
      <w:sz w:val="28"/>
      <w:szCs w:val="28"/>
    </w:rPr>
  </w:style>
  <w:style w:type="character" w:customStyle="1" w:styleId="Heading2Char">
    <w:name w:val="Heading 2 Char"/>
    <w:aliases w:val="Heading 2 Cab Char"/>
    <w:basedOn w:val="DefaultParagraphFont"/>
    <w:link w:val="Heading2"/>
    <w:uiPriority w:val="4"/>
    <w:rsid w:val="006110F3"/>
    <w:rPr>
      <w:rFonts w:ascii="Arial" w:eastAsiaTheme="majorEastAsia" w:hAnsi="Arial" w:cstheme="majorBidi"/>
      <w:b/>
      <w:bCs/>
      <w:sz w:val="24"/>
      <w:szCs w:val="32"/>
    </w:rPr>
  </w:style>
  <w:style w:type="character" w:customStyle="1" w:styleId="Heading3Char">
    <w:name w:val="Heading 3 Char"/>
    <w:aliases w:val="Heading 3 Cab Char"/>
    <w:basedOn w:val="DefaultParagraphFont"/>
    <w:link w:val="Heading3"/>
    <w:uiPriority w:val="5"/>
    <w:rsid w:val="00070E3D"/>
    <w:rPr>
      <w:rFonts w:ascii="Arial" w:eastAsiaTheme="majorEastAsia" w:hAnsi="Arial" w:cstheme="majorBidi"/>
      <w:b/>
      <w:bCs/>
      <w:iCs/>
    </w:rPr>
  </w:style>
  <w:style w:type="character" w:customStyle="1" w:styleId="Heading4Char">
    <w:name w:val="Heading 4 Char"/>
    <w:basedOn w:val="DefaultParagraphFont"/>
    <w:link w:val="Heading4"/>
    <w:uiPriority w:val="98"/>
    <w:semiHidden/>
    <w:rsid w:val="00070E3D"/>
    <w:rPr>
      <w:rFonts w:ascii="Arial" w:eastAsiaTheme="majorEastAsia" w:hAnsi="Arial" w:cstheme="majorBidi"/>
      <w:b/>
      <w:bCs/>
      <w:iCs/>
    </w:rPr>
  </w:style>
  <w:style w:type="character" w:customStyle="1" w:styleId="Heading5Char">
    <w:name w:val="Heading 5 Char"/>
    <w:basedOn w:val="DefaultParagraphFont"/>
    <w:link w:val="Heading5"/>
    <w:uiPriority w:val="9"/>
    <w:rsid w:val="00070E3D"/>
    <w:rPr>
      <w:rFonts w:asciiTheme="majorHAnsi" w:eastAsiaTheme="majorEastAsia" w:hAnsiTheme="majorHAnsi" w:cstheme="majorBidi"/>
      <w:color w:val="1F4D78" w:themeColor="accent1" w:themeShade="7F"/>
    </w:rPr>
  </w:style>
  <w:style w:type="paragraph" w:styleId="BodyText">
    <w:name w:val="Body Text"/>
    <w:aliases w:val="Body Text Cab"/>
    <w:link w:val="BodyTextChar"/>
    <w:qFormat/>
    <w:rsid w:val="00C61550"/>
    <w:pPr>
      <w:spacing w:before="120" w:after="120" w:line="240" w:lineRule="auto"/>
    </w:pPr>
  </w:style>
  <w:style w:type="character" w:customStyle="1" w:styleId="BodyTextChar">
    <w:name w:val="Body Text Char"/>
    <w:aliases w:val="Body Text Cab Char"/>
    <w:basedOn w:val="DefaultParagraphFont"/>
    <w:link w:val="BodyText"/>
    <w:rsid w:val="00C61550"/>
  </w:style>
  <w:style w:type="paragraph" w:styleId="Title">
    <w:name w:val="Title"/>
    <w:aliases w:val="Title Cab"/>
    <w:next w:val="BodyText"/>
    <w:link w:val="TitleChar"/>
    <w:uiPriority w:val="98"/>
    <w:qFormat/>
    <w:rsid w:val="00070E3D"/>
    <w:pPr>
      <w:tabs>
        <w:tab w:val="center" w:pos="1313"/>
      </w:tabs>
      <w:spacing w:before="160" w:line="276" w:lineRule="auto"/>
    </w:pPr>
    <w:rPr>
      <w:rFonts w:ascii="Arial" w:hAnsi="Arial"/>
      <w:b/>
      <w:color w:val="003865"/>
      <w:sz w:val="48"/>
      <w:szCs w:val="20"/>
    </w:rPr>
  </w:style>
  <w:style w:type="character" w:customStyle="1" w:styleId="TitleChar">
    <w:name w:val="Title Char"/>
    <w:aliases w:val="Title Cab Char"/>
    <w:basedOn w:val="DefaultParagraphFont"/>
    <w:link w:val="Title"/>
    <w:uiPriority w:val="98"/>
    <w:rsid w:val="00070E3D"/>
    <w:rPr>
      <w:rFonts w:ascii="Arial" w:hAnsi="Arial"/>
      <w:b/>
      <w:color w:val="003865"/>
      <w:sz w:val="48"/>
      <w:szCs w:val="20"/>
    </w:rPr>
  </w:style>
  <w:style w:type="paragraph" w:customStyle="1" w:styleId="BoldCab">
    <w:name w:val="Bold Cab"/>
    <w:basedOn w:val="BodyText"/>
    <w:uiPriority w:val="98"/>
    <w:semiHidden/>
    <w:qFormat/>
    <w:rsid w:val="00070E3D"/>
    <w:rPr>
      <w:b/>
    </w:rPr>
  </w:style>
  <w:style w:type="paragraph" w:customStyle="1" w:styleId="TableTextCab">
    <w:name w:val="Table Text Cab"/>
    <w:basedOn w:val="BodyText"/>
    <w:uiPriority w:val="8"/>
    <w:qFormat/>
    <w:rsid w:val="00070E3D"/>
    <w:pPr>
      <w:spacing w:before="50" w:after="50"/>
    </w:pPr>
    <w:rPr>
      <w:sz w:val="20"/>
      <w:szCs w:val="20"/>
    </w:rPr>
  </w:style>
  <w:style w:type="paragraph" w:styleId="BalloonText">
    <w:name w:val="Balloon Text"/>
    <w:basedOn w:val="Normal"/>
    <w:link w:val="BalloonTextChar"/>
    <w:uiPriority w:val="99"/>
    <w:semiHidden/>
    <w:unhideWhenUsed/>
    <w:rsid w:val="00070E3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E3D"/>
    <w:rPr>
      <w:rFonts w:ascii="Tahoma" w:hAnsi="Tahoma" w:cs="Tahoma"/>
      <w:sz w:val="16"/>
      <w:szCs w:val="16"/>
    </w:rPr>
  </w:style>
  <w:style w:type="paragraph" w:styleId="Header">
    <w:name w:val="header"/>
    <w:link w:val="HeaderChar"/>
    <w:uiPriority w:val="98"/>
    <w:semiHidden/>
    <w:rsid w:val="00070E3D"/>
    <w:pPr>
      <w:tabs>
        <w:tab w:val="center" w:pos="4513"/>
        <w:tab w:val="right" w:pos="9026"/>
      </w:tabs>
      <w:spacing w:after="0" w:line="276" w:lineRule="auto"/>
    </w:pPr>
    <w:rPr>
      <w:rFonts w:ascii="Arial" w:hAnsi="Arial"/>
    </w:rPr>
  </w:style>
  <w:style w:type="character" w:customStyle="1" w:styleId="HeaderChar">
    <w:name w:val="Header Char"/>
    <w:basedOn w:val="DefaultParagraphFont"/>
    <w:link w:val="Header"/>
    <w:uiPriority w:val="98"/>
    <w:semiHidden/>
    <w:rsid w:val="00070E3D"/>
    <w:rPr>
      <w:rFonts w:ascii="Arial" w:hAnsi="Arial"/>
    </w:rPr>
  </w:style>
  <w:style w:type="paragraph" w:styleId="ListParagraph">
    <w:name w:val="List Paragraph"/>
    <w:aliases w:val="List Bullet Cab,List Paragraph1,Recommendation,List Paragraph11,L,List Paragraph2,Bulleted Para,NFP GP Bulleted List,FooterText,numbered,Paragraphe de liste1,Bulletr List Paragraph,列出段落,列出段落1,List Paragraph21,Listeafsnit1,リスト段落1,1 heading"/>
    <w:basedOn w:val="BodyText"/>
    <w:link w:val="ListParagraphChar"/>
    <w:uiPriority w:val="34"/>
    <w:qFormat/>
    <w:rsid w:val="00070E3D"/>
    <w:pPr>
      <w:ind w:left="284" w:hanging="284"/>
      <w:contextualSpacing/>
    </w:pPr>
  </w:style>
  <w:style w:type="paragraph" w:customStyle="1" w:styleId="BorderCab">
    <w:name w:val="Border Cab"/>
    <w:basedOn w:val="BodyText"/>
    <w:uiPriority w:val="6"/>
    <w:qFormat/>
    <w:rsid w:val="00070E3D"/>
    <w:pPr>
      <w:pBdr>
        <w:top w:val="single" w:sz="18" w:space="1" w:color="7599BB"/>
      </w:pBdr>
      <w:spacing w:before="240" w:after="0" w:line="20" w:lineRule="exact"/>
    </w:pPr>
  </w:style>
  <w:style w:type="paragraph" w:customStyle="1" w:styleId="SummaryHeading1Cab">
    <w:name w:val="Summary Heading 1 Cab"/>
    <w:basedOn w:val="Heading1"/>
    <w:uiPriority w:val="13"/>
    <w:semiHidden/>
    <w:qFormat/>
    <w:rsid w:val="00070E3D"/>
    <w:pPr>
      <w:spacing w:before="120" w:after="0"/>
      <w:ind w:left="0" w:firstLine="0"/>
    </w:pPr>
    <w:rPr>
      <w:sz w:val="24"/>
    </w:rPr>
  </w:style>
  <w:style w:type="paragraph" w:customStyle="1" w:styleId="TableHeadingCab">
    <w:name w:val="Table Heading Cab"/>
    <w:basedOn w:val="TableTextCab"/>
    <w:uiPriority w:val="7"/>
    <w:qFormat/>
    <w:rsid w:val="00070E3D"/>
    <w:rPr>
      <w:b/>
    </w:rPr>
  </w:style>
  <w:style w:type="paragraph" w:customStyle="1" w:styleId="ProtectiveMarking">
    <w:name w:val="Protective Marking"/>
    <w:uiPriority w:val="15"/>
    <w:semiHidden/>
    <w:qFormat/>
    <w:rsid w:val="00070E3D"/>
    <w:pPr>
      <w:spacing w:after="0" w:line="240" w:lineRule="auto"/>
      <w:jc w:val="center"/>
    </w:pPr>
    <w:rPr>
      <w:rFonts w:ascii="Arial" w:hAnsi="Arial"/>
      <w:b/>
      <w:color w:val="FF0000"/>
      <w:sz w:val="30"/>
    </w:rPr>
  </w:style>
  <w:style w:type="paragraph" w:styleId="ListNumber">
    <w:name w:val="List Number"/>
    <w:aliases w:val="List Number Cab"/>
    <w:basedOn w:val="BodyText"/>
    <w:uiPriority w:val="3"/>
    <w:qFormat/>
    <w:rsid w:val="00070E3D"/>
    <w:pPr>
      <w:numPr>
        <w:numId w:val="1"/>
      </w:numPr>
      <w:contextualSpacing/>
    </w:pPr>
  </w:style>
  <w:style w:type="character" w:styleId="PageNumber">
    <w:name w:val="page number"/>
    <w:basedOn w:val="DefaultParagraphFont"/>
    <w:uiPriority w:val="99"/>
    <w:semiHidden/>
    <w:unhideWhenUsed/>
    <w:rsid w:val="00070E3D"/>
  </w:style>
  <w:style w:type="paragraph" w:customStyle="1" w:styleId="SectionTitleCab">
    <w:name w:val="Section Title Cab"/>
    <w:basedOn w:val="Title"/>
    <w:uiPriority w:val="17"/>
    <w:semiHidden/>
    <w:qFormat/>
    <w:rsid w:val="00070E3D"/>
    <w:pPr>
      <w:spacing w:before="240" w:after="60" w:line="240" w:lineRule="auto"/>
    </w:pPr>
    <w:rPr>
      <w:sz w:val="40"/>
    </w:rPr>
  </w:style>
  <w:style w:type="paragraph" w:customStyle="1" w:styleId="TableListCab">
    <w:name w:val="Table List Cab"/>
    <w:basedOn w:val="ListParagraph"/>
    <w:uiPriority w:val="9"/>
    <w:qFormat/>
    <w:rsid w:val="00070E3D"/>
    <w:pPr>
      <w:spacing w:before="60" w:after="60"/>
    </w:pPr>
    <w:rPr>
      <w:sz w:val="20"/>
    </w:rPr>
  </w:style>
  <w:style w:type="character" w:styleId="Hyperlink">
    <w:name w:val="Hyperlink"/>
    <w:aliases w:val="Hyperlink Cab"/>
    <w:basedOn w:val="DefaultParagraphFont"/>
    <w:uiPriority w:val="99"/>
    <w:qFormat/>
    <w:rsid w:val="00070E3D"/>
    <w:rPr>
      <w:color w:val="0563C1" w:themeColor="hyperlink"/>
      <w:u w:val="single"/>
    </w:rPr>
  </w:style>
  <w:style w:type="paragraph" w:customStyle="1" w:styleId="AttachmentHeading1Cab">
    <w:name w:val="Attachment Heading 1 Cab"/>
    <w:basedOn w:val="Heading1"/>
    <w:link w:val="AttachmentHeading1CabChar"/>
    <w:uiPriority w:val="10"/>
    <w:rsid w:val="00070E3D"/>
    <w:pPr>
      <w:ind w:left="0" w:firstLine="0"/>
    </w:pPr>
  </w:style>
  <w:style w:type="paragraph" w:customStyle="1" w:styleId="AttachmentHeading2Cab">
    <w:name w:val="Attachment Heading 2 Cab"/>
    <w:basedOn w:val="Heading2"/>
    <w:uiPriority w:val="11"/>
    <w:rsid w:val="00070E3D"/>
  </w:style>
  <w:style w:type="paragraph" w:customStyle="1" w:styleId="ChecklistInstructionCab">
    <w:name w:val="Checklist Instruction Cab"/>
    <w:basedOn w:val="TableTextCab"/>
    <w:uiPriority w:val="18"/>
    <w:semiHidden/>
    <w:rsid w:val="00070E3D"/>
    <w:rPr>
      <w:sz w:val="18"/>
    </w:rPr>
  </w:style>
  <w:style w:type="paragraph" w:customStyle="1" w:styleId="Spacer">
    <w:name w:val="Spacer"/>
    <w:uiPriority w:val="98"/>
    <w:semiHidden/>
    <w:rsid w:val="00070E3D"/>
    <w:pPr>
      <w:spacing w:after="0" w:line="240" w:lineRule="auto"/>
    </w:pPr>
    <w:rPr>
      <w:rFonts w:ascii="Arial" w:hAnsi="Arial"/>
      <w:sz w:val="4"/>
      <w:szCs w:val="4"/>
    </w:rPr>
  </w:style>
  <w:style w:type="paragraph" w:customStyle="1" w:styleId="PageRefCab">
    <w:name w:val="Page Ref Cab"/>
    <w:uiPriority w:val="98"/>
    <w:semiHidden/>
    <w:rsid w:val="00070E3D"/>
    <w:pPr>
      <w:framePr w:wrap="around" w:vAnchor="text" w:hAnchor="page" w:x="9403" w:y="139"/>
      <w:spacing w:after="200" w:line="240" w:lineRule="auto"/>
    </w:pPr>
    <w:rPr>
      <w:rFonts w:ascii="Arial" w:hAnsi="Arial"/>
      <w:sz w:val="18"/>
      <w:szCs w:val="18"/>
    </w:rPr>
  </w:style>
  <w:style w:type="paragraph" w:styleId="Footer">
    <w:name w:val="footer"/>
    <w:basedOn w:val="Normal"/>
    <w:link w:val="FooterChar"/>
    <w:uiPriority w:val="99"/>
    <w:unhideWhenUsed/>
    <w:rsid w:val="00070E3D"/>
    <w:pPr>
      <w:tabs>
        <w:tab w:val="center" w:pos="4320"/>
        <w:tab w:val="right" w:pos="8640"/>
      </w:tabs>
      <w:spacing w:before="0" w:after="0"/>
    </w:pPr>
  </w:style>
  <w:style w:type="character" w:customStyle="1" w:styleId="FooterChar">
    <w:name w:val="Footer Char"/>
    <w:basedOn w:val="DefaultParagraphFont"/>
    <w:link w:val="Footer"/>
    <w:uiPriority w:val="99"/>
    <w:rsid w:val="00070E3D"/>
    <w:rPr>
      <w:rFonts w:ascii="Arial" w:hAnsi="Arial"/>
    </w:rPr>
  </w:style>
  <w:style w:type="paragraph" w:customStyle="1" w:styleId="DocNoCab">
    <w:name w:val="Doc No Cab"/>
    <w:basedOn w:val="AttachmentHeading2Cab"/>
    <w:uiPriority w:val="14"/>
    <w:semiHidden/>
    <w:rsid w:val="00070E3D"/>
    <w:pPr>
      <w:ind w:left="34"/>
      <w:jc w:val="right"/>
    </w:pPr>
    <w:rPr>
      <w:noProof/>
      <w:lang w:val="en-US"/>
    </w:rPr>
  </w:style>
  <w:style w:type="paragraph" w:customStyle="1" w:styleId="RecommendationListCab">
    <w:name w:val="Recommendation List Cab"/>
    <w:basedOn w:val="ListNumber"/>
    <w:uiPriority w:val="1"/>
    <w:rsid w:val="00070E3D"/>
    <w:pPr>
      <w:ind w:left="357" w:hanging="357"/>
      <w:contextualSpacing w:val="0"/>
    </w:pPr>
  </w:style>
  <w:style w:type="paragraph" w:customStyle="1" w:styleId="Heading1NewTemplate">
    <w:name w:val="Heading 1 New Template"/>
    <w:basedOn w:val="AttachmentHeading1Cab"/>
    <w:link w:val="Heading1NewTemplateChar"/>
    <w:uiPriority w:val="98"/>
    <w:qFormat/>
    <w:rsid w:val="00070E3D"/>
    <w:rPr>
      <w:sz w:val="24"/>
    </w:rPr>
  </w:style>
  <w:style w:type="character" w:customStyle="1" w:styleId="AttachmentHeading1CabChar">
    <w:name w:val="Attachment Heading 1 Cab Char"/>
    <w:basedOn w:val="Heading1Char"/>
    <w:link w:val="AttachmentHeading1Cab"/>
    <w:uiPriority w:val="10"/>
    <w:rsid w:val="00070E3D"/>
    <w:rPr>
      <w:rFonts w:ascii="Arial" w:eastAsiaTheme="majorEastAsia" w:hAnsi="Arial" w:cstheme="majorBidi"/>
      <w:b/>
      <w:bCs/>
      <w:color w:val="003865"/>
      <w:sz w:val="28"/>
      <w:szCs w:val="28"/>
    </w:rPr>
  </w:style>
  <w:style w:type="character" w:customStyle="1" w:styleId="Heading1NewTemplateChar">
    <w:name w:val="Heading 1 New Template Char"/>
    <w:basedOn w:val="AttachmentHeading1CabChar"/>
    <w:link w:val="Heading1NewTemplate"/>
    <w:uiPriority w:val="98"/>
    <w:rsid w:val="00070E3D"/>
    <w:rPr>
      <w:rFonts w:ascii="Arial" w:eastAsiaTheme="majorEastAsia" w:hAnsi="Arial" w:cstheme="majorBidi"/>
      <w:b/>
      <w:bCs/>
      <w:color w:val="003865"/>
      <w:sz w:val="24"/>
      <w:szCs w:val="28"/>
    </w:rPr>
  </w:style>
  <w:style w:type="paragraph" w:customStyle="1" w:styleId="CABNETParagraphAtt">
    <w:name w:val="CABNET Paragraph Att"/>
    <w:basedOn w:val="Normal"/>
    <w:link w:val="CABNETParagraphAttChar"/>
    <w:qFormat/>
    <w:rsid w:val="00070E3D"/>
    <w:rPr>
      <w:rFonts w:ascii="Times New Roman" w:eastAsia="Times New Roman" w:hAnsi="Times New Roman" w:cs="Times New Roman"/>
      <w:sz w:val="24"/>
      <w:szCs w:val="24"/>
      <w:lang w:eastAsia="en-AU"/>
    </w:rPr>
  </w:style>
  <w:style w:type="character" w:customStyle="1" w:styleId="CABNETParagraphAttChar">
    <w:name w:val="CABNET Paragraph Att Char"/>
    <w:basedOn w:val="DefaultParagraphFont"/>
    <w:link w:val="CABNETParagraphAtt"/>
    <w:rsid w:val="00070E3D"/>
    <w:rPr>
      <w:rFonts w:ascii="Times New Roman" w:eastAsia="Times New Roman" w:hAnsi="Times New Roman" w:cs="Times New Roman"/>
      <w:sz w:val="24"/>
      <w:szCs w:val="24"/>
      <w:lang w:eastAsia="en-AU"/>
    </w:rPr>
  </w:style>
  <w:style w:type="paragraph" w:customStyle="1" w:styleId="TableHeader-LChar">
    <w:name w:val="TableHeader-L Char"/>
    <w:basedOn w:val="Normal"/>
    <w:link w:val="TableHeader-LCharChar"/>
    <w:rsid w:val="00070E3D"/>
    <w:pPr>
      <w:autoSpaceDE w:val="0"/>
      <w:autoSpaceDN w:val="0"/>
      <w:adjustRightInd w:val="0"/>
      <w:spacing w:before="0" w:after="0"/>
    </w:pPr>
    <w:rPr>
      <w:rFonts w:ascii="Times New Roman" w:eastAsia="Times New Roman" w:hAnsi="Times New Roman" w:cs="Times New Roman"/>
      <w:b/>
      <w:color w:val="000000"/>
      <w:sz w:val="20"/>
      <w:szCs w:val="26"/>
      <w:lang w:eastAsia="en-AU"/>
    </w:rPr>
  </w:style>
  <w:style w:type="character" w:customStyle="1" w:styleId="TableHeader-LCharChar">
    <w:name w:val="TableHeader-L Char Char"/>
    <w:basedOn w:val="DefaultParagraphFont"/>
    <w:link w:val="TableHeader-LChar"/>
    <w:rsid w:val="00070E3D"/>
    <w:rPr>
      <w:rFonts w:ascii="Times New Roman" w:eastAsia="Times New Roman" w:hAnsi="Times New Roman" w:cs="Times New Roman"/>
      <w:b/>
      <w:color w:val="000000"/>
      <w:sz w:val="20"/>
      <w:szCs w:val="26"/>
      <w:lang w:eastAsia="en-AU"/>
    </w:rPr>
  </w:style>
  <w:style w:type="paragraph" w:customStyle="1" w:styleId="TableBody-L">
    <w:name w:val="TableBody-L"/>
    <w:basedOn w:val="Normal"/>
    <w:rsid w:val="00070E3D"/>
    <w:pPr>
      <w:autoSpaceDE w:val="0"/>
      <w:autoSpaceDN w:val="0"/>
      <w:adjustRightInd w:val="0"/>
      <w:spacing w:before="0" w:after="0"/>
    </w:pPr>
    <w:rPr>
      <w:rFonts w:ascii="Times New Roman" w:eastAsia="Times New Roman" w:hAnsi="Times New Roman" w:cs="Times New Roman"/>
      <w:color w:val="000000"/>
      <w:sz w:val="20"/>
      <w:szCs w:val="26"/>
      <w:lang w:eastAsia="en-AU"/>
    </w:rPr>
  </w:style>
  <w:style w:type="paragraph" w:customStyle="1" w:styleId="Financialtable">
    <w:name w:val="Financial table"/>
    <w:basedOn w:val="Normal"/>
    <w:link w:val="FinancialtableChar"/>
    <w:uiPriority w:val="1"/>
    <w:qFormat/>
    <w:rsid w:val="00070E3D"/>
    <w:pPr>
      <w:tabs>
        <w:tab w:val="left" w:pos="284"/>
      </w:tabs>
      <w:spacing w:before="40" w:after="40"/>
      <w:jc w:val="right"/>
    </w:pPr>
    <w:rPr>
      <w:rFonts w:ascii="Calibri" w:eastAsia="Calibri" w:hAnsi="Calibri" w:cs="Times New Roman"/>
      <w:sz w:val="18"/>
      <w:szCs w:val="18"/>
    </w:rPr>
  </w:style>
  <w:style w:type="character" w:customStyle="1" w:styleId="FinancialtableChar">
    <w:name w:val="Financial table Char"/>
    <w:basedOn w:val="DefaultParagraphFont"/>
    <w:link w:val="Financialtable"/>
    <w:uiPriority w:val="1"/>
    <w:rsid w:val="00070E3D"/>
    <w:rPr>
      <w:rFonts w:ascii="Calibri" w:eastAsia="Calibri" w:hAnsi="Calibri" w:cs="Times New Roman"/>
      <w:sz w:val="18"/>
      <w:szCs w:val="18"/>
    </w:rPr>
  </w:style>
  <w:style w:type="numbering" w:customStyle="1" w:styleId="Bulletlist">
    <w:name w:val="Bullet list"/>
    <w:uiPriority w:val="99"/>
    <w:rsid w:val="00070E3D"/>
    <w:pPr>
      <w:numPr>
        <w:numId w:val="2"/>
      </w:numPr>
    </w:pPr>
  </w:style>
  <w:style w:type="paragraph" w:customStyle="1" w:styleId="Bullet">
    <w:name w:val="Bullet"/>
    <w:basedOn w:val="Normal"/>
    <w:link w:val="BulletChar"/>
    <w:qFormat/>
    <w:rsid w:val="00070E3D"/>
    <w:pPr>
      <w:spacing w:before="0"/>
      <w:ind w:left="284" w:hanging="284"/>
    </w:pPr>
    <w:rPr>
      <w:rFonts w:ascii="Calibri" w:eastAsia="Calibri" w:hAnsi="Calibri" w:cs="Times New Roman"/>
    </w:rPr>
  </w:style>
  <w:style w:type="paragraph" w:customStyle="1" w:styleId="Bullet2">
    <w:name w:val="Bullet 2"/>
    <w:basedOn w:val="Normal"/>
    <w:qFormat/>
    <w:rsid w:val="00070E3D"/>
    <w:pPr>
      <w:tabs>
        <w:tab w:val="left" w:pos="284"/>
      </w:tabs>
      <w:spacing w:before="0"/>
      <w:ind w:left="1440" w:hanging="360"/>
    </w:pPr>
    <w:rPr>
      <w:rFonts w:ascii="Calibri" w:eastAsia="Calibri" w:hAnsi="Calibri" w:cs="Times New Roman"/>
    </w:rPr>
  </w:style>
  <w:style w:type="character" w:customStyle="1" w:styleId="BulletChar">
    <w:name w:val="Bullet Char"/>
    <w:basedOn w:val="DefaultParagraphFont"/>
    <w:link w:val="Bullet"/>
    <w:rsid w:val="00070E3D"/>
    <w:rPr>
      <w:rFonts w:ascii="Calibri" w:eastAsia="Calibri" w:hAnsi="Calibri" w:cs="Times New Roman"/>
    </w:rPr>
  </w:style>
  <w:style w:type="paragraph" w:customStyle="1" w:styleId="Bullet3">
    <w:name w:val="Bullet 3"/>
    <w:basedOn w:val="Normal"/>
    <w:qFormat/>
    <w:rsid w:val="00070E3D"/>
    <w:pPr>
      <w:tabs>
        <w:tab w:val="left" w:pos="284"/>
      </w:tabs>
      <w:spacing w:before="0"/>
      <w:ind w:left="2160" w:hanging="360"/>
    </w:pPr>
    <w:rPr>
      <w:rFonts w:ascii="Calibri" w:eastAsia="Calibri" w:hAnsi="Calibri" w:cs="Times New Roman"/>
    </w:rPr>
  </w:style>
  <w:style w:type="paragraph" w:customStyle="1" w:styleId="CABParaSub">
    <w:name w:val="CAB Para Sub"/>
    <w:basedOn w:val="Normal"/>
    <w:link w:val="CABParaSubChar"/>
    <w:qFormat/>
    <w:rsid w:val="00070E3D"/>
    <w:pPr>
      <w:tabs>
        <w:tab w:val="left" w:pos="567"/>
      </w:tabs>
    </w:pPr>
    <w:rPr>
      <w:rFonts w:ascii="Times New Roman" w:eastAsia="Calibri" w:hAnsi="Times New Roman" w:cs="Times New Roman"/>
      <w:sz w:val="24"/>
      <w:szCs w:val="24"/>
    </w:rPr>
  </w:style>
  <w:style w:type="character" w:customStyle="1" w:styleId="CABParaSubChar">
    <w:name w:val="CAB Para Sub Char"/>
    <w:basedOn w:val="DefaultParagraphFont"/>
    <w:link w:val="CABParaSub"/>
    <w:rsid w:val="00070E3D"/>
    <w:rPr>
      <w:rFonts w:ascii="Times New Roman" w:eastAsia="Calibri" w:hAnsi="Times New Roman" w:cs="Times New Roman"/>
      <w:sz w:val="24"/>
      <w:szCs w:val="24"/>
    </w:rPr>
  </w:style>
  <w:style w:type="paragraph" w:customStyle="1" w:styleId="CABHeading1">
    <w:name w:val="CAB Heading 1"/>
    <w:basedOn w:val="Normal"/>
    <w:qFormat/>
    <w:rsid w:val="00070E3D"/>
    <w:rPr>
      <w:rFonts w:ascii="Times New Roman" w:eastAsia="Calibri" w:hAnsi="Times New Roman" w:cs="Times New Roman"/>
      <w:b/>
      <w:sz w:val="24"/>
      <w:szCs w:val="24"/>
    </w:rPr>
  </w:style>
  <w:style w:type="paragraph" w:customStyle="1" w:styleId="TOCLevel1">
    <w:name w:val="TOCLevel1"/>
    <w:basedOn w:val="TOC1"/>
    <w:link w:val="TOCLevel1Char"/>
    <w:qFormat/>
    <w:rsid w:val="00070E3D"/>
    <w:pPr>
      <w:tabs>
        <w:tab w:val="right" w:leader="dot" w:pos="8777"/>
      </w:tabs>
      <w:spacing w:after="120"/>
      <w:jc w:val="right"/>
    </w:pPr>
    <w:rPr>
      <w:rFonts w:ascii="Times New Roman" w:eastAsia="Times New Roman" w:hAnsi="Times New Roman" w:cs="Times New Roman"/>
      <w:b/>
      <w:sz w:val="24"/>
      <w:szCs w:val="24"/>
      <w:lang w:eastAsia="en-AU"/>
    </w:rPr>
  </w:style>
  <w:style w:type="paragraph" w:customStyle="1" w:styleId="TOCLevel2">
    <w:name w:val="TOCLevel2"/>
    <w:basedOn w:val="TOCLevel1"/>
    <w:link w:val="TOCLevel2Char"/>
    <w:uiPriority w:val="98"/>
    <w:qFormat/>
    <w:rsid w:val="00070E3D"/>
    <w:pPr>
      <w:jc w:val="center"/>
    </w:pPr>
    <w:rPr>
      <w:caps/>
    </w:rPr>
  </w:style>
  <w:style w:type="character" w:customStyle="1" w:styleId="TOCLevel1Char">
    <w:name w:val="TOCLevel1 Char"/>
    <w:basedOn w:val="DefaultParagraphFont"/>
    <w:link w:val="TOCLevel1"/>
    <w:rsid w:val="00070E3D"/>
    <w:rPr>
      <w:rFonts w:ascii="Times New Roman" w:eastAsia="Times New Roman" w:hAnsi="Times New Roman" w:cs="Times New Roman"/>
      <w:b/>
      <w:noProof/>
      <w:sz w:val="24"/>
      <w:szCs w:val="24"/>
      <w:lang w:eastAsia="en-AU"/>
    </w:rPr>
  </w:style>
  <w:style w:type="character" w:customStyle="1" w:styleId="TOCLevel2Char">
    <w:name w:val="TOCLevel2 Char"/>
    <w:basedOn w:val="TOCLevel1Char"/>
    <w:link w:val="TOCLevel2"/>
    <w:uiPriority w:val="98"/>
    <w:rsid w:val="00070E3D"/>
    <w:rPr>
      <w:rFonts w:ascii="Times New Roman" w:eastAsia="Times New Roman" w:hAnsi="Times New Roman" w:cs="Times New Roman"/>
      <w:b/>
      <w:caps/>
      <w:noProof/>
      <w:sz w:val="24"/>
      <w:szCs w:val="24"/>
      <w:lang w:eastAsia="en-AU"/>
    </w:rPr>
  </w:style>
  <w:style w:type="paragraph" w:styleId="TOC1">
    <w:name w:val="toc 1"/>
    <w:basedOn w:val="Normal"/>
    <w:next w:val="Normal"/>
    <w:autoRedefine/>
    <w:uiPriority w:val="39"/>
    <w:unhideWhenUsed/>
    <w:rsid w:val="003863C1"/>
    <w:pPr>
      <w:tabs>
        <w:tab w:val="left" w:pos="440"/>
        <w:tab w:val="right" w:leader="dot" w:pos="9016"/>
      </w:tabs>
      <w:spacing w:after="100"/>
    </w:pPr>
    <w:rPr>
      <w:noProof/>
    </w:rPr>
  </w:style>
  <w:style w:type="paragraph" w:styleId="TOCHeading">
    <w:name w:val="TOC Heading"/>
    <w:basedOn w:val="Heading1"/>
    <w:next w:val="Normal"/>
    <w:uiPriority w:val="39"/>
    <w:unhideWhenUsed/>
    <w:qFormat/>
    <w:rsid w:val="00070E3D"/>
    <w:pPr>
      <w:tabs>
        <w:tab w:val="clear" w:pos="567"/>
      </w:tabs>
      <w:spacing w:before="480" w:after="0" w:line="276" w:lineRule="auto"/>
      <w:ind w:left="0" w:firstLine="0"/>
      <w:outlineLvl w:val="9"/>
    </w:pPr>
    <w:rPr>
      <w:rFonts w:asciiTheme="majorHAnsi" w:hAnsiTheme="majorHAnsi"/>
      <w:color w:val="2E74B5" w:themeColor="accent1" w:themeShade="BF"/>
      <w:lang w:val="en-US" w:eastAsia="ja-JP"/>
    </w:rPr>
  </w:style>
  <w:style w:type="paragraph" w:customStyle="1" w:styleId="CABNETFooterAtt">
    <w:name w:val="CABNET Footer Att"/>
    <w:basedOn w:val="CABNETParagraphAtt"/>
    <w:rsid w:val="00070E3D"/>
    <w:pPr>
      <w:tabs>
        <w:tab w:val="right" w:pos="7513"/>
      </w:tabs>
      <w:spacing w:before="0" w:after="0"/>
      <w:ind w:right="357"/>
      <w:jc w:val="center"/>
    </w:pPr>
    <w:rPr>
      <w:sz w:val="18"/>
    </w:rPr>
  </w:style>
  <w:style w:type="character" w:customStyle="1" w:styleId="ListParagraphChar">
    <w:name w:val="List Paragraph Char"/>
    <w:aliases w:val="List Bullet Cab Char,List Paragraph1 Char,Recommendation Char,List Paragraph11 Char,L Char,List Paragraph2 Char,Bulleted Para Char,NFP GP Bulleted List Char,FooterText Char,numbered Char,Paragraphe de liste1 Char,列出段落 Char,列出段落1 Char"/>
    <w:basedOn w:val="DefaultParagraphFont"/>
    <w:link w:val="ListParagraph"/>
    <w:uiPriority w:val="34"/>
    <w:qFormat/>
    <w:locked/>
    <w:rsid w:val="00070E3D"/>
  </w:style>
  <w:style w:type="paragraph" w:styleId="FootnoteText">
    <w:name w:val="footnote text"/>
    <w:basedOn w:val="Normal"/>
    <w:link w:val="FootnoteTextChar"/>
    <w:uiPriority w:val="99"/>
    <w:unhideWhenUsed/>
    <w:rsid w:val="00070E3D"/>
    <w:pPr>
      <w:spacing w:before="0" w:after="0"/>
    </w:pPr>
    <w:rPr>
      <w:rFonts w:asciiTheme="minorHAnsi" w:hAnsiTheme="minorHAnsi"/>
      <w:sz w:val="20"/>
      <w:szCs w:val="20"/>
    </w:rPr>
  </w:style>
  <w:style w:type="character" w:customStyle="1" w:styleId="FootnoteTextChar">
    <w:name w:val="Footnote Text Char"/>
    <w:basedOn w:val="DefaultParagraphFont"/>
    <w:link w:val="FootnoteText"/>
    <w:uiPriority w:val="99"/>
    <w:rsid w:val="00070E3D"/>
    <w:rPr>
      <w:sz w:val="20"/>
      <w:szCs w:val="20"/>
    </w:rPr>
  </w:style>
  <w:style w:type="character" w:styleId="FootnoteReference">
    <w:name w:val="footnote reference"/>
    <w:basedOn w:val="DefaultParagraphFont"/>
    <w:uiPriority w:val="99"/>
    <w:unhideWhenUsed/>
    <w:rsid w:val="00070E3D"/>
    <w:rPr>
      <w:vertAlign w:val="superscript"/>
    </w:rPr>
  </w:style>
  <w:style w:type="character" w:styleId="IntenseEmphasis">
    <w:name w:val="Intense Emphasis"/>
    <w:basedOn w:val="DefaultParagraphFont"/>
    <w:uiPriority w:val="21"/>
    <w:qFormat/>
    <w:rsid w:val="00070E3D"/>
    <w:rPr>
      <w:b/>
      <w:bCs/>
      <w:i/>
      <w:iCs/>
      <w:color w:val="5B9BD5" w:themeColor="accent1"/>
    </w:rPr>
  </w:style>
  <w:style w:type="character" w:styleId="CommentReference">
    <w:name w:val="annotation reference"/>
    <w:basedOn w:val="DefaultParagraphFont"/>
    <w:uiPriority w:val="99"/>
    <w:rsid w:val="00070E3D"/>
    <w:rPr>
      <w:sz w:val="16"/>
      <w:szCs w:val="16"/>
    </w:rPr>
  </w:style>
  <w:style w:type="paragraph" w:styleId="CommentText">
    <w:name w:val="annotation text"/>
    <w:basedOn w:val="Normal"/>
    <w:link w:val="CommentTextChar"/>
    <w:uiPriority w:val="99"/>
    <w:rsid w:val="00070E3D"/>
    <w:rPr>
      <w:sz w:val="20"/>
      <w:szCs w:val="20"/>
    </w:rPr>
  </w:style>
  <w:style w:type="character" w:customStyle="1" w:styleId="CommentTextChar">
    <w:name w:val="Comment Text Char"/>
    <w:basedOn w:val="DefaultParagraphFont"/>
    <w:link w:val="CommentText"/>
    <w:uiPriority w:val="99"/>
    <w:rsid w:val="00070E3D"/>
    <w:rPr>
      <w:rFonts w:ascii="Arial" w:hAnsi="Arial"/>
      <w:sz w:val="20"/>
      <w:szCs w:val="20"/>
    </w:rPr>
  </w:style>
  <w:style w:type="paragraph" w:styleId="TOC2">
    <w:name w:val="toc 2"/>
    <w:basedOn w:val="Normal"/>
    <w:next w:val="Normal"/>
    <w:autoRedefine/>
    <w:uiPriority w:val="39"/>
    <w:unhideWhenUsed/>
    <w:rsid w:val="004D7175"/>
    <w:pPr>
      <w:tabs>
        <w:tab w:val="left" w:pos="880"/>
        <w:tab w:val="right" w:leader="dot" w:pos="9016"/>
      </w:tabs>
      <w:spacing w:after="100"/>
      <w:ind w:left="220"/>
    </w:pPr>
  </w:style>
  <w:style w:type="paragraph" w:styleId="TOC3">
    <w:name w:val="toc 3"/>
    <w:basedOn w:val="Normal"/>
    <w:next w:val="Normal"/>
    <w:autoRedefine/>
    <w:uiPriority w:val="39"/>
    <w:unhideWhenUsed/>
    <w:rsid w:val="00070E3D"/>
    <w:pPr>
      <w:spacing w:after="100"/>
      <w:ind w:left="440"/>
    </w:pPr>
  </w:style>
  <w:style w:type="table" w:customStyle="1" w:styleId="TableGrid1">
    <w:name w:val="Table Grid1"/>
    <w:basedOn w:val="TableNormal"/>
    <w:next w:val="TableGrid"/>
    <w:uiPriority w:val="59"/>
    <w:rsid w:val="00070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51">
    <w:name w:val="Colorful List - Accent 51"/>
    <w:basedOn w:val="TableNormal"/>
    <w:next w:val="ColorfulList-Accent5"/>
    <w:uiPriority w:val="72"/>
    <w:rsid w:val="00070E3D"/>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5">
    <w:name w:val="Colorful List Accent 5"/>
    <w:basedOn w:val="TableNormal"/>
    <w:uiPriority w:val="72"/>
    <w:rsid w:val="00070E3D"/>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ColorfulList-Accent52">
    <w:name w:val="Colorful List - Accent 52"/>
    <w:basedOn w:val="TableNormal"/>
    <w:next w:val="ColorfulList-Accent5"/>
    <w:uiPriority w:val="72"/>
    <w:rsid w:val="00070E3D"/>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TableGrid2">
    <w:name w:val="Table Grid2"/>
    <w:basedOn w:val="TableNormal"/>
    <w:next w:val="TableGrid"/>
    <w:uiPriority w:val="59"/>
    <w:rsid w:val="00070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Table">
    <w:name w:val="H&amp;T_Table"/>
    <w:basedOn w:val="TableGrid"/>
    <w:rsid w:val="00070E3D"/>
    <w:pPr>
      <w:snapToGrid w:val="0"/>
      <w:spacing w:before="60" w:after="60"/>
      <w:outlineLvl w:val="8"/>
    </w:pPr>
    <w:rPr>
      <w:rFonts w:ascii="Tahoma" w:eastAsia="SimSun" w:hAnsi="Tahoma" w:cs="Times New Roman"/>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line="240" w:lineRule="auto"/>
      </w:pPr>
      <w:rPr>
        <w:rFonts w:ascii="Lucida Sans Unicode" w:hAnsi="Lucida Sans Unicode"/>
        <w:b/>
        <w:i w:val="0"/>
        <w:color w:val="FFFFFF"/>
        <w:sz w:val="20"/>
      </w:rPr>
      <w:tblPr/>
      <w:tcPr>
        <w:tcBorders>
          <w:insideV w:val="single" w:sz="4" w:space="0" w:color="FFFFFF"/>
        </w:tcBorders>
        <w:shd w:val="clear" w:color="auto" w:fill="000000"/>
      </w:tcPr>
    </w:tblStylePr>
  </w:style>
  <w:style w:type="paragraph" w:styleId="ListBullet">
    <w:name w:val="List Bullet"/>
    <w:basedOn w:val="Normal"/>
    <w:uiPriority w:val="99"/>
    <w:rsid w:val="00070E3D"/>
    <w:pPr>
      <w:spacing w:before="0" w:line="276" w:lineRule="auto"/>
      <w:ind w:left="425" w:hanging="425"/>
      <w:contextualSpacing/>
    </w:pPr>
    <w:rPr>
      <w:rFonts w:ascii="Tahoma" w:eastAsia="Times New Roman" w:hAnsi="Tahoma" w:cs="Tahoma"/>
      <w:sz w:val="20"/>
      <w:szCs w:val="20"/>
      <w:lang w:val="en-NZ" w:eastAsia="en-NZ"/>
    </w:rPr>
  </w:style>
  <w:style w:type="paragraph" w:styleId="CommentSubject">
    <w:name w:val="annotation subject"/>
    <w:basedOn w:val="CommentText"/>
    <w:next w:val="CommentText"/>
    <w:link w:val="CommentSubjectChar"/>
    <w:uiPriority w:val="99"/>
    <w:semiHidden/>
    <w:unhideWhenUsed/>
    <w:rsid w:val="00F21BDB"/>
    <w:rPr>
      <w:b/>
      <w:bCs/>
    </w:rPr>
  </w:style>
  <w:style w:type="character" w:customStyle="1" w:styleId="CommentSubjectChar">
    <w:name w:val="Comment Subject Char"/>
    <w:basedOn w:val="CommentTextChar"/>
    <w:link w:val="CommentSubject"/>
    <w:uiPriority w:val="99"/>
    <w:semiHidden/>
    <w:rsid w:val="00F21BDB"/>
    <w:rPr>
      <w:rFonts w:ascii="Arial" w:hAnsi="Arial"/>
      <w:b/>
      <w:bCs/>
      <w:sz w:val="20"/>
      <w:szCs w:val="20"/>
    </w:rPr>
  </w:style>
  <w:style w:type="character" w:styleId="FollowedHyperlink">
    <w:name w:val="FollowedHyperlink"/>
    <w:basedOn w:val="DefaultParagraphFont"/>
    <w:uiPriority w:val="99"/>
    <w:semiHidden/>
    <w:unhideWhenUsed/>
    <w:rsid w:val="00AD0A0D"/>
    <w:rPr>
      <w:color w:val="954F72" w:themeColor="followedHyperlink"/>
      <w:u w:val="single"/>
    </w:rPr>
  </w:style>
  <w:style w:type="table" w:customStyle="1" w:styleId="TableGrid3">
    <w:name w:val="Table Grid3"/>
    <w:basedOn w:val="TableNormal"/>
    <w:next w:val="TableGrid"/>
    <w:uiPriority w:val="59"/>
    <w:rsid w:val="00706155"/>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CABNumberedParagraph">
    <w:name w:val="CAB Numbered Paragraph"/>
    <w:basedOn w:val="Normal"/>
    <w:uiPriority w:val="98"/>
    <w:qFormat/>
    <w:rsid w:val="009763C6"/>
    <w:pPr>
      <w:tabs>
        <w:tab w:val="num" w:pos="340"/>
      </w:tabs>
      <w:spacing w:before="0" w:after="200" w:line="276" w:lineRule="auto"/>
      <w:ind w:left="340"/>
    </w:pPr>
  </w:style>
  <w:style w:type="character" w:styleId="Emphasis">
    <w:name w:val="Emphasis"/>
    <w:basedOn w:val="DefaultParagraphFont"/>
    <w:uiPriority w:val="20"/>
    <w:qFormat/>
    <w:rsid w:val="003051E6"/>
    <w:rPr>
      <w:i/>
      <w:iCs/>
    </w:rPr>
  </w:style>
  <w:style w:type="paragraph" w:styleId="Subtitle">
    <w:name w:val="Subtitle"/>
    <w:basedOn w:val="Normal"/>
    <w:next w:val="Normal"/>
    <w:link w:val="SubtitleChar"/>
    <w:uiPriority w:val="11"/>
    <w:qFormat/>
    <w:rsid w:val="003051E6"/>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3051E6"/>
    <w:rPr>
      <w:rFonts w:eastAsiaTheme="minorEastAsia"/>
      <w:color w:val="5A5A5A" w:themeColor="text1" w:themeTint="A5"/>
      <w:spacing w:val="15"/>
    </w:rPr>
  </w:style>
  <w:style w:type="paragraph" w:styleId="ListNumber3">
    <w:name w:val="List Number 3"/>
    <w:basedOn w:val="Normal"/>
    <w:rsid w:val="000C0EBA"/>
    <w:pPr>
      <w:tabs>
        <w:tab w:val="num" w:pos="360"/>
      </w:tabs>
      <w:spacing w:before="60" w:after="60" w:line="280" w:lineRule="atLeast"/>
      <w:ind w:left="357" w:hanging="357"/>
    </w:pPr>
    <w:rPr>
      <w:rFonts w:eastAsia="Times New Roman" w:cs="Times New Roman"/>
      <w:sz w:val="20"/>
    </w:rPr>
  </w:style>
  <w:style w:type="paragraph" w:customStyle="1" w:styleId="Normalitalics">
    <w:name w:val="Normal + italics"/>
    <w:basedOn w:val="Normal"/>
    <w:qFormat/>
    <w:rsid w:val="000C0EBA"/>
    <w:pPr>
      <w:spacing w:before="40" w:line="280" w:lineRule="atLeast"/>
    </w:pPr>
    <w:rPr>
      <w:rFonts w:eastAsia="Times New Roman" w:cs="Times New Roman"/>
      <w:i/>
      <w:sz w:val="20"/>
    </w:rPr>
  </w:style>
  <w:style w:type="table" w:customStyle="1" w:styleId="TableClassic31">
    <w:name w:val="Table Classic 31"/>
    <w:basedOn w:val="TableNormal"/>
    <w:next w:val="TableClassic3"/>
    <w:rsid w:val="000C0EBA"/>
    <w:pPr>
      <w:spacing w:after="120" w:line="300" w:lineRule="auto"/>
    </w:pPr>
    <w:rPr>
      <w:rFonts w:ascii="Arial" w:eastAsia="Times New Roman" w:hAnsi="Arial" w:cs="Times New Roman"/>
    </w:rPr>
    <w:tblPr>
      <w:tblBorders>
        <w:top w:val="single" w:sz="4" w:space="0" w:color="005677"/>
        <w:bottom w:val="single" w:sz="4" w:space="0" w:color="005677"/>
        <w:insideH w:val="single" w:sz="4" w:space="0" w:color="005677"/>
      </w:tblBorders>
    </w:tblPr>
    <w:tcPr>
      <w:shd w:val="clear" w:color="C0C0C0" w:fill="auto"/>
    </w:tcPr>
    <w:tblStylePr w:type="firstRow">
      <w:rPr>
        <w:rFonts w:ascii="Arial" w:hAnsi="Arial"/>
        <w:b/>
        <w:bCs/>
        <w:i w:val="0"/>
        <w:iCs/>
        <w:color w:val="FFFFFF" w:themeColor="background1"/>
        <w:sz w:val="22"/>
      </w:rPr>
      <w:tblPr/>
      <w:tcPr>
        <w:tcBorders>
          <w:top w:val="nil"/>
          <w:bottom w:val="nil"/>
        </w:tcBorders>
        <w:shd w:val="clear" w:color="C0C0C0" w:fill="3A87AE"/>
      </w:tcPr>
    </w:tblStylePr>
    <w:tblStylePr w:type="lastRow">
      <w:rPr>
        <w:rFonts w:ascii="Arial" w:hAnsi="Arial"/>
        <w:b/>
        <w:i w:val="0"/>
        <w:color w:val="auto"/>
        <w:sz w:val="24"/>
      </w:rPr>
      <w:tblPr/>
      <w:tcPr>
        <w:tcBorders>
          <w:top w:val="single" w:sz="12" w:space="0" w:color="000000"/>
        </w:tcBorders>
        <w:shd w:val="solid" w:color="FFFFFF" w:fill="FFFFFF"/>
      </w:tcPr>
    </w:tblStylePr>
    <w:tblStylePr w:type="firstCol">
      <w:rPr>
        <w:b/>
        <w:bCs/>
        <w:color w:val="000000"/>
      </w:rPr>
    </w:tblStylePr>
  </w:style>
  <w:style w:type="paragraph" w:customStyle="1" w:styleId="BusinessTableHeader">
    <w:name w:val="Business Table Header"/>
    <w:basedOn w:val="Normal"/>
    <w:link w:val="BusinessTableHeaderChar"/>
    <w:qFormat/>
    <w:rsid w:val="000C0EBA"/>
    <w:pPr>
      <w:spacing w:before="40" w:line="280" w:lineRule="atLeast"/>
    </w:pPr>
    <w:rPr>
      <w:rFonts w:eastAsiaTheme="minorEastAsia"/>
      <w:b/>
      <w:color w:val="FFFFFF" w:themeColor="background1"/>
      <w:szCs w:val="24"/>
    </w:rPr>
  </w:style>
  <w:style w:type="character" w:customStyle="1" w:styleId="BusinessTableHeaderChar">
    <w:name w:val="Business Table Header Char"/>
    <w:basedOn w:val="DefaultParagraphFont"/>
    <w:link w:val="BusinessTableHeader"/>
    <w:rsid w:val="000C0EBA"/>
    <w:rPr>
      <w:rFonts w:ascii="Arial" w:eastAsiaTheme="minorEastAsia" w:hAnsi="Arial"/>
      <w:b/>
      <w:color w:val="FFFFFF" w:themeColor="background1"/>
      <w:szCs w:val="24"/>
    </w:rPr>
  </w:style>
  <w:style w:type="table" w:styleId="TableClassic3">
    <w:name w:val="Table Classic 3"/>
    <w:basedOn w:val="TableNormal"/>
    <w:uiPriority w:val="99"/>
    <w:semiHidden/>
    <w:unhideWhenUsed/>
    <w:rsid w:val="000C0EBA"/>
    <w:pPr>
      <w:spacing w:before="120"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Caption">
    <w:name w:val="caption"/>
    <w:basedOn w:val="Normal"/>
    <w:next w:val="Normal"/>
    <w:uiPriority w:val="35"/>
    <w:unhideWhenUsed/>
    <w:qFormat/>
    <w:rsid w:val="000C0EBA"/>
    <w:pPr>
      <w:spacing w:before="0" w:after="200"/>
    </w:pPr>
    <w:rPr>
      <w:i/>
      <w:iCs/>
      <w:color w:val="44546A" w:themeColor="text2"/>
      <w:sz w:val="18"/>
      <w:szCs w:val="18"/>
    </w:rPr>
  </w:style>
  <w:style w:type="paragraph" w:customStyle="1" w:styleId="sotext">
    <w:name w:val="sotext"/>
    <w:basedOn w:val="Normal"/>
    <w:rsid w:val="002A378A"/>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opara">
    <w:name w:val="sopara"/>
    <w:basedOn w:val="Normal"/>
    <w:rsid w:val="002A378A"/>
    <w:pPr>
      <w:spacing w:before="100" w:beforeAutospacing="1" w:after="100" w:afterAutospacing="1"/>
    </w:pPr>
    <w:rPr>
      <w:rFonts w:ascii="Times New Roman" w:eastAsia="Times New Roman" w:hAnsi="Times New Roman" w:cs="Times New Roman"/>
      <w:sz w:val="24"/>
      <w:szCs w:val="24"/>
      <w:lang w:eastAsia="en-AU"/>
    </w:rPr>
  </w:style>
  <w:style w:type="character" w:styleId="IntenseReference">
    <w:name w:val="Intense Reference"/>
    <w:basedOn w:val="DefaultParagraphFont"/>
    <w:uiPriority w:val="32"/>
    <w:qFormat/>
    <w:rsid w:val="00475952"/>
    <w:rPr>
      <w:b/>
      <w:bCs/>
      <w:smallCaps/>
      <w:color w:val="5B9BD5" w:themeColor="accent1"/>
      <w:spacing w:val="5"/>
    </w:rPr>
  </w:style>
  <w:style w:type="paragraph" w:customStyle="1" w:styleId="FootnoteLFSR">
    <w:name w:val="Footnote LFSR"/>
    <w:basedOn w:val="FootnoteText"/>
    <w:link w:val="FootnoteLFSRChar"/>
    <w:qFormat/>
    <w:rsid w:val="003C7DA0"/>
  </w:style>
  <w:style w:type="character" w:customStyle="1" w:styleId="FootnoteLFSRChar">
    <w:name w:val="Footnote LFSR Char"/>
    <w:basedOn w:val="DefaultParagraphFont"/>
    <w:link w:val="FootnoteLFSR"/>
    <w:rsid w:val="003C7DA0"/>
    <w:rPr>
      <w:sz w:val="20"/>
      <w:szCs w:val="20"/>
    </w:rPr>
  </w:style>
  <w:style w:type="paragraph" w:styleId="NormalWeb">
    <w:name w:val="Normal (Web)"/>
    <w:basedOn w:val="Normal"/>
    <w:uiPriority w:val="99"/>
    <w:unhideWhenUsed/>
    <w:rsid w:val="006E3695"/>
    <w:pPr>
      <w:spacing w:before="0" w:after="0"/>
      <w:textAlignment w:val="baseline"/>
    </w:pPr>
    <w:rPr>
      <w:rFonts w:ascii="Times New Roman" w:eastAsia="Times New Roman" w:hAnsi="Times New Roman" w:cs="Times New Roman"/>
      <w:sz w:val="24"/>
      <w:szCs w:val="24"/>
      <w:lang w:eastAsia="zh-CN"/>
    </w:rPr>
  </w:style>
  <w:style w:type="paragraph" w:styleId="Revision">
    <w:name w:val="Revision"/>
    <w:hidden/>
    <w:uiPriority w:val="99"/>
    <w:semiHidden/>
    <w:rsid w:val="001160A7"/>
    <w:pPr>
      <w:spacing w:after="0" w:line="240" w:lineRule="auto"/>
    </w:pPr>
    <w:rPr>
      <w:rFonts w:ascii="Arial" w:hAnsi="Arial"/>
    </w:rPr>
  </w:style>
  <w:style w:type="paragraph" w:customStyle="1" w:styleId="CABParagraph">
    <w:name w:val="CAB Paragraph"/>
    <w:basedOn w:val="BodyText"/>
    <w:link w:val="CABParagraphChar"/>
    <w:uiPriority w:val="98"/>
    <w:qFormat/>
    <w:rsid w:val="006D692B"/>
    <w:pPr>
      <w:spacing w:after="0"/>
    </w:pPr>
    <w:rPr>
      <w:rFonts w:ascii="Arial" w:hAnsi="Arial"/>
    </w:rPr>
  </w:style>
  <w:style w:type="character" w:customStyle="1" w:styleId="CABParagraphChar">
    <w:name w:val="CAB Paragraph Char"/>
    <w:basedOn w:val="DefaultParagraphFont"/>
    <w:link w:val="CABParagraph"/>
    <w:uiPriority w:val="98"/>
    <w:rsid w:val="006D692B"/>
    <w:rPr>
      <w:rFonts w:ascii="Arial" w:hAnsi="Arial"/>
    </w:rPr>
  </w:style>
  <w:style w:type="paragraph" w:customStyle="1" w:styleId="CABBulletList">
    <w:name w:val="CAB Bullet List"/>
    <w:basedOn w:val="ListParagraph"/>
    <w:uiPriority w:val="98"/>
    <w:qFormat/>
    <w:rsid w:val="00D94918"/>
    <w:pPr>
      <w:tabs>
        <w:tab w:val="left" w:pos="851"/>
      </w:tabs>
      <w:spacing w:before="60" w:after="60"/>
      <w:ind w:left="850" w:hanging="288"/>
    </w:pPr>
    <w:rPr>
      <w:rFonts w:ascii="Arial" w:hAnsi="Arial"/>
    </w:rPr>
  </w:style>
  <w:style w:type="paragraph" w:customStyle="1" w:styleId="CaptionLFSR">
    <w:name w:val="Caption LFSR"/>
    <w:basedOn w:val="Normal"/>
    <w:link w:val="CaptionLFSRChar"/>
    <w:qFormat/>
    <w:rsid w:val="00177C26"/>
    <w:pPr>
      <w:keepNext/>
      <w:suppressAutoHyphens/>
      <w:autoSpaceDE w:val="0"/>
      <w:autoSpaceDN w:val="0"/>
      <w:adjustRightInd w:val="0"/>
      <w:spacing w:line="280" w:lineRule="atLeast"/>
      <w:ind w:left="1134" w:hanging="1134"/>
      <w:textAlignment w:val="center"/>
    </w:pPr>
    <w:rPr>
      <w:rFonts w:ascii="Century Gothic" w:hAnsi="Century Gothic" w:cs="Calibri"/>
      <w:b/>
      <w:color w:val="5B9BD5" w:themeColor="accent1"/>
      <w:sz w:val="20"/>
      <w:szCs w:val="20"/>
      <w14:ligatures w14:val="standardContextual"/>
      <w14:numForm w14:val="lining"/>
      <w14:numSpacing w14:val="proportional"/>
      <w14:stylisticSets>
        <w14:styleSet w14:id="1"/>
      </w14:stylisticSets>
    </w:rPr>
  </w:style>
  <w:style w:type="character" w:customStyle="1" w:styleId="CaptionLFSRChar">
    <w:name w:val="Caption LFSR Char"/>
    <w:basedOn w:val="DefaultParagraphFont"/>
    <w:link w:val="CaptionLFSR"/>
    <w:rsid w:val="00177C26"/>
    <w:rPr>
      <w:rFonts w:ascii="Century Gothic" w:hAnsi="Century Gothic" w:cs="Calibri"/>
      <w:b/>
      <w:color w:val="5B9BD5" w:themeColor="accent1"/>
      <w:sz w:val="20"/>
      <w:szCs w:val="20"/>
      <w14:ligatures w14:val="standardContextual"/>
      <w14:numForm w14:val="lining"/>
      <w14:numSpacing w14:val="proportional"/>
      <w14:stylisticSets>
        <w14:styleSet w14:id="1"/>
      </w14:stylisticSets>
    </w:rPr>
  </w:style>
  <w:style w:type="character" w:customStyle="1" w:styleId="FootnotesChar">
    <w:name w:val="Footnotes Char"/>
    <w:basedOn w:val="DefaultParagraphFont"/>
    <w:uiPriority w:val="99"/>
    <w:rsid w:val="00177C26"/>
    <w:rPr>
      <w:rFonts w:ascii="Calibri" w:hAnsi="Calibri" w:cs="Calibri"/>
      <w:color w:val="000000"/>
      <w:w w:val="100"/>
      <w:sz w:val="16"/>
      <w:szCs w:val="16"/>
      <w:lang w:val="en-US"/>
    </w:rPr>
  </w:style>
  <w:style w:type="character" w:customStyle="1" w:styleId="Heading6Char">
    <w:name w:val="Heading 6 Char"/>
    <w:basedOn w:val="DefaultParagraphFont"/>
    <w:link w:val="Heading6"/>
    <w:uiPriority w:val="9"/>
    <w:semiHidden/>
    <w:rsid w:val="001D591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D591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D59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5918"/>
    <w:rPr>
      <w:rFonts w:asciiTheme="majorHAnsi" w:eastAsiaTheme="majorEastAsia" w:hAnsiTheme="majorHAnsi" w:cstheme="majorBidi"/>
      <w:i/>
      <w:iCs/>
      <w:color w:val="272727" w:themeColor="text1" w:themeTint="D8"/>
      <w:sz w:val="21"/>
      <w:szCs w:val="21"/>
    </w:rPr>
  </w:style>
  <w:style w:type="paragraph" w:customStyle="1" w:styleId="10FOOTNOTE">
    <w:name w:val="10. FOOTNOTE"/>
    <w:basedOn w:val="Normal"/>
    <w:uiPriority w:val="99"/>
    <w:rsid w:val="0038133E"/>
    <w:pPr>
      <w:suppressAutoHyphens/>
      <w:autoSpaceDE w:val="0"/>
      <w:autoSpaceDN w:val="0"/>
      <w:adjustRightInd w:val="0"/>
      <w:spacing w:before="0" w:after="80" w:line="220" w:lineRule="atLeast"/>
      <w:ind w:left="227" w:hanging="227"/>
      <w:textAlignment w:val="center"/>
    </w:pPr>
    <w:rPr>
      <w:rFonts w:ascii="Calibri" w:hAnsi="Calibri" w:cs="Calibri"/>
      <w:color w:val="000000"/>
      <w:sz w:val="16"/>
      <w:szCs w:val="16"/>
      <w:lang w:val="en-US"/>
    </w:rPr>
  </w:style>
  <w:style w:type="paragraph" w:customStyle="1" w:styleId="level1">
    <w:name w:val="level1"/>
    <w:basedOn w:val="Normal"/>
    <w:rsid w:val="00B30F8F"/>
    <w:pPr>
      <w:spacing w:before="100" w:beforeAutospacing="1" w:after="100" w:afterAutospacing="1"/>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627E45"/>
    <w:pPr>
      <w:spacing w:before="0" w:after="0"/>
    </w:pPr>
    <w:rPr>
      <w:sz w:val="20"/>
      <w:szCs w:val="20"/>
    </w:rPr>
  </w:style>
  <w:style w:type="character" w:customStyle="1" w:styleId="EndnoteTextChar">
    <w:name w:val="Endnote Text Char"/>
    <w:basedOn w:val="DefaultParagraphFont"/>
    <w:link w:val="EndnoteText"/>
    <w:uiPriority w:val="99"/>
    <w:semiHidden/>
    <w:rsid w:val="00627E45"/>
    <w:rPr>
      <w:rFonts w:ascii="Arial" w:hAnsi="Arial"/>
      <w:sz w:val="20"/>
      <w:szCs w:val="20"/>
    </w:rPr>
  </w:style>
  <w:style w:type="character" w:styleId="EndnoteReference">
    <w:name w:val="endnote reference"/>
    <w:basedOn w:val="DefaultParagraphFont"/>
    <w:uiPriority w:val="99"/>
    <w:semiHidden/>
    <w:unhideWhenUsed/>
    <w:rsid w:val="00627E45"/>
    <w:rPr>
      <w:vertAlign w:val="superscript"/>
    </w:rPr>
  </w:style>
  <w:style w:type="character" w:customStyle="1" w:styleId="Advisorytext">
    <w:name w:val="Advisory text"/>
    <w:basedOn w:val="DefaultParagraphFont"/>
    <w:uiPriority w:val="99"/>
    <w:rsid w:val="005B1D21"/>
    <w:rPr>
      <w:color w:val="FF0000"/>
    </w:rPr>
  </w:style>
  <w:style w:type="character" w:customStyle="1" w:styleId="acopre1">
    <w:name w:val="acopre1"/>
    <w:basedOn w:val="DefaultParagraphFont"/>
    <w:rsid w:val="00D13D74"/>
  </w:style>
  <w:style w:type="paragraph" w:customStyle="1" w:styleId="NumL3HeadingLFSR">
    <w:name w:val="Num L3 Heading LFSR"/>
    <w:basedOn w:val="Heading3"/>
    <w:link w:val="NumL3HeadingLFSRChar"/>
    <w:qFormat/>
    <w:rsid w:val="00811BBF"/>
    <w:pPr>
      <w:keepNext/>
      <w:keepLines/>
      <w:suppressAutoHyphens/>
      <w:autoSpaceDE w:val="0"/>
      <w:autoSpaceDN w:val="0"/>
      <w:adjustRightInd w:val="0"/>
      <w:spacing w:before="240" w:after="360" w:line="280" w:lineRule="atLeast"/>
      <w:ind w:left="567" w:hanging="567"/>
      <w:textAlignment w:val="center"/>
    </w:pPr>
    <w:rPr>
      <w:rFonts w:ascii="Century Gothic" w:hAnsi="Century Gothic" w:cs="Calibri"/>
      <w:bCs w:val="0"/>
      <w:iCs w:val="0"/>
      <w:color w:val="1F4D78" w:themeColor="accent1" w:themeShade="7F"/>
      <w:sz w:val="24"/>
      <w:szCs w:val="24"/>
      <w:lang w:val="en-US"/>
      <w14:ligatures w14:val="standardContextual"/>
      <w14:numForm w14:val="lining"/>
      <w14:numSpacing w14:val="proportional"/>
      <w14:stylisticSets>
        <w14:styleSet w14:id="1"/>
      </w14:stylisticSets>
    </w:rPr>
  </w:style>
  <w:style w:type="character" w:customStyle="1" w:styleId="NumL3HeadingLFSRChar">
    <w:name w:val="Num L3 Heading LFSR Char"/>
    <w:basedOn w:val="DefaultParagraphFont"/>
    <w:link w:val="NumL3HeadingLFSR"/>
    <w:rsid w:val="00811BBF"/>
    <w:rPr>
      <w:rFonts w:ascii="Century Gothic" w:eastAsiaTheme="majorEastAsia" w:hAnsi="Century Gothic" w:cs="Calibri"/>
      <w:b/>
      <w:color w:val="1F4D78" w:themeColor="accent1" w:themeShade="7F"/>
      <w:sz w:val="24"/>
      <w:szCs w:val="24"/>
      <w:lang w:val="en-US"/>
      <w14:ligatures w14:val="standardContextual"/>
      <w14:numForm w14:val="lining"/>
      <w14:numSpacing w14:val="proportional"/>
      <w14:stylisticSets>
        <w14:styleSet w14:id="1"/>
      </w14:stylisticSets>
    </w:rPr>
  </w:style>
  <w:style w:type="paragraph" w:customStyle="1" w:styleId="Referencestable">
    <w:name w:val="References table"/>
    <w:basedOn w:val="Normal"/>
    <w:link w:val="ReferencestableChar"/>
    <w:qFormat/>
    <w:rsid w:val="00811BBF"/>
    <w:pPr>
      <w:widowControl w:val="0"/>
      <w:suppressAutoHyphens/>
      <w:autoSpaceDE w:val="0"/>
      <w:autoSpaceDN w:val="0"/>
      <w:adjustRightInd w:val="0"/>
      <w:spacing w:before="0" w:after="0" w:line="280" w:lineRule="atLeast"/>
      <w:ind w:right="113"/>
      <w:textAlignment w:val="center"/>
    </w:pPr>
    <w:rPr>
      <w:rFonts w:ascii="Cambria" w:hAnsi="Cambria" w:cs="Calibri"/>
      <w:color w:val="000000"/>
      <w:sz w:val="20"/>
      <w:szCs w:val="20"/>
      <w14:ligatures w14:val="standardContextual"/>
      <w14:numForm w14:val="lining"/>
      <w14:numSpacing w14:val="proportional"/>
      <w14:stylisticSets>
        <w14:styleSet w14:id="1"/>
      </w14:stylisticSets>
    </w:rPr>
  </w:style>
  <w:style w:type="character" w:customStyle="1" w:styleId="ReferencestableChar">
    <w:name w:val="References table Char"/>
    <w:basedOn w:val="DefaultParagraphFont"/>
    <w:link w:val="Referencestable"/>
    <w:rsid w:val="00811BBF"/>
    <w:rPr>
      <w:rFonts w:ascii="Cambria" w:hAnsi="Cambria" w:cs="Calibri"/>
      <w:color w:val="000000"/>
      <w:sz w:val="20"/>
      <w:szCs w:val="20"/>
      <w14:ligatures w14:val="standardContextual"/>
      <w14:numForm w14:val="lining"/>
      <w14:numSpacing w14:val="proportional"/>
      <w14:stylisticSets>
        <w14:styleSet w14:id="1"/>
      </w14:stylisticSets>
    </w:rPr>
  </w:style>
  <w:style w:type="paragraph" w:styleId="ListBullet2">
    <w:name w:val="List Bullet 2"/>
    <w:basedOn w:val="Normal"/>
    <w:uiPriority w:val="99"/>
    <w:semiHidden/>
    <w:unhideWhenUsed/>
    <w:rsid w:val="006B45C9"/>
    <w:pPr>
      <w:numPr>
        <w:numId w:val="7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5629">
      <w:bodyDiv w:val="1"/>
      <w:marLeft w:val="0"/>
      <w:marRight w:val="0"/>
      <w:marTop w:val="0"/>
      <w:marBottom w:val="0"/>
      <w:divBdr>
        <w:top w:val="none" w:sz="0" w:space="0" w:color="auto"/>
        <w:left w:val="none" w:sz="0" w:space="0" w:color="auto"/>
        <w:bottom w:val="none" w:sz="0" w:space="0" w:color="auto"/>
        <w:right w:val="none" w:sz="0" w:space="0" w:color="auto"/>
      </w:divBdr>
    </w:div>
    <w:div w:id="143859268">
      <w:bodyDiv w:val="1"/>
      <w:marLeft w:val="0"/>
      <w:marRight w:val="0"/>
      <w:marTop w:val="0"/>
      <w:marBottom w:val="0"/>
      <w:divBdr>
        <w:top w:val="none" w:sz="0" w:space="0" w:color="auto"/>
        <w:left w:val="none" w:sz="0" w:space="0" w:color="auto"/>
        <w:bottom w:val="none" w:sz="0" w:space="0" w:color="auto"/>
        <w:right w:val="none" w:sz="0" w:space="0" w:color="auto"/>
      </w:divBdr>
      <w:divsChild>
        <w:div w:id="1909880654">
          <w:marLeft w:val="0"/>
          <w:marRight w:val="0"/>
          <w:marTop w:val="0"/>
          <w:marBottom w:val="0"/>
          <w:divBdr>
            <w:top w:val="none" w:sz="0" w:space="0" w:color="auto"/>
            <w:left w:val="none" w:sz="0" w:space="0" w:color="auto"/>
            <w:bottom w:val="none" w:sz="0" w:space="0" w:color="auto"/>
            <w:right w:val="none" w:sz="0" w:space="0" w:color="auto"/>
          </w:divBdr>
          <w:divsChild>
            <w:div w:id="2052418604">
              <w:marLeft w:val="0"/>
              <w:marRight w:val="0"/>
              <w:marTop w:val="0"/>
              <w:marBottom w:val="0"/>
              <w:divBdr>
                <w:top w:val="none" w:sz="0" w:space="0" w:color="auto"/>
                <w:left w:val="none" w:sz="0" w:space="0" w:color="auto"/>
                <w:bottom w:val="none" w:sz="0" w:space="0" w:color="auto"/>
                <w:right w:val="none" w:sz="0" w:space="0" w:color="auto"/>
              </w:divBdr>
              <w:divsChild>
                <w:div w:id="796459208">
                  <w:marLeft w:val="0"/>
                  <w:marRight w:val="0"/>
                  <w:marTop w:val="0"/>
                  <w:marBottom w:val="0"/>
                  <w:divBdr>
                    <w:top w:val="none" w:sz="0" w:space="0" w:color="auto"/>
                    <w:left w:val="none" w:sz="0" w:space="0" w:color="auto"/>
                    <w:bottom w:val="none" w:sz="0" w:space="0" w:color="auto"/>
                    <w:right w:val="none" w:sz="0" w:space="0" w:color="auto"/>
                  </w:divBdr>
                  <w:divsChild>
                    <w:div w:id="391664323">
                      <w:marLeft w:val="0"/>
                      <w:marRight w:val="0"/>
                      <w:marTop w:val="0"/>
                      <w:marBottom w:val="0"/>
                      <w:divBdr>
                        <w:top w:val="none" w:sz="0" w:space="0" w:color="auto"/>
                        <w:left w:val="none" w:sz="0" w:space="0" w:color="auto"/>
                        <w:bottom w:val="none" w:sz="0" w:space="0" w:color="auto"/>
                        <w:right w:val="none" w:sz="0" w:space="0" w:color="auto"/>
                      </w:divBdr>
                      <w:divsChild>
                        <w:div w:id="280577123">
                          <w:marLeft w:val="0"/>
                          <w:marRight w:val="0"/>
                          <w:marTop w:val="0"/>
                          <w:marBottom w:val="0"/>
                          <w:divBdr>
                            <w:top w:val="none" w:sz="0" w:space="0" w:color="auto"/>
                            <w:left w:val="none" w:sz="0" w:space="0" w:color="auto"/>
                            <w:bottom w:val="none" w:sz="0" w:space="0" w:color="auto"/>
                            <w:right w:val="none" w:sz="0" w:space="0" w:color="auto"/>
                          </w:divBdr>
                          <w:divsChild>
                            <w:div w:id="465860497">
                              <w:marLeft w:val="0"/>
                              <w:marRight w:val="0"/>
                              <w:marTop w:val="0"/>
                              <w:marBottom w:val="0"/>
                              <w:divBdr>
                                <w:top w:val="none" w:sz="0" w:space="0" w:color="auto"/>
                                <w:left w:val="none" w:sz="0" w:space="0" w:color="auto"/>
                                <w:bottom w:val="none" w:sz="0" w:space="0" w:color="auto"/>
                                <w:right w:val="none" w:sz="0" w:space="0" w:color="auto"/>
                              </w:divBdr>
                              <w:divsChild>
                                <w:div w:id="2134712279">
                                  <w:marLeft w:val="0"/>
                                  <w:marRight w:val="0"/>
                                  <w:marTop w:val="0"/>
                                  <w:marBottom w:val="0"/>
                                  <w:divBdr>
                                    <w:top w:val="none" w:sz="0" w:space="0" w:color="auto"/>
                                    <w:left w:val="none" w:sz="0" w:space="0" w:color="auto"/>
                                    <w:bottom w:val="none" w:sz="0" w:space="0" w:color="auto"/>
                                    <w:right w:val="none" w:sz="0" w:space="0" w:color="auto"/>
                                  </w:divBdr>
                                  <w:divsChild>
                                    <w:div w:id="1969434981">
                                      <w:marLeft w:val="0"/>
                                      <w:marRight w:val="0"/>
                                      <w:marTop w:val="0"/>
                                      <w:marBottom w:val="0"/>
                                      <w:divBdr>
                                        <w:top w:val="none" w:sz="0" w:space="0" w:color="auto"/>
                                        <w:left w:val="none" w:sz="0" w:space="0" w:color="auto"/>
                                        <w:bottom w:val="none" w:sz="0" w:space="0" w:color="auto"/>
                                        <w:right w:val="none" w:sz="0" w:space="0" w:color="auto"/>
                                      </w:divBdr>
                                      <w:divsChild>
                                        <w:div w:id="91320361">
                                          <w:marLeft w:val="0"/>
                                          <w:marRight w:val="0"/>
                                          <w:marTop w:val="0"/>
                                          <w:marBottom w:val="0"/>
                                          <w:divBdr>
                                            <w:top w:val="none" w:sz="0" w:space="0" w:color="auto"/>
                                            <w:left w:val="none" w:sz="0" w:space="0" w:color="auto"/>
                                            <w:bottom w:val="none" w:sz="0" w:space="0" w:color="auto"/>
                                            <w:right w:val="none" w:sz="0" w:space="0" w:color="auto"/>
                                          </w:divBdr>
                                          <w:divsChild>
                                            <w:div w:id="1978872762">
                                              <w:marLeft w:val="0"/>
                                              <w:marRight w:val="0"/>
                                              <w:marTop w:val="0"/>
                                              <w:marBottom w:val="0"/>
                                              <w:divBdr>
                                                <w:top w:val="none" w:sz="0" w:space="0" w:color="auto"/>
                                                <w:left w:val="none" w:sz="0" w:space="0" w:color="auto"/>
                                                <w:bottom w:val="none" w:sz="0" w:space="0" w:color="auto"/>
                                                <w:right w:val="none" w:sz="0" w:space="0" w:color="auto"/>
                                              </w:divBdr>
                                              <w:divsChild>
                                                <w:div w:id="1115757563">
                                                  <w:marLeft w:val="0"/>
                                                  <w:marRight w:val="0"/>
                                                  <w:marTop w:val="0"/>
                                                  <w:marBottom w:val="0"/>
                                                  <w:divBdr>
                                                    <w:top w:val="none" w:sz="0" w:space="0" w:color="auto"/>
                                                    <w:left w:val="none" w:sz="0" w:space="0" w:color="auto"/>
                                                    <w:bottom w:val="none" w:sz="0" w:space="0" w:color="auto"/>
                                                    <w:right w:val="none" w:sz="0" w:space="0" w:color="auto"/>
                                                  </w:divBdr>
                                                  <w:divsChild>
                                                    <w:div w:id="1501503962">
                                                      <w:marLeft w:val="0"/>
                                                      <w:marRight w:val="0"/>
                                                      <w:marTop w:val="0"/>
                                                      <w:marBottom w:val="0"/>
                                                      <w:divBdr>
                                                        <w:top w:val="none" w:sz="0" w:space="0" w:color="auto"/>
                                                        <w:left w:val="none" w:sz="0" w:space="0" w:color="auto"/>
                                                        <w:bottom w:val="none" w:sz="0" w:space="0" w:color="auto"/>
                                                        <w:right w:val="none" w:sz="0" w:space="0" w:color="auto"/>
                                                      </w:divBdr>
                                                      <w:divsChild>
                                                        <w:div w:id="2034257134">
                                                          <w:marLeft w:val="0"/>
                                                          <w:marRight w:val="0"/>
                                                          <w:marTop w:val="0"/>
                                                          <w:marBottom w:val="0"/>
                                                          <w:divBdr>
                                                            <w:top w:val="none" w:sz="0" w:space="0" w:color="auto"/>
                                                            <w:left w:val="none" w:sz="0" w:space="0" w:color="auto"/>
                                                            <w:bottom w:val="none" w:sz="0" w:space="0" w:color="auto"/>
                                                            <w:right w:val="none" w:sz="0" w:space="0" w:color="auto"/>
                                                          </w:divBdr>
                                                          <w:divsChild>
                                                            <w:div w:id="1317605684">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sChild>
                    </w:div>
                  </w:divsChild>
                </w:div>
              </w:divsChild>
            </w:div>
          </w:divsChild>
        </w:div>
      </w:divsChild>
    </w:div>
    <w:div w:id="156380688">
      <w:bodyDiv w:val="1"/>
      <w:marLeft w:val="0"/>
      <w:marRight w:val="0"/>
      <w:marTop w:val="0"/>
      <w:marBottom w:val="0"/>
      <w:divBdr>
        <w:top w:val="none" w:sz="0" w:space="0" w:color="auto"/>
        <w:left w:val="none" w:sz="0" w:space="0" w:color="auto"/>
        <w:bottom w:val="none" w:sz="0" w:space="0" w:color="auto"/>
        <w:right w:val="none" w:sz="0" w:space="0" w:color="auto"/>
      </w:divBdr>
      <w:divsChild>
        <w:div w:id="1519929904">
          <w:marLeft w:val="0"/>
          <w:marRight w:val="0"/>
          <w:marTop w:val="0"/>
          <w:marBottom w:val="0"/>
          <w:divBdr>
            <w:top w:val="none" w:sz="0" w:space="0" w:color="auto"/>
            <w:left w:val="none" w:sz="0" w:space="0" w:color="auto"/>
            <w:bottom w:val="none" w:sz="0" w:space="0" w:color="auto"/>
            <w:right w:val="none" w:sz="0" w:space="0" w:color="auto"/>
          </w:divBdr>
          <w:divsChild>
            <w:div w:id="762411993">
              <w:marLeft w:val="0"/>
              <w:marRight w:val="0"/>
              <w:marTop w:val="0"/>
              <w:marBottom w:val="0"/>
              <w:divBdr>
                <w:top w:val="none" w:sz="0" w:space="0" w:color="auto"/>
                <w:left w:val="none" w:sz="0" w:space="0" w:color="auto"/>
                <w:bottom w:val="none" w:sz="0" w:space="0" w:color="auto"/>
                <w:right w:val="none" w:sz="0" w:space="0" w:color="auto"/>
              </w:divBdr>
              <w:divsChild>
                <w:div w:id="522286173">
                  <w:marLeft w:val="0"/>
                  <w:marRight w:val="0"/>
                  <w:marTop w:val="0"/>
                  <w:marBottom w:val="0"/>
                  <w:divBdr>
                    <w:top w:val="none" w:sz="0" w:space="0" w:color="auto"/>
                    <w:left w:val="none" w:sz="0" w:space="0" w:color="auto"/>
                    <w:bottom w:val="none" w:sz="0" w:space="0" w:color="auto"/>
                    <w:right w:val="none" w:sz="0" w:space="0" w:color="auto"/>
                  </w:divBdr>
                  <w:divsChild>
                    <w:div w:id="166945136">
                      <w:marLeft w:val="150"/>
                      <w:marRight w:val="150"/>
                      <w:marTop w:val="0"/>
                      <w:marBottom w:val="0"/>
                      <w:divBdr>
                        <w:top w:val="none" w:sz="0" w:space="0" w:color="auto"/>
                        <w:left w:val="none" w:sz="0" w:space="0" w:color="auto"/>
                        <w:bottom w:val="none" w:sz="0" w:space="0" w:color="auto"/>
                        <w:right w:val="none" w:sz="0" w:space="0" w:color="auto"/>
                      </w:divBdr>
                      <w:divsChild>
                        <w:div w:id="1753702720">
                          <w:marLeft w:val="0"/>
                          <w:marRight w:val="0"/>
                          <w:marTop w:val="0"/>
                          <w:marBottom w:val="0"/>
                          <w:divBdr>
                            <w:top w:val="none" w:sz="0" w:space="0" w:color="auto"/>
                            <w:left w:val="none" w:sz="0" w:space="0" w:color="auto"/>
                            <w:bottom w:val="none" w:sz="0" w:space="0" w:color="auto"/>
                            <w:right w:val="none" w:sz="0" w:space="0" w:color="auto"/>
                          </w:divBdr>
                          <w:divsChild>
                            <w:div w:id="1279293991">
                              <w:marLeft w:val="0"/>
                              <w:marRight w:val="0"/>
                              <w:marTop w:val="0"/>
                              <w:marBottom w:val="0"/>
                              <w:divBdr>
                                <w:top w:val="none" w:sz="0" w:space="0" w:color="auto"/>
                                <w:left w:val="none" w:sz="0" w:space="0" w:color="auto"/>
                                <w:bottom w:val="none" w:sz="0" w:space="0" w:color="auto"/>
                                <w:right w:val="none" w:sz="0" w:space="0" w:color="auto"/>
                              </w:divBdr>
                              <w:divsChild>
                                <w:div w:id="920137720">
                                  <w:marLeft w:val="0"/>
                                  <w:marRight w:val="0"/>
                                  <w:marTop w:val="0"/>
                                  <w:marBottom w:val="0"/>
                                  <w:divBdr>
                                    <w:top w:val="none" w:sz="0" w:space="0" w:color="auto"/>
                                    <w:left w:val="none" w:sz="0" w:space="0" w:color="auto"/>
                                    <w:bottom w:val="none" w:sz="0" w:space="0" w:color="auto"/>
                                    <w:right w:val="none" w:sz="0" w:space="0" w:color="auto"/>
                                  </w:divBdr>
                                  <w:divsChild>
                                    <w:div w:id="2012639391">
                                      <w:marLeft w:val="0"/>
                                      <w:marRight w:val="0"/>
                                      <w:marTop w:val="0"/>
                                      <w:marBottom w:val="0"/>
                                      <w:divBdr>
                                        <w:top w:val="none" w:sz="0" w:space="0" w:color="auto"/>
                                        <w:left w:val="none" w:sz="0" w:space="0" w:color="auto"/>
                                        <w:bottom w:val="none" w:sz="0" w:space="0" w:color="auto"/>
                                        <w:right w:val="none" w:sz="0" w:space="0" w:color="auto"/>
                                      </w:divBdr>
                                      <w:divsChild>
                                        <w:div w:id="1683625061">
                                          <w:marLeft w:val="0"/>
                                          <w:marRight w:val="0"/>
                                          <w:marTop w:val="0"/>
                                          <w:marBottom w:val="0"/>
                                          <w:divBdr>
                                            <w:top w:val="none" w:sz="0" w:space="0" w:color="auto"/>
                                            <w:left w:val="none" w:sz="0" w:space="0" w:color="auto"/>
                                            <w:bottom w:val="none" w:sz="0" w:space="0" w:color="auto"/>
                                            <w:right w:val="none" w:sz="0" w:space="0" w:color="auto"/>
                                          </w:divBdr>
                                          <w:divsChild>
                                            <w:div w:id="573777307">
                                              <w:marLeft w:val="0"/>
                                              <w:marRight w:val="0"/>
                                              <w:marTop w:val="0"/>
                                              <w:marBottom w:val="0"/>
                                              <w:divBdr>
                                                <w:top w:val="none" w:sz="0" w:space="0" w:color="auto"/>
                                                <w:left w:val="none" w:sz="0" w:space="0" w:color="auto"/>
                                                <w:bottom w:val="none" w:sz="0" w:space="0" w:color="auto"/>
                                                <w:right w:val="none" w:sz="0" w:space="0" w:color="auto"/>
                                              </w:divBdr>
                                              <w:divsChild>
                                                <w:div w:id="1133523842">
                                                  <w:marLeft w:val="0"/>
                                                  <w:marRight w:val="0"/>
                                                  <w:marTop w:val="0"/>
                                                  <w:marBottom w:val="0"/>
                                                  <w:divBdr>
                                                    <w:top w:val="none" w:sz="0" w:space="0" w:color="auto"/>
                                                    <w:left w:val="none" w:sz="0" w:space="0" w:color="auto"/>
                                                    <w:bottom w:val="none" w:sz="0" w:space="0" w:color="auto"/>
                                                    <w:right w:val="none" w:sz="0" w:space="0" w:color="auto"/>
                                                  </w:divBdr>
                                                  <w:divsChild>
                                                    <w:div w:id="496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8435">
                                              <w:marLeft w:val="0"/>
                                              <w:marRight w:val="0"/>
                                              <w:marTop w:val="0"/>
                                              <w:marBottom w:val="0"/>
                                              <w:divBdr>
                                                <w:top w:val="none" w:sz="0" w:space="0" w:color="auto"/>
                                                <w:left w:val="none" w:sz="0" w:space="0" w:color="auto"/>
                                                <w:bottom w:val="none" w:sz="0" w:space="0" w:color="auto"/>
                                                <w:right w:val="none" w:sz="0" w:space="0" w:color="auto"/>
                                              </w:divBdr>
                                              <w:divsChild>
                                                <w:div w:id="1304385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496364">
          <w:marLeft w:val="0"/>
          <w:marRight w:val="0"/>
          <w:marTop w:val="0"/>
          <w:marBottom w:val="0"/>
          <w:divBdr>
            <w:top w:val="single" w:sz="6" w:space="4" w:color="FFFFFF"/>
            <w:left w:val="single" w:sz="6" w:space="8" w:color="FFFFFF"/>
            <w:bottom w:val="single" w:sz="6" w:space="4" w:color="FFFFFF"/>
            <w:right w:val="single" w:sz="6" w:space="8" w:color="FFFFFF"/>
          </w:divBdr>
        </w:div>
      </w:divsChild>
    </w:div>
    <w:div w:id="209461421">
      <w:bodyDiv w:val="1"/>
      <w:marLeft w:val="0"/>
      <w:marRight w:val="0"/>
      <w:marTop w:val="0"/>
      <w:marBottom w:val="0"/>
      <w:divBdr>
        <w:top w:val="none" w:sz="0" w:space="0" w:color="auto"/>
        <w:left w:val="none" w:sz="0" w:space="0" w:color="auto"/>
        <w:bottom w:val="none" w:sz="0" w:space="0" w:color="auto"/>
        <w:right w:val="none" w:sz="0" w:space="0" w:color="auto"/>
      </w:divBdr>
    </w:div>
    <w:div w:id="377172817">
      <w:bodyDiv w:val="1"/>
      <w:marLeft w:val="0"/>
      <w:marRight w:val="0"/>
      <w:marTop w:val="0"/>
      <w:marBottom w:val="0"/>
      <w:divBdr>
        <w:top w:val="none" w:sz="0" w:space="0" w:color="auto"/>
        <w:left w:val="none" w:sz="0" w:space="0" w:color="auto"/>
        <w:bottom w:val="none" w:sz="0" w:space="0" w:color="auto"/>
        <w:right w:val="none" w:sz="0" w:space="0" w:color="auto"/>
      </w:divBdr>
    </w:div>
    <w:div w:id="462236027">
      <w:bodyDiv w:val="1"/>
      <w:marLeft w:val="0"/>
      <w:marRight w:val="0"/>
      <w:marTop w:val="0"/>
      <w:marBottom w:val="0"/>
      <w:divBdr>
        <w:top w:val="none" w:sz="0" w:space="0" w:color="auto"/>
        <w:left w:val="none" w:sz="0" w:space="0" w:color="auto"/>
        <w:bottom w:val="none" w:sz="0" w:space="0" w:color="auto"/>
        <w:right w:val="none" w:sz="0" w:space="0" w:color="auto"/>
      </w:divBdr>
    </w:div>
    <w:div w:id="497119603">
      <w:bodyDiv w:val="1"/>
      <w:marLeft w:val="0"/>
      <w:marRight w:val="0"/>
      <w:marTop w:val="0"/>
      <w:marBottom w:val="0"/>
      <w:divBdr>
        <w:top w:val="none" w:sz="0" w:space="0" w:color="auto"/>
        <w:left w:val="none" w:sz="0" w:space="0" w:color="auto"/>
        <w:bottom w:val="none" w:sz="0" w:space="0" w:color="auto"/>
        <w:right w:val="none" w:sz="0" w:space="0" w:color="auto"/>
      </w:divBdr>
    </w:div>
    <w:div w:id="893277052">
      <w:bodyDiv w:val="1"/>
      <w:marLeft w:val="0"/>
      <w:marRight w:val="0"/>
      <w:marTop w:val="0"/>
      <w:marBottom w:val="0"/>
      <w:divBdr>
        <w:top w:val="none" w:sz="0" w:space="0" w:color="auto"/>
        <w:left w:val="none" w:sz="0" w:space="0" w:color="auto"/>
        <w:bottom w:val="none" w:sz="0" w:space="0" w:color="auto"/>
        <w:right w:val="none" w:sz="0" w:space="0" w:color="auto"/>
      </w:divBdr>
    </w:div>
    <w:div w:id="1071735439">
      <w:bodyDiv w:val="1"/>
      <w:marLeft w:val="0"/>
      <w:marRight w:val="0"/>
      <w:marTop w:val="0"/>
      <w:marBottom w:val="0"/>
      <w:divBdr>
        <w:top w:val="none" w:sz="0" w:space="0" w:color="auto"/>
        <w:left w:val="none" w:sz="0" w:space="0" w:color="auto"/>
        <w:bottom w:val="none" w:sz="0" w:space="0" w:color="auto"/>
        <w:right w:val="none" w:sz="0" w:space="0" w:color="auto"/>
      </w:divBdr>
    </w:div>
    <w:div w:id="1207177241">
      <w:bodyDiv w:val="1"/>
      <w:marLeft w:val="0"/>
      <w:marRight w:val="0"/>
      <w:marTop w:val="0"/>
      <w:marBottom w:val="0"/>
      <w:divBdr>
        <w:top w:val="none" w:sz="0" w:space="0" w:color="auto"/>
        <w:left w:val="none" w:sz="0" w:space="0" w:color="auto"/>
        <w:bottom w:val="none" w:sz="0" w:space="0" w:color="auto"/>
        <w:right w:val="none" w:sz="0" w:space="0" w:color="auto"/>
      </w:divBdr>
    </w:div>
    <w:div w:id="1257981894">
      <w:bodyDiv w:val="1"/>
      <w:marLeft w:val="0"/>
      <w:marRight w:val="0"/>
      <w:marTop w:val="0"/>
      <w:marBottom w:val="0"/>
      <w:divBdr>
        <w:top w:val="none" w:sz="0" w:space="0" w:color="auto"/>
        <w:left w:val="none" w:sz="0" w:space="0" w:color="auto"/>
        <w:bottom w:val="none" w:sz="0" w:space="0" w:color="auto"/>
        <w:right w:val="none" w:sz="0" w:space="0" w:color="auto"/>
      </w:divBdr>
      <w:divsChild>
        <w:div w:id="736705370">
          <w:marLeft w:val="0"/>
          <w:marRight w:val="0"/>
          <w:marTop w:val="0"/>
          <w:marBottom w:val="0"/>
          <w:divBdr>
            <w:top w:val="none" w:sz="0" w:space="0" w:color="auto"/>
            <w:left w:val="none" w:sz="0" w:space="0" w:color="auto"/>
            <w:bottom w:val="none" w:sz="0" w:space="0" w:color="auto"/>
            <w:right w:val="none" w:sz="0" w:space="0" w:color="auto"/>
          </w:divBdr>
          <w:divsChild>
            <w:div w:id="1164316344">
              <w:marLeft w:val="0"/>
              <w:marRight w:val="0"/>
              <w:marTop w:val="0"/>
              <w:marBottom w:val="0"/>
              <w:divBdr>
                <w:top w:val="none" w:sz="0" w:space="0" w:color="auto"/>
                <w:left w:val="none" w:sz="0" w:space="0" w:color="auto"/>
                <w:bottom w:val="none" w:sz="0" w:space="0" w:color="auto"/>
                <w:right w:val="none" w:sz="0" w:space="0" w:color="auto"/>
              </w:divBdr>
              <w:divsChild>
                <w:div w:id="1208878826">
                  <w:marLeft w:val="0"/>
                  <w:marRight w:val="0"/>
                  <w:marTop w:val="0"/>
                  <w:marBottom w:val="0"/>
                  <w:divBdr>
                    <w:top w:val="none" w:sz="0" w:space="0" w:color="auto"/>
                    <w:left w:val="none" w:sz="0" w:space="0" w:color="auto"/>
                    <w:bottom w:val="none" w:sz="0" w:space="0" w:color="auto"/>
                    <w:right w:val="none" w:sz="0" w:space="0" w:color="auto"/>
                  </w:divBdr>
                  <w:divsChild>
                    <w:div w:id="29960380">
                      <w:marLeft w:val="150"/>
                      <w:marRight w:val="150"/>
                      <w:marTop w:val="0"/>
                      <w:marBottom w:val="0"/>
                      <w:divBdr>
                        <w:top w:val="none" w:sz="0" w:space="0" w:color="auto"/>
                        <w:left w:val="none" w:sz="0" w:space="0" w:color="auto"/>
                        <w:bottom w:val="none" w:sz="0" w:space="0" w:color="auto"/>
                        <w:right w:val="none" w:sz="0" w:space="0" w:color="auto"/>
                      </w:divBdr>
                      <w:divsChild>
                        <w:div w:id="1310477030">
                          <w:marLeft w:val="0"/>
                          <w:marRight w:val="0"/>
                          <w:marTop w:val="0"/>
                          <w:marBottom w:val="0"/>
                          <w:divBdr>
                            <w:top w:val="none" w:sz="0" w:space="0" w:color="auto"/>
                            <w:left w:val="none" w:sz="0" w:space="0" w:color="auto"/>
                            <w:bottom w:val="none" w:sz="0" w:space="0" w:color="auto"/>
                            <w:right w:val="none" w:sz="0" w:space="0" w:color="auto"/>
                          </w:divBdr>
                          <w:divsChild>
                            <w:div w:id="385029183">
                              <w:marLeft w:val="0"/>
                              <w:marRight w:val="0"/>
                              <w:marTop w:val="0"/>
                              <w:marBottom w:val="0"/>
                              <w:divBdr>
                                <w:top w:val="none" w:sz="0" w:space="0" w:color="auto"/>
                                <w:left w:val="none" w:sz="0" w:space="0" w:color="auto"/>
                                <w:bottom w:val="none" w:sz="0" w:space="0" w:color="auto"/>
                                <w:right w:val="none" w:sz="0" w:space="0" w:color="auto"/>
                              </w:divBdr>
                              <w:divsChild>
                                <w:div w:id="441344377">
                                  <w:marLeft w:val="0"/>
                                  <w:marRight w:val="0"/>
                                  <w:marTop w:val="0"/>
                                  <w:marBottom w:val="0"/>
                                  <w:divBdr>
                                    <w:top w:val="none" w:sz="0" w:space="0" w:color="auto"/>
                                    <w:left w:val="none" w:sz="0" w:space="0" w:color="auto"/>
                                    <w:bottom w:val="none" w:sz="0" w:space="0" w:color="auto"/>
                                    <w:right w:val="none" w:sz="0" w:space="0" w:color="auto"/>
                                  </w:divBdr>
                                  <w:divsChild>
                                    <w:div w:id="1508010325">
                                      <w:marLeft w:val="0"/>
                                      <w:marRight w:val="0"/>
                                      <w:marTop w:val="0"/>
                                      <w:marBottom w:val="0"/>
                                      <w:divBdr>
                                        <w:top w:val="none" w:sz="0" w:space="0" w:color="auto"/>
                                        <w:left w:val="none" w:sz="0" w:space="0" w:color="auto"/>
                                        <w:bottom w:val="none" w:sz="0" w:space="0" w:color="auto"/>
                                        <w:right w:val="none" w:sz="0" w:space="0" w:color="auto"/>
                                      </w:divBdr>
                                      <w:divsChild>
                                        <w:div w:id="111750943">
                                          <w:marLeft w:val="0"/>
                                          <w:marRight w:val="0"/>
                                          <w:marTop w:val="0"/>
                                          <w:marBottom w:val="0"/>
                                          <w:divBdr>
                                            <w:top w:val="none" w:sz="0" w:space="0" w:color="auto"/>
                                            <w:left w:val="none" w:sz="0" w:space="0" w:color="auto"/>
                                            <w:bottom w:val="none" w:sz="0" w:space="0" w:color="auto"/>
                                            <w:right w:val="none" w:sz="0" w:space="0" w:color="auto"/>
                                          </w:divBdr>
                                          <w:divsChild>
                                            <w:div w:id="2111270217">
                                              <w:marLeft w:val="0"/>
                                              <w:marRight w:val="0"/>
                                              <w:marTop w:val="0"/>
                                              <w:marBottom w:val="0"/>
                                              <w:divBdr>
                                                <w:top w:val="none" w:sz="0" w:space="0" w:color="auto"/>
                                                <w:left w:val="none" w:sz="0" w:space="0" w:color="auto"/>
                                                <w:bottom w:val="none" w:sz="0" w:space="0" w:color="auto"/>
                                                <w:right w:val="none" w:sz="0" w:space="0" w:color="auto"/>
                                              </w:divBdr>
                                              <w:divsChild>
                                                <w:div w:id="952636934">
                                                  <w:marLeft w:val="0"/>
                                                  <w:marRight w:val="0"/>
                                                  <w:marTop w:val="0"/>
                                                  <w:marBottom w:val="0"/>
                                                  <w:divBdr>
                                                    <w:top w:val="none" w:sz="0" w:space="0" w:color="auto"/>
                                                    <w:left w:val="none" w:sz="0" w:space="0" w:color="auto"/>
                                                    <w:bottom w:val="none" w:sz="0" w:space="0" w:color="auto"/>
                                                    <w:right w:val="none" w:sz="0" w:space="0" w:color="auto"/>
                                                  </w:divBdr>
                                                  <w:divsChild>
                                                    <w:div w:id="89274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3838">
                                              <w:marLeft w:val="0"/>
                                              <w:marRight w:val="0"/>
                                              <w:marTop w:val="0"/>
                                              <w:marBottom w:val="0"/>
                                              <w:divBdr>
                                                <w:top w:val="none" w:sz="0" w:space="0" w:color="auto"/>
                                                <w:left w:val="none" w:sz="0" w:space="0" w:color="auto"/>
                                                <w:bottom w:val="none" w:sz="0" w:space="0" w:color="auto"/>
                                                <w:right w:val="none" w:sz="0" w:space="0" w:color="auto"/>
                                              </w:divBdr>
                                              <w:divsChild>
                                                <w:div w:id="6018430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518356">
          <w:marLeft w:val="0"/>
          <w:marRight w:val="0"/>
          <w:marTop w:val="0"/>
          <w:marBottom w:val="0"/>
          <w:divBdr>
            <w:top w:val="single" w:sz="6" w:space="4" w:color="FFFFFF"/>
            <w:left w:val="single" w:sz="6" w:space="8" w:color="FFFFFF"/>
            <w:bottom w:val="single" w:sz="6" w:space="4" w:color="FFFFFF"/>
            <w:right w:val="single" w:sz="6" w:space="8" w:color="FFFFFF"/>
          </w:divBdr>
        </w:div>
      </w:divsChild>
    </w:div>
    <w:div w:id="1675495819">
      <w:bodyDiv w:val="1"/>
      <w:marLeft w:val="0"/>
      <w:marRight w:val="0"/>
      <w:marTop w:val="0"/>
      <w:marBottom w:val="0"/>
      <w:divBdr>
        <w:top w:val="none" w:sz="0" w:space="0" w:color="auto"/>
        <w:left w:val="none" w:sz="0" w:space="0" w:color="auto"/>
        <w:bottom w:val="none" w:sz="0" w:space="0" w:color="auto"/>
        <w:right w:val="none" w:sz="0" w:space="0" w:color="auto"/>
      </w:divBdr>
      <w:divsChild>
        <w:div w:id="1067149222">
          <w:marLeft w:val="0"/>
          <w:marRight w:val="0"/>
          <w:marTop w:val="0"/>
          <w:marBottom w:val="0"/>
          <w:divBdr>
            <w:top w:val="none" w:sz="0" w:space="0" w:color="auto"/>
            <w:left w:val="none" w:sz="0" w:space="0" w:color="auto"/>
            <w:bottom w:val="none" w:sz="0" w:space="0" w:color="auto"/>
            <w:right w:val="none" w:sz="0" w:space="0" w:color="auto"/>
          </w:divBdr>
          <w:divsChild>
            <w:div w:id="219249881">
              <w:marLeft w:val="0"/>
              <w:marRight w:val="0"/>
              <w:marTop w:val="0"/>
              <w:marBottom w:val="0"/>
              <w:divBdr>
                <w:top w:val="none" w:sz="0" w:space="0" w:color="auto"/>
                <w:left w:val="none" w:sz="0" w:space="0" w:color="auto"/>
                <w:bottom w:val="none" w:sz="0" w:space="0" w:color="auto"/>
                <w:right w:val="none" w:sz="0" w:space="0" w:color="auto"/>
              </w:divBdr>
              <w:divsChild>
                <w:div w:id="2126533435">
                  <w:marLeft w:val="0"/>
                  <w:marRight w:val="0"/>
                  <w:marTop w:val="0"/>
                  <w:marBottom w:val="0"/>
                  <w:divBdr>
                    <w:top w:val="none" w:sz="0" w:space="0" w:color="auto"/>
                    <w:left w:val="none" w:sz="0" w:space="0" w:color="auto"/>
                    <w:bottom w:val="none" w:sz="0" w:space="0" w:color="auto"/>
                    <w:right w:val="none" w:sz="0" w:space="0" w:color="auto"/>
                  </w:divBdr>
                  <w:divsChild>
                    <w:div w:id="247464223">
                      <w:marLeft w:val="0"/>
                      <w:marRight w:val="0"/>
                      <w:marTop w:val="0"/>
                      <w:marBottom w:val="0"/>
                      <w:divBdr>
                        <w:top w:val="none" w:sz="0" w:space="0" w:color="auto"/>
                        <w:left w:val="none" w:sz="0" w:space="0" w:color="auto"/>
                        <w:bottom w:val="none" w:sz="0" w:space="0" w:color="auto"/>
                        <w:right w:val="none" w:sz="0" w:space="0" w:color="auto"/>
                      </w:divBdr>
                      <w:divsChild>
                        <w:div w:id="889457862">
                          <w:marLeft w:val="0"/>
                          <w:marRight w:val="0"/>
                          <w:marTop w:val="0"/>
                          <w:marBottom w:val="0"/>
                          <w:divBdr>
                            <w:top w:val="none" w:sz="0" w:space="0" w:color="auto"/>
                            <w:left w:val="none" w:sz="0" w:space="0" w:color="auto"/>
                            <w:bottom w:val="none" w:sz="0" w:space="0" w:color="auto"/>
                            <w:right w:val="none" w:sz="0" w:space="0" w:color="auto"/>
                          </w:divBdr>
                          <w:divsChild>
                            <w:div w:id="1153252751">
                              <w:marLeft w:val="0"/>
                              <w:marRight w:val="0"/>
                              <w:marTop w:val="0"/>
                              <w:marBottom w:val="0"/>
                              <w:divBdr>
                                <w:top w:val="none" w:sz="0" w:space="0" w:color="auto"/>
                                <w:left w:val="none" w:sz="0" w:space="0" w:color="auto"/>
                                <w:bottom w:val="none" w:sz="0" w:space="0" w:color="auto"/>
                                <w:right w:val="none" w:sz="0" w:space="0" w:color="auto"/>
                              </w:divBdr>
                              <w:divsChild>
                                <w:div w:id="542986094">
                                  <w:marLeft w:val="0"/>
                                  <w:marRight w:val="0"/>
                                  <w:marTop w:val="0"/>
                                  <w:marBottom w:val="0"/>
                                  <w:divBdr>
                                    <w:top w:val="none" w:sz="0" w:space="0" w:color="auto"/>
                                    <w:left w:val="none" w:sz="0" w:space="0" w:color="auto"/>
                                    <w:bottom w:val="none" w:sz="0" w:space="0" w:color="auto"/>
                                    <w:right w:val="none" w:sz="0" w:space="0" w:color="auto"/>
                                  </w:divBdr>
                                  <w:divsChild>
                                    <w:div w:id="7488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084996">
      <w:bodyDiv w:val="1"/>
      <w:marLeft w:val="0"/>
      <w:marRight w:val="0"/>
      <w:marTop w:val="0"/>
      <w:marBottom w:val="0"/>
      <w:divBdr>
        <w:top w:val="none" w:sz="0" w:space="0" w:color="auto"/>
        <w:left w:val="none" w:sz="0" w:space="0" w:color="auto"/>
        <w:bottom w:val="none" w:sz="0" w:space="0" w:color="auto"/>
        <w:right w:val="none" w:sz="0" w:space="0" w:color="auto"/>
      </w:divBdr>
    </w:div>
    <w:div w:id="1787234938">
      <w:bodyDiv w:val="1"/>
      <w:marLeft w:val="0"/>
      <w:marRight w:val="0"/>
      <w:marTop w:val="0"/>
      <w:marBottom w:val="0"/>
      <w:divBdr>
        <w:top w:val="none" w:sz="0" w:space="0" w:color="auto"/>
        <w:left w:val="none" w:sz="0" w:space="0" w:color="auto"/>
        <w:bottom w:val="none" w:sz="0" w:space="0" w:color="auto"/>
        <w:right w:val="none" w:sz="0" w:space="0" w:color="auto"/>
      </w:divBdr>
    </w:div>
    <w:div w:id="1855536721">
      <w:bodyDiv w:val="1"/>
      <w:marLeft w:val="0"/>
      <w:marRight w:val="0"/>
      <w:marTop w:val="0"/>
      <w:marBottom w:val="0"/>
      <w:divBdr>
        <w:top w:val="none" w:sz="0" w:space="0" w:color="auto"/>
        <w:left w:val="none" w:sz="0" w:space="0" w:color="auto"/>
        <w:bottom w:val="none" w:sz="0" w:space="0" w:color="auto"/>
        <w:right w:val="none" w:sz="0" w:space="0" w:color="auto"/>
      </w:divBdr>
    </w:div>
    <w:div w:id="1968314260">
      <w:bodyDiv w:val="1"/>
      <w:marLeft w:val="0"/>
      <w:marRight w:val="0"/>
      <w:marTop w:val="0"/>
      <w:marBottom w:val="0"/>
      <w:divBdr>
        <w:top w:val="none" w:sz="0" w:space="0" w:color="auto"/>
        <w:left w:val="none" w:sz="0" w:space="0" w:color="auto"/>
        <w:bottom w:val="none" w:sz="0" w:space="0" w:color="auto"/>
        <w:right w:val="none" w:sz="0" w:space="0" w:color="auto"/>
      </w:divBdr>
    </w:div>
    <w:div w:id="2024938314">
      <w:bodyDiv w:val="1"/>
      <w:marLeft w:val="0"/>
      <w:marRight w:val="0"/>
      <w:marTop w:val="0"/>
      <w:marBottom w:val="0"/>
      <w:divBdr>
        <w:top w:val="none" w:sz="0" w:space="0" w:color="auto"/>
        <w:left w:val="none" w:sz="0" w:space="0" w:color="auto"/>
        <w:bottom w:val="none" w:sz="0" w:space="0" w:color="auto"/>
        <w:right w:val="none" w:sz="0" w:space="0" w:color="auto"/>
      </w:divBdr>
    </w:div>
    <w:div w:id="2145190837">
      <w:bodyDiv w:val="1"/>
      <w:marLeft w:val="0"/>
      <w:marRight w:val="0"/>
      <w:marTop w:val="0"/>
      <w:marBottom w:val="0"/>
      <w:divBdr>
        <w:top w:val="none" w:sz="0" w:space="0" w:color="auto"/>
        <w:left w:val="none" w:sz="0" w:space="0" w:color="auto"/>
        <w:bottom w:val="none" w:sz="0" w:space="0" w:color="auto"/>
        <w:right w:val="none" w:sz="0" w:space="0" w:color="auto"/>
      </w:divBdr>
      <w:divsChild>
        <w:div w:id="672998990">
          <w:marLeft w:val="0"/>
          <w:marRight w:val="0"/>
          <w:marTop w:val="0"/>
          <w:marBottom w:val="0"/>
          <w:divBdr>
            <w:top w:val="none" w:sz="0" w:space="0" w:color="auto"/>
            <w:left w:val="none" w:sz="0" w:space="0" w:color="auto"/>
            <w:bottom w:val="none" w:sz="0" w:space="0" w:color="auto"/>
            <w:right w:val="none" w:sz="0" w:space="0" w:color="auto"/>
          </w:divBdr>
          <w:divsChild>
            <w:div w:id="1246575664">
              <w:marLeft w:val="0"/>
              <w:marRight w:val="0"/>
              <w:marTop w:val="0"/>
              <w:marBottom w:val="0"/>
              <w:divBdr>
                <w:top w:val="none" w:sz="0" w:space="0" w:color="auto"/>
                <w:left w:val="none" w:sz="0" w:space="0" w:color="auto"/>
                <w:bottom w:val="none" w:sz="0" w:space="0" w:color="auto"/>
                <w:right w:val="none" w:sz="0" w:space="0" w:color="auto"/>
              </w:divBdr>
              <w:divsChild>
                <w:div w:id="1591087984">
                  <w:marLeft w:val="0"/>
                  <w:marRight w:val="0"/>
                  <w:marTop w:val="0"/>
                  <w:marBottom w:val="0"/>
                  <w:divBdr>
                    <w:top w:val="none" w:sz="0" w:space="0" w:color="auto"/>
                    <w:left w:val="none" w:sz="0" w:space="0" w:color="auto"/>
                    <w:bottom w:val="none" w:sz="0" w:space="0" w:color="auto"/>
                    <w:right w:val="none" w:sz="0" w:space="0" w:color="auto"/>
                  </w:divBdr>
                  <w:divsChild>
                    <w:div w:id="658000386">
                      <w:marLeft w:val="0"/>
                      <w:marRight w:val="0"/>
                      <w:marTop w:val="0"/>
                      <w:marBottom w:val="0"/>
                      <w:divBdr>
                        <w:top w:val="none" w:sz="0" w:space="0" w:color="auto"/>
                        <w:left w:val="none" w:sz="0" w:space="0" w:color="auto"/>
                        <w:bottom w:val="none" w:sz="0" w:space="0" w:color="auto"/>
                        <w:right w:val="none" w:sz="0" w:space="0" w:color="auto"/>
                      </w:divBdr>
                      <w:divsChild>
                        <w:div w:id="416486139">
                          <w:marLeft w:val="0"/>
                          <w:marRight w:val="0"/>
                          <w:marTop w:val="0"/>
                          <w:marBottom w:val="0"/>
                          <w:divBdr>
                            <w:top w:val="none" w:sz="0" w:space="0" w:color="auto"/>
                            <w:left w:val="none" w:sz="0" w:space="0" w:color="auto"/>
                            <w:bottom w:val="none" w:sz="0" w:space="0" w:color="auto"/>
                            <w:right w:val="none" w:sz="0" w:space="0" w:color="auto"/>
                          </w:divBdr>
                          <w:divsChild>
                            <w:div w:id="770323854">
                              <w:marLeft w:val="0"/>
                              <w:marRight w:val="0"/>
                              <w:marTop w:val="0"/>
                              <w:marBottom w:val="0"/>
                              <w:divBdr>
                                <w:top w:val="none" w:sz="0" w:space="0" w:color="auto"/>
                                <w:left w:val="none" w:sz="0" w:space="0" w:color="auto"/>
                                <w:bottom w:val="none" w:sz="0" w:space="0" w:color="auto"/>
                                <w:right w:val="none" w:sz="0" w:space="0" w:color="auto"/>
                              </w:divBdr>
                              <w:divsChild>
                                <w:div w:id="13701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jpeg"/><Relationship Id="rId26" Type="http://schemas.openxmlformats.org/officeDocument/2006/relationships/hyperlink" Target="https://www.iea.org/media/freepublications/security/EnergySupplySecurity2014_Germany.pdf" TargetMode="External"/><Relationship Id="rId39" Type="http://schemas.openxmlformats.org/officeDocument/2006/relationships/hyperlink" Target="https://www.iea.org/media/freepublications/security/EnergySupplySecurity2014_Belgium.pdf"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iea.org/media/freepublications/security/EnergySupplySecurity2014_Spain.pdf" TargetMode="External"/><Relationship Id="rId42" Type="http://schemas.openxmlformats.org/officeDocument/2006/relationships/hyperlink" Target="https://www.iea.org/media/freepublications/security/EnergySupplySecurity2014_Estonia.pdf" TargetMode="External"/><Relationship Id="rId47" Type="http://schemas.openxmlformats.org/officeDocument/2006/relationships/chart" Target="charts/chart4.xml"/><Relationship Id="rId50"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2.xml"/><Relationship Id="rId25" Type="http://schemas.openxmlformats.org/officeDocument/2006/relationships/hyperlink" Target="https://www.iea.org/media/freepublications/security/EnergySupplySecurity2014_France.pdf" TargetMode="External"/><Relationship Id="rId33" Type="http://schemas.openxmlformats.org/officeDocument/2006/relationships/hyperlink" Target="https://www.iea.org/media/freepublications/security/EnergySupplySecurity2014_Portugal.pdf" TargetMode="External"/><Relationship Id="rId38" Type="http://schemas.openxmlformats.org/officeDocument/2006/relationships/hyperlink" Target="https://www.iea.org/media/freepublications/security/EnergySupplySecurity2014_UK.pdf" TargetMode="External"/><Relationship Id="rId46"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eader" Target="header1.xml"/><Relationship Id="rId29" Type="http://schemas.openxmlformats.org/officeDocument/2006/relationships/hyperlink" Target="https://www.iea.org/media/freepublications/security/EnergySupplySecurity2014_Italy.pdf" TargetMode="External"/><Relationship Id="rId41" Type="http://schemas.openxmlformats.org/officeDocument/2006/relationships/hyperlink" Target="https://www.iea.org/media/freepublications/security/EnergySupplySecurity2014_Denmark.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ea.org/media/freepublications/security/EnergySupplySecurity2014_finland.pdf" TargetMode="External"/><Relationship Id="rId32" Type="http://schemas.openxmlformats.org/officeDocument/2006/relationships/hyperlink" Target="https://www.iea.org/media/freepublications/security/EnergySupplySecurity2014_Poland.pdf" TargetMode="External"/><Relationship Id="rId37" Type="http://schemas.openxmlformats.org/officeDocument/2006/relationships/hyperlink" Target="https://www.iea.org/media/freepublications/security/EnergySupplySecurity2014_Turkey.pdf" TargetMode="External"/><Relationship Id="rId40" Type="http://schemas.openxmlformats.org/officeDocument/2006/relationships/hyperlink" Target="https://www.iea.org/media/freepublications/security/EnergySupplySecurity2014_TheCzechRepublic.pdf" TargetMode="External"/><Relationship Id="rId45" Type="http://schemas.openxmlformats.org/officeDocument/2006/relationships/hyperlink" Target="https://www.iea.org/media/freepublications/security/EnergySupplySecurity2014_TheSlovakRepublic.pdf" TargetMode="External"/><Relationship Id="rId5" Type="http://schemas.openxmlformats.org/officeDocument/2006/relationships/customXml" Target="../customXml/item5.xml"/><Relationship Id="rId15" Type="http://schemas.openxmlformats.org/officeDocument/2006/relationships/hyperlink" Target="https://creativecommons.org/licenses/by/4.0/legalcode" TargetMode="External"/><Relationship Id="rId23" Type="http://schemas.openxmlformats.org/officeDocument/2006/relationships/footer" Target="footer2.xml"/><Relationship Id="rId28" Type="http://schemas.openxmlformats.org/officeDocument/2006/relationships/hyperlink" Target="https://www.iea.org/media/freepublications/security/EnergySupplySecurity2014_Hungary.pdf" TargetMode="External"/><Relationship Id="rId36" Type="http://schemas.openxmlformats.org/officeDocument/2006/relationships/hyperlink" Target="https://www.iea.org/media/freepublications/security/EnergySupplySecurity2014_Switzerland.pdf" TargetMode="External"/><Relationship Id="rId49"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www.iea.org/media/freepublications/security/EnergySupplySecurity2014_TheNetherlands.pdf" TargetMode="External"/><Relationship Id="rId44" Type="http://schemas.openxmlformats.org/officeDocument/2006/relationships/hyperlink" Target="https://www.iea.org/media/freepublications/security/EnergySupplySecurity2014_Norway.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 TargetMode="External"/><Relationship Id="rId22" Type="http://schemas.openxmlformats.org/officeDocument/2006/relationships/header" Target="header2.xml"/><Relationship Id="rId27" Type="http://schemas.openxmlformats.org/officeDocument/2006/relationships/hyperlink" Target="https://www.iea.org/media/freepublications/security/EnergySupplySecurity2014_Greece.pdf" TargetMode="External"/><Relationship Id="rId30" Type="http://schemas.openxmlformats.org/officeDocument/2006/relationships/hyperlink" Target="https://www.iea.org/media/freepublications/security/EnergySupplySecurity2014_Luxembourg.pdf" TargetMode="External"/><Relationship Id="rId35" Type="http://schemas.openxmlformats.org/officeDocument/2006/relationships/hyperlink" Target="https://www.iea.org/media/freepublications/security/EnergySupplySecurity2014_Sweden.pdf" TargetMode="External"/><Relationship Id="rId43" Type="http://schemas.openxmlformats.org/officeDocument/2006/relationships/hyperlink" Target="https://www.iea.org/media/freepublications/security/EnergySupplySecurity2014_Ireland.pdf" TargetMode="External"/><Relationship Id="rId48" Type="http://schemas.openxmlformats.org/officeDocument/2006/relationships/chart" Target="charts/chart5.xml"/><Relationship Id="rId8" Type="http://schemas.openxmlformats.org/officeDocument/2006/relationships/settings" Target="settings.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ochub/div/energyse/businessfunctions/liquidfuelsecurity/domestic/docs/LFSR%20graphs%20September%20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rod.protected.ind\user\user10\rn4317\Desktop\APS%20data%20for%20Liquid%20Fuels%20Taskforce%20March%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n4317\AppData\Local\Microsoft\Windows\INetCache\Content.Outlook\OAEOHRO9\Copy%20of%20APS%20data%20for%20Liquid%20Fuels%20Taskforce%20March%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n4317\AppData\Local\Microsoft\Windows\INetCache\Content.Outlook\OAEOHRO9\Copy%20of%20APS%20data%20for%20Liquid%20Fuels%20Taskforce%20March%20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n4317\AppData\Local\Microsoft\Windows\INetCache\Content.Outlook\OAEOHRO9\Copy%20of%20APS%20data%20for%20Liquid%20Fuels%20Taskforce%20March%20202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10643851304847"/>
          <c:y val="7.8613302609017305E-2"/>
          <c:w val="0.86713482984189016"/>
          <c:h val="0.74490179892268771"/>
        </c:manualLayout>
      </c:layout>
      <c:barChart>
        <c:barDir val="col"/>
        <c:grouping val="stacked"/>
        <c:varyColors val="0"/>
        <c:ser>
          <c:idx val="7"/>
          <c:order val="0"/>
          <c:tx>
            <c:v>&lt;blank&gt;</c:v>
          </c:tx>
          <c:spPr>
            <a:noFill/>
            <a:ln>
              <a:noFill/>
            </a:ln>
            <a:effectLst/>
          </c:spPr>
          <c:invertIfNegative val="0"/>
          <c:dLbls>
            <c:delete val="1"/>
          </c:dLbls>
          <c:cat>
            <c:strLit>
              <c:ptCount val="5"/>
              <c:pt idx="0">
                <c:v>Manufacturing</c:v>
              </c:pt>
              <c:pt idx="1">
                <c:v>Agriculture</c:v>
              </c:pt>
              <c:pt idx="2">
                <c:v>Mining</c:v>
              </c:pt>
              <c:pt idx="3">
                <c:v>Transport</c:v>
              </c:pt>
              <c:pt idx="4">
                <c:v>Other industries</c:v>
              </c:pt>
            </c:strLit>
          </c:cat>
          <c:val>
            <c:numLit>
              <c:formatCode>General</c:formatCode>
              <c:ptCount val="5"/>
              <c:pt idx="1">
                <c:v>9.0012494361898635E-2</c:v>
              </c:pt>
              <c:pt idx="2">
                <c:v>0.13477613856724735</c:v>
              </c:pt>
              <c:pt idx="3">
                <c:v>0.23392729565380579</c:v>
              </c:pt>
              <c:pt idx="4">
                <c:v>0.92735944254404312</c:v>
              </c:pt>
            </c:numLit>
          </c:val>
        </c:ser>
        <c:ser>
          <c:idx val="0"/>
          <c:order val="1"/>
          <c:tx>
            <c:v>Petrol</c:v>
          </c:tx>
          <c:spPr>
            <a:solidFill>
              <a:srgbClr val="005677"/>
            </a:solidFill>
            <a:ln>
              <a:noFill/>
            </a:ln>
            <a:effectLst/>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4"/>
              <c:delete val="1"/>
              <c:extLs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Lit>
              <c:ptCount val="5"/>
              <c:pt idx="0">
                <c:v>Manufacturing</c:v>
              </c:pt>
              <c:pt idx="1">
                <c:v>Agriculture</c:v>
              </c:pt>
              <c:pt idx="2">
                <c:v>Mining</c:v>
              </c:pt>
              <c:pt idx="3">
                <c:v>Transport</c:v>
              </c:pt>
              <c:pt idx="4">
                <c:v>Other industries</c:v>
              </c:pt>
            </c:strLit>
          </c:cat>
          <c:val>
            <c:numLit>
              <c:formatCode>General</c:formatCode>
              <c:ptCount val="5"/>
              <c:pt idx="0">
                <c:v>1.55150673115228E-4</c:v>
              </c:pt>
              <c:pt idx="1">
                <c:v>2.9371627427675919E-3</c:v>
              </c:pt>
              <c:pt idx="2">
                <c:v>4.9384829638799363E-6</c:v>
              </c:pt>
              <c:pt idx="3">
                <c:v>0.25867485686630215</c:v>
              </c:pt>
              <c:pt idx="4">
                <c:v>4.7738668650839378E-5</c:v>
              </c:pt>
            </c:numLit>
          </c:val>
        </c:ser>
        <c:ser>
          <c:idx val="1"/>
          <c:order val="2"/>
          <c:tx>
            <c:v>Diesel</c:v>
          </c:tx>
          <c:spPr>
            <a:solidFill>
              <a:srgbClr val="1B9590"/>
            </a:solidFill>
            <a:ln>
              <a:noFill/>
            </a:ln>
            <a:effectLst/>
          </c:spPr>
          <c:invertIfNegative val="0"/>
          <c:dLbls>
            <c:dLbl>
              <c:idx val="0"/>
              <c:layout>
                <c:manualLayout>
                  <c:x val="8.505686006705801E-2"/>
                  <c:y val="-2.2013590647748462E-2"/>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Lit>
              <c:ptCount val="5"/>
              <c:pt idx="0">
                <c:v>Manufacturing</c:v>
              </c:pt>
              <c:pt idx="1">
                <c:v>Agriculture</c:v>
              </c:pt>
              <c:pt idx="2">
                <c:v>Mining</c:v>
              </c:pt>
              <c:pt idx="3">
                <c:v>Transport</c:v>
              </c:pt>
              <c:pt idx="4">
                <c:v>Other industries</c:v>
              </c:pt>
            </c:strLit>
          </c:cat>
          <c:val>
            <c:numLit>
              <c:formatCode>General</c:formatCode>
              <c:ptCount val="5"/>
              <c:pt idx="0">
                <c:v>7.9003381214669283E-3</c:v>
              </c:pt>
              <c:pt idx="1">
                <c:v>4.0931792965624866E-2</c:v>
              </c:pt>
              <c:pt idx="2">
                <c:v>9.693172053454141E-2</c:v>
              </c:pt>
              <c:pt idx="3">
                <c:v>0.27058112775196969</c:v>
              </c:pt>
              <c:pt idx="4">
                <c:v>4.0777876913250619E-2</c:v>
              </c:pt>
            </c:numLit>
          </c:val>
        </c:ser>
        <c:ser>
          <c:idx val="2"/>
          <c:order val="3"/>
          <c:tx>
            <c:v>Aviation turbine fuel</c:v>
          </c:tx>
          <c:spPr>
            <a:solidFill>
              <a:srgbClr val="FF9F00"/>
            </a:solidFill>
            <a:ln>
              <a:noFill/>
            </a:ln>
            <a:effectLst/>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4"/>
              <c:delete val="1"/>
              <c:extLs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Lit>
              <c:ptCount val="5"/>
              <c:pt idx="0">
                <c:v>Manufacturing</c:v>
              </c:pt>
              <c:pt idx="1">
                <c:v>Agriculture</c:v>
              </c:pt>
              <c:pt idx="2">
                <c:v>Mining</c:v>
              </c:pt>
              <c:pt idx="3">
                <c:v>Transport</c:v>
              </c:pt>
              <c:pt idx="4">
                <c:v>Other industries</c:v>
              </c:pt>
            </c:strLit>
          </c:cat>
          <c:val>
            <c:numLit>
              <c:formatCode>General</c:formatCode>
              <c:ptCount val="5"/>
              <c:pt idx="0">
                <c:v>0</c:v>
              </c:pt>
              <c:pt idx="1">
                <c:v>0</c:v>
              </c:pt>
              <c:pt idx="2">
                <c:v>0</c:v>
              </c:pt>
              <c:pt idx="3">
                <c:v>0.1417912536174388</c:v>
              </c:pt>
              <c:pt idx="4">
                <c:v>0</c:v>
              </c:pt>
            </c:numLit>
          </c:val>
        </c:ser>
        <c:ser>
          <c:idx val="3"/>
          <c:order val="4"/>
          <c:tx>
            <c:v>LPG</c:v>
          </c:tx>
          <c:spPr>
            <a:solidFill>
              <a:srgbClr val="56B4E9"/>
            </a:solidFill>
            <a:ln>
              <a:noFill/>
            </a:ln>
            <a:effectLst/>
          </c:spPr>
          <c:invertIfNegative val="0"/>
          <c:dLbls>
            <c:dLbl>
              <c:idx val="0"/>
              <c:layout>
                <c:manualLayout>
                  <c:x val="8.3078793553870614E-2"/>
                  <c:y val="-6.6040771943245521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8.1100727040683218E-2"/>
                  <c:y val="2.5682522422373236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307876271913002E-2"/>
                  <c:y val="2.5570114190392686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Manufacturing</c:v>
              </c:pt>
              <c:pt idx="1">
                <c:v>Agriculture</c:v>
              </c:pt>
              <c:pt idx="2">
                <c:v>Mining</c:v>
              </c:pt>
              <c:pt idx="3">
                <c:v>Transport</c:v>
              </c:pt>
              <c:pt idx="4">
                <c:v>Other industries</c:v>
              </c:pt>
            </c:strLit>
          </c:cat>
          <c:val>
            <c:numLit>
              <c:formatCode>General</c:formatCode>
              <c:ptCount val="5"/>
              <c:pt idx="0">
                <c:v>6.9982419000648591E-3</c:v>
              </c:pt>
              <c:pt idx="1">
                <c:v>8.9180771522731845E-4</c:v>
              </c:pt>
              <c:pt idx="2">
                <c:v>6.4817588900924162E-4</c:v>
              </c:pt>
              <c:pt idx="3">
                <c:v>1.1799681961697128E-2</c:v>
              </c:pt>
              <c:pt idx="4">
                <c:v>8.2184587323901933E-3</c:v>
              </c:pt>
            </c:numLit>
          </c:val>
        </c:ser>
        <c:ser>
          <c:idx val="4"/>
          <c:order val="5"/>
          <c:tx>
            <c:v>Fuel oil</c:v>
          </c:tx>
          <c:spPr>
            <a:solidFill>
              <a:srgbClr val="B04590"/>
            </a:solidFill>
            <a:ln>
              <a:noFill/>
            </a:ln>
            <a:effectLst/>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8.1100727040683218E-2"/>
                  <c:y val="-1.834466253634668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delete val="1"/>
              <c:extLs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Manufacturing</c:v>
              </c:pt>
              <c:pt idx="1">
                <c:v>Agriculture</c:v>
              </c:pt>
              <c:pt idx="2">
                <c:v>Mining</c:v>
              </c:pt>
              <c:pt idx="3">
                <c:v>Transport</c:v>
              </c:pt>
              <c:pt idx="4">
                <c:v>Other industries</c:v>
              </c:pt>
            </c:strLit>
          </c:cat>
          <c:val>
            <c:numLit>
              <c:formatCode>General</c:formatCode>
              <c:ptCount val="5"/>
              <c:pt idx="0">
                <c:v>2.9441589269664217E-3</c:v>
              </c:pt>
              <c:pt idx="1">
                <c:v>0</c:v>
              </c:pt>
              <c:pt idx="2">
                <c:v>2.3375486029031696E-4</c:v>
              </c:pt>
              <c:pt idx="3">
                <c:v>9.8633850996092017E-3</c:v>
              </c:pt>
              <c:pt idx="4">
                <c:v>1.4642601987904012E-3</c:v>
              </c:pt>
            </c:numLit>
          </c:val>
        </c:ser>
        <c:ser>
          <c:idx val="5"/>
          <c:order val="6"/>
          <c:tx>
            <c:strRef>
              <c:f>'Fig 4'!$A$22</c:f>
              <c:strCache>
                <c:ptCount val="1"/>
                <c:pt idx="0">
                  <c:v>Other petroleum products</c:v>
                </c:pt>
              </c:strCache>
            </c:strRef>
          </c:tx>
          <c:spPr>
            <a:solidFill>
              <a:srgbClr val="3049AD"/>
            </a:solidFill>
            <a:ln>
              <a:noFill/>
            </a:ln>
            <a:effectLst/>
          </c:spPr>
          <c:invertIfNegative val="0"/>
          <c:dLbls>
            <c:dLbl>
              <c:idx val="0"/>
              <c:layout/>
              <c:tx>
                <c:rich>
                  <a:bodyPr/>
                  <a:lstStyle/>
                  <a:p>
                    <a:fld id="{F781ABA0-7497-49D5-967A-BD5FFA98CDDF}" type="VALUE">
                      <a:rPr lang="en-US">
                        <a:solidFill>
                          <a:schemeClr val="bg1"/>
                        </a:solidFill>
                      </a:rPr>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layout>
                <c:manualLayout>
                  <c:x val="8.2139446036294167E-2"/>
                  <c:y val="-3.2487689851536375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Manufacturing</c:v>
              </c:pt>
              <c:pt idx="1">
                <c:v>Agriculture</c:v>
              </c:pt>
              <c:pt idx="2">
                <c:v>Mining</c:v>
              </c:pt>
              <c:pt idx="3">
                <c:v>Transport</c:v>
              </c:pt>
              <c:pt idx="4">
                <c:v>Other industries</c:v>
              </c:pt>
            </c:strLit>
          </c:cat>
          <c:val>
            <c:numLit>
              <c:formatCode>General</c:formatCode>
              <c:ptCount val="5"/>
              <c:pt idx="0">
                <c:v>7.201460474028519E-2</c:v>
              </c:pt>
              <c:pt idx="1">
                <c:v>2.8807817289299628E-6</c:v>
              </c:pt>
              <c:pt idx="2">
                <c:v>1.3325673197536027E-3</c:v>
              </c:pt>
              <c:pt idx="3">
                <c:v>7.2184159322045071E-4</c:v>
              </c:pt>
              <c:pt idx="4">
                <c:v>2.2132222942874924E-2</c:v>
              </c:pt>
            </c:numLit>
          </c:val>
        </c:ser>
        <c:dLbls>
          <c:dLblPos val="ctr"/>
          <c:showLegendKey val="0"/>
          <c:showVal val="1"/>
          <c:showCatName val="0"/>
          <c:showSerName val="0"/>
          <c:showPercent val="0"/>
          <c:showBubbleSize val="0"/>
        </c:dLbls>
        <c:gapWidth val="75"/>
        <c:overlap val="100"/>
        <c:axId val="298674872"/>
        <c:axId val="298676832"/>
      </c:barChart>
      <c:catAx>
        <c:axId val="29867487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676832"/>
        <c:crosses val="autoZero"/>
        <c:auto val="1"/>
        <c:lblAlgn val="ctr"/>
        <c:lblOffset val="100"/>
        <c:noMultiLvlLbl val="0"/>
      </c:catAx>
      <c:valAx>
        <c:axId val="298676832"/>
        <c:scaling>
          <c:orientation val="minMax"/>
          <c:max val="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baseline="0" smtClean="0"/>
                  <a:t>Proportion of liquid fuel consumption (%) </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674872"/>
        <c:crosses val="autoZero"/>
        <c:crossBetween val="between"/>
      </c:valAx>
      <c:spPr>
        <a:noFill/>
        <a:ln>
          <a:noFill/>
        </a:ln>
        <a:effectLst/>
      </c:spPr>
    </c:plotArea>
    <c:legend>
      <c:legendPos val="b"/>
      <c:legendEntry>
        <c:idx val="0"/>
        <c:delete val="1"/>
      </c:legendEntry>
      <c:layout>
        <c:manualLayout>
          <c:xMode val="edge"/>
          <c:yMode val="edge"/>
          <c:x val="0.11181760793818339"/>
          <c:y val="0.90961927259684972"/>
          <c:w val="0.86933375449017203"/>
          <c:h val="7.935530287827226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solidFill>
                  <a:sysClr val="windowText" lastClr="000000"/>
                </a:solidFill>
              </a:rPr>
              <a:t>End of month stocks for petrol, jet fuel and diesel </a:t>
            </a:r>
            <a:br>
              <a:rPr lang="en-AU">
                <a:solidFill>
                  <a:sysClr val="windowText" lastClr="000000"/>
                </a:solidFill>
              </a:rPr>
            </a:br>
            <a:r>
              <a:rPr lang="en-AU">
                <a:solidFill>
                  <a:sysClr val="windowText" lastClr="000000"/>
                </a:solidFill>
              </a:rPr>
              <a:t>(days of consumption cover)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Petrol</c:v>
          </c:tx>
          <c:spPr>
            <a:ln w="28575" cap="rnd">
              <a:solidFill>
                <a:srgbClr val="005677"/>
              </a:solidFill>
              <a:round/>
            </a:ln>
            <a:effectLst/>
          </c:spPr>
          <c:marker>
            <c:symbol val="none"/>
          </c:marker>
          <c:cat>
            <c:numRef>
              <c:f>Sheet1!$A$17:$A$130</c:f>
              <c:numCache>
                <c:formatCode>mmmm\ yyyy</c:formatCode>
                <c:ptCount val="114"/>
                <c:pt idx="0">
                  <c:v>40360</c:v>
                </c:pt>
                <c:pt idx="1">
                  <c:v>40391</c:v>
                </c:pt>
                <c:pt idx="2">
                  <c:v>40422</c:v>
                </c:pt>
                <c:pt idx="3">
                  <c:v>40452</c:v>
                </c:pt>
                <c:pt idx="4">
                  <c:v>40483</c:v>
                </c:pt>
                <c:pt idx="5">
                  <c:v>40513</c:v>
                </c:pt>
                <c:pt idx="6">
                  <c:v>40544</c:v>
                </c:pt>
                <c:pt idx="7">
                  <c:v>40575</c:v>
                </c:pt>
                <c:pt idx="8">
                  <c:v>40603</c:v>
                </c:pt>
                <c:pt idx="9">
                  <c:v>40634</c:v>
                </c:pt>
                <c:pt idx="10">
                  <c:v>40664</c:v>
                </c:pt>
                <c:pt idx="11">
                  <c:v>40695</c:v>
                </c:pt>
                <c:pt idx="12">
                  <c:v>40725</c:v>
                </c:pt>
                <c:pt idx="13">
                  <c:v>40756</c:v>
                </c:pt>
                <c:pt idx="14">
                  <c:v>40787</c:v>
                </c:pt>
                <c:pt idx="15">
                  <c:v>40817</c:v>
                </c:pt>
                <c:pt idx="16">
                  <c:v>40848</c:v>
                </c:pt>
                <c:pt idx="17">
                  <c:v>40878</c:v>
                </c:pt>
                <c:pt idx="18">
                  <c:v>40909</c:v>
                </c:pt>
                <c:pt idx="19">
                  <c:v>40940</c:v>
                </c:pt>
                <c:pt idx="20">
                  <c:v>40969</c:v>
                </c:pt>
                <c:pt idx="21">
                  <c:v>41000</c:v>
                </c:pt>
                <c:pt idx="22">
                  <c:v>41030</c:v>
                </c:pt>
                <c:pt idx="23">
                  <c:v>41061</c:v>
                </c:pt>
                <c:pt idx="24">
                  <c:v>41091</c:v>
                </c:pt>
                <c:pt idx="25">
                  <c:v>41122</c:v>
                </c:pt>
                <c:pt idx="26">
                  <c:v>41153</c:v>
                </c:pt>
                <c:pt idx="27">
                  <c:v>41183</c:v>
                </c:pt>
                <c:pt idx="28">
                  <c:v>41214</c:v>
                </c:pt>
                <c:pt idx="29">
                  <c:v>41244</c:v>
                </c:pt>
                <c:pt idx="30">
                  <c:v>41275</c:v>
                </c:pt>
                <c:pt idx="31">
                  <c:v>41306</c:v>
                </c:pt>
                <c:pt idx="32">
                  <c:v>41334</c:v>
                </c:pt>
                <c:pt idx="33">
                  <c:v>41365</c:v>
                </c:pt>
                <c:pt idx="34">
                  <c:v>41395</c:v>
                </c:pt>
                <c:pt idx="35">
                  <c:v>41426</c:v>
                </c:pt>
                <c:pt idx="36">
                  <c:v>41456</c:v>
                </c:pt>
                <c:pt idx="37">
                  <c:v>41487</c:v>
                </c:pt>
                <c:pt idx="38">
                  <c:v>41518</c:v>
                </c:pt>
                <c:pt idx="39">
                  <c:v>41548</c:v>
                </c:pt>
                <c:pt idx="40">
                  <c:v>41579</c:v>
                </c:pt>
                <c:pt idx="41">
                  <c:v>41609</c:v>
                </c:pt>
                <c:pt idx="42">
                  <c:v>41640</c:v>
                </c:pt>
                <c:pt idx="43">
                  <c:v>41671</c:v>
                </c:pt>
                <c:pt idx="44">
                  <c:v>41699</c:v>
                </c:pt>
                <c:pt idx="45">
                  <c:v>41730</c:v>
                </c:pt>
                <c:pt idx="46">
                  <c:v>41760</c:v>
                </c:pt>
                <c:pt idx="47">
                  <c:v>41791</c:v>
                </c:pt>
                <c:pt idx="48">
                  <c:v>41821</c:v>
                </c:pt>
                <c:pt idx="49">
                  <c:v>41852</c:v>
                </c:pt>
                <c:pt idx="50">
                  <c:v>41883</c:v>
                </c:pt>
                <c:pt idx="51">
                  <c:v>41913</c:v>
                </c:pt>
                <c:pt idx="52">
                  <c:v>41944</c:v>
                </c:pt>
                <c:pt idx="53">
                  <c:v>41974</c:v>
                </c:pt>
                <c:pt idx="54">
                  <c:v>42005</c:v>
                </c:pt>
                <c:pt idx="55">
                  <c:v>42036</c:v>
                </c:pt>
                <c:pt idx="56">
                  <c:v>42064</c:v>
                </c:pt>
                <c:pt idx="57">
                  <c:v>42095</c:v>
                </c:pt>
                <c:pt idx="58">
                  <c:v>42125</c:v>
                </c:pt>
                <c:pt idx="59">
                  <c:v>42156</c:v>
                </c:pt>
                <c:pt idx="60">
                  <c:v>42186</c:v>
                </c:pt>
                <c:pt idx="61">
                  <c:v>42217</c:v>
                </c:pt>
                <c:pt idx="62">
                  <c:v>42248</c:v>
                </c:pt>
                <c:pt idx="63">
                  <c:v>42278</c:v>
                </c:pt>
                <c:pt idx="64">
                  <c:v>42309</c:v>
                </c:pt>
                <c:pt idx="65">
                  <c:v>42339</c:v>
                </c:pt>
                <c:pt idx="66">
                  <c:v>42370</c:v>
                </c:pt>
                <c:pt idx="67">
                  <c:v>42401</c:v>
                </c:pt>
                <c:pt idx="68">
                  <c:v>42430</c:v>
                </c:pt>
                <c:pt idx="69">
                  <c:v>42461</c:v>
                </c:pt>
                <c:pt idx="70">
                  <c:v>42491</c:v>
                </c:pt>
                <c:pt idx="71">
                  <c:v>42522</c:v>
                </c:pt>
                <c:pt idx="72">
                  <c:v>42552</c:v>
                </c:pt>
                <c:pt idx="73">
                  <c:v>42583</c:v>
                </c:pt>
                <c:pt idx="74">
                  <c:v>42614</c:v>
                </c:pt>
                <c:pt idx="75">
                  <c:v>42644</c:v>
                </c:pt>
                <c:pt idx="76">
                  <c:v>42675</c:v>
                </c:pt>
                <c:pt idx="77">
                  <c:v>42705</c:v>
                </c:pt>
                <c:pt idx="78">
                  <c:v>42736</c:v>
                </c:pt>
                <c:pt idx="79">
                  <c:v>42767</c:v>
                </c:pt>
                <c:pt idx="80">
                  <c:v>42795</c:v>
                </c:pt>
                <c:pt idx="81">
                  <c:v>42826</c:v>
                </c:pt>
                <c:pt idx="82">
                  <c:v>42856</c:v>
                </c:pt>
                <c:pt idx="83">
                  <c:v>42887</c:v>
                </c:pt>
                <c:pt idx="84">
                  <c:v>42917</c:v>
                </c:pt>
                <c:pt idx="85">
                  <c:v>42948</c:v>
                </c:pt>
                <c:pt idx="86">
                  <c:v>42979</c:v>
                </c:pt>
                <c:pt idx="87">
                  <c:v>43009</c:v>
                </c:pt>
                <c:pt idx="88">
                  <c:v>43040</c:v>
                </c:pt>
                <c:pt idx="89">
                  <c:v>43070</c:v>
                </c:pt>
                <c:pt idx="90">
                  <c:v>43101</c:v>
                </c:pt>
                <c:pt idx="91">
                  <c:v>43132</c:v>
                </c:pt>
                <c:pt idx="92">
                  <c:v>43160</c:v>
                </c:pt>
                <c:pt idx="93">
                  <c:v>43191</c:v>
                </c:pt>
                <c:pt idx="94">
                  <c:v>43221</c:v>
                </c:pt>
                <c:pt idx="95">
                  <c:v>43252</c:v>
                </c:pt>
                <c:pt idx="96">
                  <c:v>43282</c:v>
                </c:pt>
                <c:pt idx="97">
                  <c:v>43313</c:v>
                </c:pt>
                <c:pt idx="98">
                  <c:v>43344</c:v>
                </c:pt>
                <c:pt idx="99">
                  <c:v>43374</c:v>
                </c:pt>
                <c:pt idx="100">
                  <c:v>43405</c:v>
                </c:pt>
                <c:pt idx="101">
                  <c:v>43435</c:v>
                </c:pt>
                <c:pt idx="102">
                  <c:v>43466</c:v>
                </c:pt>
                <c:pt idx="103">
                  <c:v>43497</c:v>
                </c:pt>
                <c:pt idx="104">
                  <c:v>43525</c:v>
                </c:pt>
                <c:pt idx="105">
                  <c:v>43556</c:v>
                </c:pt>
                <c:pt idx="106">
                  <c:v>43586</c:v>
                </c:pt>
                <c:pt idx="107">
                  <c:v>43617</c:v>
                </c:pt>
                <c:pt idx="108">
                  <c:v>43647</c:v>
                </c:pt>
                <c:pt idx="109">
                  <c:v>43678</c:v>
                </c:pt>
                <c:pt idx="110">
                  <c:v>43709</c:v>
                </c:pt>
                <c:pt idx="111">
                  <c:v>43739</c:v>
                </c:pt>
                <c:pt idx="112">
                  <c:v>43770</c:v>
                </c:pt>
                <c:pt idx="113">
                  <c:v>43800</c:v>
                </c:pt>
              </c:numCache>
            </c:numRef>
          </c:cat>
          <c:val>
            <c:numRef>
              <c:f>Sheet1!$B$17:$B$130</c:f>
              <c:numCache>
                <c:formatCode>#,##0</c:formatCode>
                <c:ptCount val="114"/>
                <c:pt idx="0">
                  <c:v>22</c:v>
                </c:pt>
                <c:pt idx="1">
                  <c:v>20.399999999999999</c:v>
                </c:pt>
                <c:pt idx="2">
                  <c:v>19.899999999999999</c:v>
                </c:pt>
                <c:pt idx="3">
                  <c:v>19.8</c:v>
                </c:pt>
                <c:pt idx="4">
                  <c:v>16.899999999999999</c:v>
                </c:pt>
                <c:pt idx="5">
                  <c:v>15.3</c:v>
                </c:pt>
                <c:pt idx="6">
                  <c:v>18.100000000000001</c:v>
                </c:pt>
                <c:pt idx="7">
                  <c:v>17.600000000000001</c:v>
                </c:pt>
                <c:pt idx="8">
                  <c:v>17.600000000000001</c:v>
                </c:pt>
                <c:pt idx="9">
                  <c:v>18.8</c:v>
                </c:pt>
                <c:pt idx="10">
                  <c:v>18.2</c:v>
                </c:pt>
                <c:pt idx="11">
                  <c:v>20.3</c:v>
                </c:pt>
                <c:pt idx="12">
                  <c:v>21.1</c:v>
                </c:pt>
                <c:pt idx="13">
                  <c:v>21.2</c:v>
                </c:pt>
                <c:pt idx="14">
                  <c:v>20.399999999999999</c:v>
                </c:pt>
                <c:pt idx="15">
                  <c:v>18</c:v>
                </c:pt>
                <c:pt idx="16">
                  <c:v>17.399999999999999</c:v>
                </c:pt>
                <c:pt idx="17">
                  <c:v>19.5</c:v>
                </c:pt>
                <c:pt idx="18">
                  <c:v>18.100000000000001</c:v>
                </c:pt>
                <c:pt idx="19">
                  <c:v>17.5</c:v>
                </c:pt>
                <c:pt idx="20">
                  <c:v>17.100000000000001</c:v>
                </c:pt>
                <c:pt idx="21">
                  <c:v>19.5</c:v>
                </c:pt>
                <c:pt idx="22">
                  <c:v>20.399999999999999</c:v>
                </c:pt>
                <c:pt idx="23">
                  <c:v>20.3</c:v>
                </c:pt>
                <c:pt idx="24">
                  <c:v>19.399999999999999</c:v>
                </c:pt>
                <c:pt idx="25">
                  <c:v>19.7</c:v>
                </c:pt>
                <c:pt idx="26">
                  <c:v>20</c:v>
                </c:pt>
                <c:pt idx="27">
                  <c:v>19.899999999999999</c:v>
                </c:pt>
                <c:pt idx="28">
                  <c:v>18.2</c:v>
                </c:pt>
                <c:pt idx="29">
                  <c:v>17.100000000000001</c:v>
                </c:pt>
                <c:pt idx="30">
                  <c:v>18.399999999999999</c:v>
                </c:pt>
                <c:pt idx="31">
                  <c:v>19.2</c:v>
                </c:pt>
                <c:pt idx="32">
                  <c:v>20.6</c:v>
                </c:pt>
                <c:pt idx="33">
                  <c:v>20.8</c:v>
                </c:pt>
                <c:pt idx="34">
                  <c:v>20.399999999999999</c:v>
                </c:pt>
                <c:pt idx="35">
                  <c:v>22.4</c:v>
                </c:pt>
                <c:pt idx="36">
                  <c:v>23.1</c:v>
                </c:pt>
                <c:pt idx="37">
                  <c:v>21</c:v>
                </c:pt>
                <c:pt idx="38">
                  <c:v>18.3</c:v>
                </c:pt>
                <c:pt idx="39">
                  <c:v>18.100000000000001</c:v>
                </c:pt>
                <c:pt idx="40">
                  <c:v>18</c:v>
                </c:pt>
                <c:pt idx="41">
                  <c:v>18</c:v>
                </c:pt>
                <c:pt idx="42">
                  <c:v>18.899999999999999</c:v>
                </c:pt>
                <c:pt idx="43">
                  <c:v>19.8</c:v>
                </c:pt>
                <c:pt idx="44">
                  <c:v>19.600000000000001</c:v>
                </c:pt>
                <c:pt idx="45">
                  <c:v>20.100000000000001</c:v>
                </c:pt>
                <c:pt idx="46">
                  <c:v>19.7</c:v>
                </c:pt>
                <c:pt idx="47">
                  <c:v>20.100000000000001</c:v>
                </c:pt>
                <c:pt idx="48">
                  <c:v>18.5</c:v>
                </c:pt>
                <c:pt idx="49">
                  <c:v>19.899999999999999</c:v>
                </c:pt>
                <c:pt idx="50">
                  <c:v>18.5</c:v>
                </c:pt>
                <c:pt idx="51">
                  <c:v>17.2</c:v>
                </c:pt>
                <c:pt idx="52">
                  <c:v>16.399999999999999</c:v>
                </c:pt>
                <c:pt idx="53">
                  <c:v>17.7</c:v>
                </c:pt>
                <c:pt idx="54">
                  <c:v>19</c:v>
                </c:pt>
                <c:pt idx="55">
                  <c:v>20.8</c:v>
                </c:pt>
                <c:pt idx="56">
                  <c:v>19.3</c:v>
                </c:pt>
                <c:pt idx="57">
                  <c:v>23.4</c:v>
                </c:pt>
                <c:pt idx="58">
                  <c:v>22.3</c:v>
                </c:pt>
                <c:pt idx="59">
                  <c:v>23.4</c:v>
                </c:pt>
                <c:pt idx="60">
                  <c:v>23.6</c:v>
                </c:pt>
                <c:pt idx="61">
                  <c:v>21.1</c:v>
                </c:pt>
                <c:pt idx="62">
                  <c:v>22</c:v>
                </c:pt>
                <c:pt idx="63">
                  <c:v>21.1</c:v>
                </c:pt>
                <c:pt idx="64">
                  <c:v>19.7</c:v>
                </c:pt>
                <c:pt idx="65">
                  <c:v>20.7</c:v>
                </c:pt>
                <c:pt idx="66">
                  <c:v>22.2</c:v>
                </c:pt>
                <c:pt idx="67">
                  <c:v>21.7</c:v>
                </c:pt>
                <c:pt idx="68">
                  <c:v>26.6</c:v>
                </c:pt>
                <c:pt idx="69">
                  <c:v>25.1</c:v>
                </c:pt>
                <c:pt idx="70">
                  <c:v>24.9</c:v>
                </c:pt>
                <c:pt idx="71">
                  <c:v>26.9</c:v>
                </c:pt>
                <c:pt idx="72">
                  <c:v>26.4</c:v>
                </c:pt>
                <c:pt idx="73">
                  <c:v>23.1</c:v>
                </c:pt>
                <c:pt idx="74">
                  <c:v>23.9</c:v>
                </c:pt>
                <c:pt idx="75">
                  <c:v>23.8</c:v>
                </c:pt>
                <c:pt idx="76">
                  <c:v>23.1</c:v>
                </c:pt>
                <c:pt idx="77">
                  <c:v>21.5</c:v>
                </c:pt>
                <c:pt idx="78">
                  <c:v>19.399999999999999</c:v>
                </c:pt>
                <c:pt idx="79">
                  <c:v>19.600000000000001</c:v>
                </c:pt>
                <c:pt idx="80">
                  <c:v>19.7</c:v>
                </c:pt>
                <c:pt idx="81">
                  <c:v>21.9</c:v>
                </c:pt>
                <c:pt idx="82">
                  <c:v>24.6</c:v>
                </c:pt>
                <c:pt idx="83">
                  <c:v>23.4</c:v>
                </c:pt>
                <c:pt idx="84">
                  <c:v>20.2</c:v>
                </c:pt>
                <c:pt idx="85">
                  <c:v>23</c:v>
                </c:pt>
                <c:pt idx="86">
                  <c:v>20.9</c:v>
                </c:pt>
                <c:pt idx="87">
                  <c:v>20.100000000000001</c:v>
                </c:pt>
                <c:pt idx="88">
                  <c:v>19.399999999999999</c:v>
                </c:pt>
                <c:pt idx="89">
                  <c:v>20.7</c:v>
                </c:pt>
                <c:pt idx="90">
                  <c:v>20.5</c:v>
                </c:pt>
                <c:pt idx="91">
                  <c:v>22.8</c:v>
                </c:pt>
                <c:pt idx="92">
                  <c:v>22.4</c:v>
                </c:pt>
                <c:pt idx="93">
                  <c:v>21.9</c:v>
                </c:pt>
                <c:pt idx="94">
                  <c:v>25.9</c:v>
                </c:pt>
                <c:pt idx="95">
                  <c:v>25.4</c:v>
                </c:pt>
                <c:pt idx="96">
                  <c:v>25.6</c:v>
                </c:pt>
                <c:pt idx="97">
                  <c:v>23.2</c:v>
                </c:pt>
                <c:pt idx="98">
                  <c:v>21.7</c:v>
                </c:pt>
                <c:pt idx="99">
                  <c:v>22</c:v>
                </c:pt>
                <c:pt idx="100">
                  <c:v>19</c:v>
                </c:pt>
                <c:pt idx="101">
                  <c:v>18.100000000000001</c:v>
                </c:pt>
                <c:pt idx="102">
                  <c:v>23.7</c:v>
                </c:pt>
                <c:pt idx="103">
                  <c:v>20.9</c:v>
                </c:pt>
                <c:pt idx="104">
                  <c:v>23.8</c:v>
                </c:pt>
                <c:pt idx="105">
                  <c:v>25.7</c:v>
                </c:pt>
                <c:pt idx="106">
                  <c:v>28.3</c:v>
                </c:pt>
                <c:pt idx="107">
                  <c:v>26.7</c:v>
                </c:pt>
                <c:pt idx="108">
                  <c:v>27.3</c:v>
                </c:pt>
                <c:pt idx="109">
                  <c:v>23.6</c:v>
                </c:pt>
                <c:pt idx="110">
                  <c:v>26.6</c:v>
                </c:pt>
                <c:pt idx="111">
                  <c:v>24.8</c:v>
                </c:pt>
                <c:pt idx="112">
                  <c:v>21.1</c:v>
                </c:pt>
                <c:pt idx="113">
                  <c:v>23.9</c:v>
                </c:pt>
              </c:numCache>
            </c:numRef>
          </c:val>
          <c:smooth val="0"/>
        </c:ser>
        <c:ser>
          <c:idx val="1"/>
          <c:order val="1"/>
          <c:tx>
            <c:v>Jet Fuel</c:v>
          </c:tx>
          <c:spPr>
            <a:ln w="28575" cap="rnd">
              <a:solidFill>
                <a:srgbClr val="FF9F00"/>
              </a:solidFill>
              <a:round/>
            </a:ln>
            <a:effectLst/>
          </c:spPr>
          <c:marker>
            <c:symbol val="none"/>
          </c:marker>
          <c:cat>
            <c:numRef>
              <c:f>Sheet1!$A$17:$A$130</c:f>
              <c:numCache>
                <c:formatCode>mmmm\ yyyy</c:formatCode>
                <c:ptCount val="114"/>
                <c:pt idx="0">
                  <c:v>40360</c:v>
                </c:pt>
                <c:pt idx="1">
                  <c:v>40391</c:v>
                </c:pt>
                <c:pt idx="2">
                  <c:v>40422</c:v>
                </c:pt>
                <c:pt idx="3">
                  <c:v>40452</c:v>
                </c:pt>
                <c:pt idx="4">
                  <c:v>40483</c:v>
                </c:pt>
                <c:pt idx="5">
                  <c:v>40513</c:v>
                </c:pt>
                <c:pt idx="6">
                  <c:v>40544</c:v>
                </c:pt>
                <c:pt idx="7">
                  <c:v>40575</c:v>
                </c:pt>
                <c:pt idx="8">
                  <c:v>40603</c:v>
                </c:pt>
                <c:pt idx="9">
                  <c:v>40634</c:v>
                </c:pt>
                <c:pt idx="10">
                  <c:v>40664</c:v>
                </c:pt>
                <c:pt idx="11">
                  <c:v>40695</c:v>
                </c:pt>
                <c:pt idx="12">
                  <c:v>40725</c:v>
                </c:pt>
                <c:pt idx="13">
                  <c:v>40756</c:v>
                </c:pt>
                <c:pt idx="14">
                  <c:v>40787</c:v>
                </c:pt>
                <c:pt idx="15">
                  <c:v>40817</c:v>
                </c:pt>
                <c:pt idx="16">
                  <c:v>40848</c:v>
                </c:pt>
                <c:pt idx="17">
                  <c:v>40878</c:v>
                </c:pt>
                <c:pt idx="18">
                  <c:v>40909</c:v>
                </c:pt>
                <c:pt idx="19">
                  <c:v>40940</c:v>
                </c:pt>
                <c:pt idx="20">
                  <c:v>40969</c:v>
                </c:pt>
                <c:pt idx="21">
                  <c:v>41000</c:v>
                </c:pt>
                <c:pt idx="22">
                  <c:v>41030</c:v>
                </c:pt>
                <c:pt idx="23">
                  <c:v>41061</c:v>
                </c:pt>
                <c:pt idx="24">
                  <c:v>41091</c:v>
                </c:pt>
                <c:pt idx="25">
                  <c:v>41122</c:v>
                </c:pt>
                <c:pt idx="26">
                  <c:v>41153</c:v>
                </c:pt>
                <c:pt idx="27">
                  <c:v>41183</c:v>
                </c:pt>
                <c:pt idx="28">
                  <c:v>41214</c:v>
                </c:pt>
                <c:pt idx="29">
                  <c:v>41244</c:v>
                </c:pt>
                <c:pt idx="30">
                  <c:v>41275</c:v>
                </c:pt>
                <c:pt idx="31">
                  <c:v>41306</c:v>
                </c:pt>
                <c:pt idx="32">
                  <c:v>41334</c:v>
                </c:pt>
                <c:pt idx="33">
                  <c:v>41365</c:v>
                </c:pt>
                <c:pt idx="34">
                  <c:v>41395</c:v>
                </c:pt>
                <c:pt idx="35">
                  <c:v>41426</c:v>
                </c:pt>
                <c:pt idx="36">
                  <c:v>41456</c:v>
                </c:pt>
                <c:pt idx="37">
                  <c:v>41487</c:v>
                </c:pt>
                <c:pt idx="38">
                  <c:v>41518</c:v>
                </c:pt>
                <c:pt idx="39">
                  <c:v>41548</c:v>
                </c:pt>
                <c:pt idx="40">
                  <c:v>41579</c:v>
                </c:pt>
                <c:pt idx="41">
                  <c:v>41609</c:v>
                </c:pt>
                <c:pt idx="42">
                  <c:v>41640</c:v>
                </c:pt>
                <c:pt idx="43">
                  <c:v>41671</c:v>
                </c:pt>
                <c:pt idx="44">
                  <c:v>41699</c:v>
                </c:pt>
                <c:pt idx="45">
                  <c:v>41730</c:v>
                </c:pt>
                <c:pt idx="46">
                  <c:v>41760</c:v>
                </c:pt>
                <c:pt idx="47">
                  <c:v>41791</c:v>
                </c:pt>
                <c:pt idx="48">
                  <c:v>41821</c:v>
                </c:pt>
                <c:pt idx="49">
                  <c:v>41852</c:v>
                </c:pt>
                <c:pt idx="50">
                  <c:v>41883</c:v>
                </c:pt>
                <c:pt idx="51">
                  <c:v>41913</c:v>
                </c:pt>
                <c:pt idx="52">
                  <c:v>41944</c:v>
                </c:pt>
                <c:pt idx="53">
                  <c:v>41974</c:v>
                </c:pt>
                <c:pt idx="54">
                  <c:v>42005</c:v>
                </c:pt>
                <c:pt idx="55">
                  <c:v>42036</c:v>
                </c:pt>
                <c:pt idx="56">
                  <c:v>42064</c:v>
                </c:pt>
                <c:pt idx="57">
                  <c:v>42095</c:v>
                </c:pt>
                <c:pt idx="58">
                  <c:v>42125</c:v>
                </c:pt>
                <c:pt idx="59">
                  <c:v>42156</c:v>
                </c:pt>
                <c:pt idx="60">
                  <c:v>42186</c:v>
                </c:pt>
                <c:pt idx="61">
                  <c:v>42217</c:v>
                </c:pt>
                <c:pt idx="62">
                  <c:v>42248</c:v>
                </c:pt>
                <c:pt idx="63">
                  <c:v>42278</c:v>
                </c:pt>
                <c:pt idx="64">
                  <c:v>42309</c:v>
                </c:pt>
                <c:pt idx="65">
                  <c:v>42339</c:v>
                </c:pt>
                <c:pt idx="66">
                  <c:v>42370</c:v>
                </c:pt>
                <c:pt idx="67">
                  <c:v>42401</c:v>
                </c:pt>
                <c:pt idx="68">
                  <c:v>42430</c:v>
                </c:pt>
                <c:pt idx="69">
                  <c:v>42461</c:v>
                </c:pt>
                <c:pt idx="70">
                  <c:v>42491</c:v>
                </c:pt>
                <c:pt idx="71">
                  <c:v>42522</c:v>
                </c:pt>
                <c:pt idx="72">
                  <c:v>42552</c:v>
                </c:pt>
                <c:pt idx="73">
                  <c:v>42583</c:v>
                </c:pt>
                <c:pt idx="74">
                  <c:v>42614</c:v>
                </c:pt>
                <c:pt idx="75">
                  <c:v>42644</c:v>
                </c:pt>
                <c:pt idx="76">
                  <c:v>42675</c:v>
                </c:pt>
                <c:pt idx="77">
                  <c:v>42705</c:v>
                </c:pt>
                <c:pt idx="78">
                  <c:v>42736</c:v>
                </c:pt>
                <c:pt idx="79">
                  <c:v>42767</c:v>
                </c:pt>
                <c:pt idx="80">
                  <c:v>42795</c:v>
                </c:pt>
                <c:pt idx="81">
                  <c:v>42826</c:v>
                </c:pt>
                <c:pt idx="82">
                  <c:v>42856</c:v>
                </c:pt>
                <c:pt idx="83">
                  <c:v>42887</c:v>
                </c:pt>
                <c:pt idx="84">
                  <c:v>42917</c:v>
                </c:pt>
                <c:pt idx="85">
                  <c:v>42948</c:v>
                </c:pt>
                <c:pt idx="86">
                  <c:v>42979</c:v>
                </c:pt>
                <c:pt idx="87">
                  <c:v>43009</c:v>
                </c:pt>
                <c:pt idx="88">
                  <c:v>43040</c:v>
                </c:pt>
                <c:pt idx="89">
                  <c:v>43070</c:v>
                </c:pt>
                <c:pt idx="90">
                  <c:v>43101</c:v>
                </c:pt>
                <c:pt idx="91">
                  <c:v>43132</c:v>
                </c:pt>
                <c:pt idx="92">
                  <c:v>43160</c:v>
                </c:pt>
                <c:pt idx="93">
                  <c:v>43191</c:v>
                </c:pt>
                <c:pt idx="94">
                  <c:v>43221</c:v>
                </c:pt>
                <c:pt idx="95">
                  <c:v>43252</c:v>
                </c:pt>
                <c:pt idx="96">
                  <c:v>43282</c:v>
                </c:pt>
                <c:pt idx="97">
                  <c:v>43313</c:v>
                </c:pt>
                <c:pt idx="98">
                  <c:v>43344</c:v>
                </c:pt>
                <c:pt idx="99">
                  <c:v>43374</c:v>
                </c:pt>
                <c:pt idx="100">
                  <c:v>43405</c:v>
                </c:pt>
                <c:pt idx="101">
                  <c:v>43435</c:v>
                </c:pt>
                <c:pt idx="102">
                  <c:v>43466</c:v>
                </c:pt>
                <c:pt idx="103">
                  <c:v>43497</c:v>
                </c:pt>
                <c:pt idx="104">
                  <c:v>43525</c:v>
                </c:pt>
                <c:pt idx="105">
                  <c:v>43556</c:v>
                </c:pt>
                <c:pt idx="106">
                  <c:v>43586</c:v>
                </c:pt>
                <c:pt idx="107">
                  <c:v>43617</c:v>
                </c:pt>
                <c:pt idx="108">
                  <c:v>43647</c:v>
                </c:pt>
                <c:pt idx="109">
                  <c:v>43678</c:v>
                </c:pt>
                <c:pt idx="110">
                  <c:v>43709</c:v>
                </c:pt>
                <c:pt idx="111">
                  <c:v>43739</c:v>
                </c:pt>
                <c:pt idx="112">
                  <c:v>43770</c:v>
                </c:pt>
                <c:pt idx="113">
                  <c:v>43800</c:v>
                </c:pt>
              </c:numCache>
            </c:numRef>
          </c:cat>
          <c:val>
            <c:numRef>
              <c:f>Sheet1!$C$17:$C$130</c:f>
              <c:numCache>
                <c:formatCode>#,##0</c:formatCode>
                <c:ptCount val="114"/>
                <c:pt idx="0">
                  <c:v>15.9</c:v>
                </c:pt>
                <c:pt idx="1">
                  <c:v>17.3</c:v>
                </c:pt>
                <c:pt idx="2">
                  <c:v>19.100000000000001</c:v>
                </c:pt>
                <c:pt idx="3">
                  <c:v>16.600000000000001</c:v>
                </c:pt>
                <c:pt idx="4">
                  <c:v>21.1</c:v>
                </c:pt>
                <c:pt idx="5">
                  <c:v>17.7</c:v>
                </c:pt>
                <c:pt idx="6">
                  <c:v>15.9</c:v>
                </c:pt>
                <c:pt idx="7">
                  <c:v>17.5</c:v>
                </c:pt>
                <c:pt idx="8">
                  <c:v>18.7</c:v>
                </c:pt>
                <c:pt idx="9">
                  <c:v>17.2</c:v>
                </c:pt>
                <c:pt idx="10">
                  <c:v>17.899999999999999</c:v>
                </c:pt>
                <c:pt idx="11">
                  <c:v>17.8</c:v>
                </c:pt>
                <c:pt idx="12">
                  <c:v>17.7</c:v>
                </c:pt>
                <c:pt idx="13">
                  <c:v>19.100000000000001</c:v>
                </c:pt>
                <c:pt idx="14">
                  <c:v>21.9</c:v>
                </c:pt>
                <c:pt idx="15">
                  <c:v>19.3</c:v>
                </c:pt>
                <c:pt idx="16">
                  <c:v>22.2</c:v>
                </c:pt>
                <c:pt idx="17">
                  <c:v>20</c:v>
                </c:pt>
                <c:pt idx="18">
                  <c:v>15.6</c:v>
                </c:pt>
                <c:pt idx="19">
                  <c:v>18</c:v>
                </c:pt>
                <c:pt idx="20">
                  <c:v>16.399999999999999</c:v>
                </c:pt>
                <c:pt idx="21">
                  <c:v>20.7</c:v>
                </c:pt>
                <c:pt idx="22">
                  <c:v>19</c:v>
                </c:pt>
                <c:pt idx="23">
                  <c:v>16.600000000000001</c:v>
                </c:pt>
                <c:pt idx="24">
                  <c:v>16.899999999999999</c:v>
                </c:pt>
                <c:pt idx="25">
                  <c:v>16.7</c:v>
                </c:pt>
                <c:pt idx="26">
                  <c:v>16.899999999999999</c:v>
                </c:pt>
                <c:pt idx="27">
                  <c:v>15.1</c:v>
                </c:pt>
                <c:pt idx="28">
                  <c:v>15</c:v>
                </c:pt>
                <c:pt idx="29">
                  <c:v>17.7</c:v>
                </c:pt>
                <c:pt idx="30">
                  <c:v>15.8</c:v>
                </c:pt>
                <c:pt idx="31">
                  <c:v>17.7</c:v>
                </c:pt>
                <c:pt idx="32">
                  <c:v>19.399999999999999</c:v>
                </c:pt>
                <c:pt idx="33">
                  <c:v>19.399999999999999</c:v>
                </c:pt>
                <c:pt idx="34">
                  <c:v>19.100000000000001</c:v>
                </c:pt>
                <c:pt idx="35">
                  <c:v>17.3</c:v>
                </c:pt>
                <c:pt idx="36">
                  <c:v>16.7</c:v>
                </c:pt>
                <c:pt idx="37">
                  <c:v>17.899999999999999</c:v>
                </c:pt>
                <c:pt idx="38">
                  <c:v>15.3</c:v>
                </c:pt>
                <c:pt idx="39">
                  <c:v>15.8</c:v>
                </c:pt>
                <c:pt idx="40">
                  <c:v>17.8</c:v>
                </c:pt>
                <c:pt idx="41">
                  <c:v>16.600000000000001</c:v>
                </c:pt>
                <c:pt idx="42">
                  <c:v>15.8</c:v>
                </c:pt>
                <c:pt idx="43">
                  <c:v>14.5</c:v>
                </c:pt>
                <c:pt idx="44">
                  <c:v>19.100000000000001</c:v>
                </c:pt>
                <c:pt idx="45">
                  <c:v>14.8</c:v>
                </c:pt>
                <c:pt idx="46">
                  <c:v>19.600000000000001</c:v>
                </c:pt>
                <c:pt idx="47">
                  <c:v>16.8</c:v>
                </c:pt>
                <c:pt idx="48">
                  <c:v>17.899999999999999</c:v>
                </c:pt>
                <c:pt idx="49">
                  <c:v>18.399999999999999</c:v>
                </c:pt>
                <c:pt idx="50">
                  <c:v>18.8</c:v>
                </c:pt>
                <c:pt idx="51">
                  <c:v>20.6</c:v>
                </c:pt>
                <c:pt idx="52">
                  <c:v>19.5</c:v>
                </c:pt>
                <c:pt idx="53">
                  <c:v>21.4</c:v>
                </c:pt>
                <c:pt idx="54">
                  <c:v>18.399999999999999</c:v>
                </c:pt>
                <c:pt idx="55">
                  <c:v>19.100000000000001</c:v>
                </c:pt>
                <c:pt idx="56">
                  <c:v>20.5</c:v>
                </c:pt>
                <c:pt idx="57">
                  <c:v>22</c:v>
                </c:pt>
                <c:pt idx="58">
                  <c:v>18.8</c:v>
                </c:pt>
                <c:pt idx="59">
                  <c:v>20.8</c:v>
                </c:pt>
                <c:pt idx="60">
                  <c:v>18.8</c:v>
                </c:pt>
                <c:pt idx="61">
                  <c:v>20.8</c:v>
                </c:pt>
                <c:pt idx="62">
                  <c:v>20.5</c:v>
                </c:pt>
                <c:pt idx="63">
                  <c:v>22.4</c:v>
                </c:pt>
                <c:pt idx="64">
                  <c:v>21.3</c:v>
                </c:pt>
                <c:pt idx="65">
                  <c:v>18.8</c:v>
                </c:pt>
                <c:pt idx="66">
                  <c:v>23.2</c:v>
                </c:pt>
                <c:pt idx="67">
                  <c:v>18.600000000000001</c:v>
                </c:pt>
                <c:pt idx="68">
                  <c:v>20.6</c:v>
                </c:pt>
                <c:pt idx="69">
                  <c:v>18.3</c:v>
                </c:pt>
                <c:pt idx="70">
                  <c:v>21.4</c:v>
                </c:pt>
                <c:pt idx="71">
                  <c:v>21.9</c:v>
                </c:pt>
                <c:pt idx="72">
                  <c:v>17</c:v>
                </c:pt>
                <c:pt idx="73">
                  <c:v>19.2</c:v>
                </c:pt>
                <c:pt idx="74">
                  <c:v>18.8</c:v>
                </c:pt>
                <c:pt idx="75">
                  <c:v>18.899999999999999</c:v>
                </c:pt>
                <c:pt idx="76">
                  <c:v>20.2</c:v>
                </c:pt>
                <c:pt idx="77">
                  <c:v>21.8</c:v>
                </c:pt>
                <c:pt idx="78">
                  <c:v>21.6</c:v>
                </c:pt>
                <c:pt idx="79">
                  <c:v>16.7</c:v>
                </c:pt>
                <c:pt idx="80">
                  <c:v>19.2</c:v>
                </c:pt>
                <c:pt idx="81">
                  <c:v>18.8</c:v>
                </c:pt>
                <c:pt idx="82">
                  <c:v>22.6</c:v>
                </c:pt>
                <c:pt idx="83">
                  <c:v>21.6</c:v>
                </c:pt>
                <c:pt idx="84">
                  <c:v>17.100000000000001</c:v>
                </c:pt>
                <c:pt idx="85">
                  <c:v>16.2</c:v>
                </c:pt>
                <c:pt idx="86">
                  <c:v>18.8</c:v>
                </c:pt>
                <c:pt idx="87">
                  <c:v>20.3</c:v>
                </c:pt>
                <c:pt idx="88">
                  <c:v>17.7</c:v>
                </c:pt>
                <c:pt idx="89">
                  <c:v>18.600000000000001</c:v>
                </c:pt>
                <c:pt idx="90">
                  <c:v>18.2</c:v>
                </c:pt>
                <c:pt idx="91">
                  <c:v>22.5</c:v>
                </c:pt>
                <c:pt idx="92">
                  <c:v>22.5</c:v>
                </c:pt>
                <c:pt idx="93">
                  <c:v>24.4</c:v>
                </c:pt>
                <c:pt idx="94">
                  <c:v>22.6</c:v>
                </c:pt>
                <c:pt idx="95">
                  <c:v>21.6</c:v>
                </c:pt>
                <c:pt idx="96">
                  <c:v>23.6</c:v>
                </c:pt>
                <c:pt idx="97">
                  <c:v>25.3</c:v>
                </c:pt>
                <c:pt idx="98">
                  <c:v>23.5</c:v>
                </c:pt>
                <c:pt idx="99">
                  <c:v>24.6</c:v>
                </c:pt>
                <c:pt idx="100">
                  <c:v>20</c:v>
                </c:pt>
                <c:pt idx="101">
                  <c:v>23.4</c:v>
                </c:pt>
                <c:pt idx="102">
                  <c:v>22.3</c:v>
                </c:pt>
                <c:pt idx="103">
                  <c:v>25.3</c:v>
                </c:pt>
                <c:pt idx="104">
                  <c:v>24.3</c:v>
                </c:pt>
                <c:pt idx="105">
                  <c:v>27.6</c:v>
                </c:pt>
                <c:pt idx="106">
                  <c:v>29.5</c:v>
                </c:pt>
                <c:pt idx="107">
                  <c:v>30.2</c:v>
                </c:pt>
                <c:pt idx="108">
                  <c:v>22.5</c:v>
                </c:pt>
                <c:pt idx="109">
                  <c:v>25.5</c:v>
                </c:pt>
                <c:pt idx="110">
                  <c:v>26.1</c:v>
                </c:pt>
                <c:pt idx="111">
                  <c:v>23.9</c:v>
                </c:pt>
                <c:pt idx="112">
                  <c:v>28.5</c:v>
                </c:pt>
                <c:pt idx="113">
                  <c:v>22.9</c:v>
                </c:pt>
              </c:numCache>
            </c:numRef>
          </c:val>
          <c:smooth val="0"/>
        </c:ser>
        <c:ser>
          <c:idx val="2"/>
          <c:order val="2"/>
          <c:tx>
            <c:v>Diesel</c:v>
          </c:tx>
          <c:spPr>
            <a:ln w="28575" cap="rnd">
              <a:solidFill>
                <a:srgbClr val="56B4E9"/>
              </a:solidFill>
              <a:round/>
            </a:ln>
            <a:effectLst/>
          </c:spPr>
          <c:marker>
            <c:symbol val="none"/>
          </c:marker>
          <c:cat>
            <c:numRef>
              <c:f>Sheet1!$A$17:$A$130</c:f>
              <c:numCache>
                <c:formatCode>mmmm\ yyyy</c:formatCode>
                <c:ptCount val="114"/>
                <c:pt idx="0">
                  <c:v>40360</c:v>
                </c:pt>
                <c:pt idx="1">
                  <c:v>40391</c:v>
                </c:pt>
                <c:pt idx="2">
                  <c:v>40422</c:v>
                </c:pt>
                <c:pt idx="3">
                  <c:v>40452</c:v>
                </c:pt>
                <c:pt idx="4">
                  <c:v>40483</c:v>
                </c:pt>
                <c:pt idx="5">
                  <c:v>40513</c:v>
                </c:pt>
                <c:pt idx="6">
                  <c:v>40544</c:v>
                </c:pt>
                <c:pt idx="7">
                  <c:v>40575</c:v>
                </c:pt>
                <c:pt idx="8">
                  <c:v>40603</c:v>
                </c:pt>
                <c:pt idx="9">
                  <c:v>40634</c:v>
                </c:pt>
                <c:pt idx="10">
                  <c:v>40664</c:v>
                </c:pt>
                <c:pt idx="11">
                  <c:v>40695</c:v>
                </c:pt>
                <c:pt idx="12">
                  <c:v>40725</c:v>
                </c:pt>
                <c:pt idx="13">
                  <c:v>40756</c:v>
                </c:pt>
                <c:pt idx="14">
                  <c:v>40787</c:v>
                </c:pt>
                <c:pt idx="15">
                  <c:v>40817</c:v>
                </c:pt>
                <c:pt idx="16">
                  <c:v>40848</c:v>
                </c:pt>
                <c:pt idx="17">
                  <c:v>40878</c:v>
                </c:pt>
                <c:pt idx="18">
                  <c:v>40909</c:v>
                </c:pt>
                <c:pt idx="19">
                  <c:v>40940</c:v>
                </c:pt>
                <c:pt idx="20">
                  <c:v>40969</c:v>
                </c:pt>
                <c:pt idx="21">
                  <c:v>41000</c:v>
                </c:pt>
                <c:pt idx="22">
                  <c:v>41030</c:v>
                </c:pt>
                <c:pt idx="23">
                  <c:v>41061</c:v>
                </c:pt>
                <c:pt idx="24">
                  <c:v>41091</c:v>
                </c:pt>
                <c:pt idx="25">
                  <c:v>41122</c:v>
                </c:pt>
                <c:pt idx="26">
                  <c:v>41153</c:v>
                </c:pt>
                <c:pt idx="27">
                  <c:v>41183</c:v>
                </c:pt>
                <c:pt idx="28">
                  <c:v>41214</c:v>
                </c:pt>
                <c:pt idx="29">
                  <c:v>41244</c:v>
                </c:pt>
                <c:pt idx="30">
                  <c:v>41275</c:v>
                </c:pt>
                <c:pt idx="31">
                  <c:v>41306</c:v>
                </c:pt>
                <c:pt idx="32">
                  <c:v>41334</c:v>
                </c:pt>
                <c:pt idx="33">
                  <c:v>41365</c:v>
                </c:pt>
                <c:pt idx="34">
                  <c:v>41395</c:v>
                </c:pt>
                <c:pt idx="35">
                  <c:v>41426</c:v>
                </c:pt>
                <c:pt idx="36">
                  <c:v>41456</c:v>
                </c:pt>
                <c:pt idx="37">
                  <c:v>41487</c:v>
                </c:pt>
                <c:pt idx="38">
                  <c:v>41518</c:v>
                </c:pt>
                <c:pt idx="39">
                  <c:v>41548</c:v>
                </c:pt>
                <c:pt idx="40">
                  <c:v>41579</c:v>
                </c:pt>
                <c:pt idx="41">
                  <c:v>41609</c:v>
                </c:pt>
                <c:pt idx="42">
                  <c:v>41640</c:v>
                </c:pt>
                <c:pt idx="43">
                  <c:v>41671</c:v>
                </c:pt>
                <c:pt idx="44">
                  <c:v>41699</c:v>
                </c:pt>
                <c:pt idx="45">
                  <c:v>41730</c:v>
                </c:pt>
                <c:pt idx="46">
                  <c:v>41760</c:v>
                </c:pt>
                <c:pt idx="47">
                  <c:v>41791</c:v>
                </c:pt>
                <c:pt idx="48">
                  <c:v>41821</c:v>
                </c:pt>
                <c:pt idx="49">
                  <c:v>41852</c:v>
                </c:pt>
                <c:pt idx="50">
                  <c:v>41883</c:v>
                </c:pt>
                <c:pt idx="51">
                  <c:v>41913</c:v>
                </c:pt>
                <c:pt idx="52">
                  <c:v>41944</c:v>
                </c:pt>
                <c:pt idx="53">
                  <c:v>41974</c:v>
                </c:pt>
                <c:pt idx="54">
                  <c:v>42005</c:v>
                </c:pt>
                <c:pt idx="55">
                  <c:v>42036</c:v>
                </c:pt>
                <c:pt idx="56">
                  <c:v>42064</c:v>
                </c:pt>
                <c:pt idx="57">
                  <c:v>42095</c:v>
                </c:pt>
                <c:pt idx="58">
                  <c:v>42125</c:v>
                </c:pt>
                <c:pt idx="59">
                  <c:v>42156</c:v>
                </c:pt>
                <c:pt idx="60">
                  <c:v>42186</c:v>
                </c:pt>
                <c:pt idx="61">
                  <c:v>42217</c:v>
                </c:pt>
                <c:pt idx="62">
                  <c:v>42248</c:v>
                </c:pt>
                <c:pt idx="63">
                  <c:v>42278</c:v>
                </c:pt>
                <c:pt idx="64">
                  <c:v>42309</c:v>
                </c:pt>
                <c:pt idx="65">
                  <c:v>42339</c:v>
                </c:pt>
                <c:pt idx="66">
                  <c:v>42370</c:v>
                </c:pt>
                <c:pt idx="67">
                  <c:v>42401</c:v>
                </c:pt>
                <c:pt idx="68">
                  <c:v>42430</c:v>
                </c:pt>
                <c:pt idx="69">
                  <c:v>42461</c:v>
                </c:pt>
                <c:pt idx="70">
                  <c:v>42491</c:v>
                </c:pt>
                <c:pt idx="71">
                  <c:v>42522</c:v>
                </c:pt>
                <c:pt idx="72">
                  <c:v>42552</c:v>
                </c:pt>
                <c:pt idx="73">
                  <c:v>42583</c:v>
                </c:pt>
                <c:pt idx="74">
                  <c:v>42614</c:v>
                </c:pt>
                <c:pt idx="75">
                  <c:v>42644</c:v>
                </c:pt>
                <c:pt idx="76">
                  <c:v>42675</c:v>
                </c:pt>
                <c:pt idx="77">
                  <c:v>42705</c:v>
                </c:pt>
                <c:pt idx="78">
                  <c:v>42736</c:v>
                </c:pt>
                <c:pt idx="79">
                  <c:v>42767</c:v>
                </c:pt>
                <c:pt idx="80">
                  <c:v>42795</c:v>
                </c:pt>
                <c:pt idx="81">
                  <c:v>42826</c:v>
                </c:pt>
                <c:pt idx="82">
                  <c:v>42856</c:v>
                </c:pt>
                <c:pt idx="83">
                  <c:v>42887</c:v>
                </c:pt>
                <c:pt idx="84">
                  <c:v>42917</c:v>
                </c:pt>
                <c:pt idx="85">
                  <c:v>42948</c:v>
                </c:pt>
                <c:pt idx="86">
                  <c:v>42979</c:v>
                </c:pt>
                <c:pt idx="87">
                  <c:v>43009</c:v>
                </c:pt>
                <c:pt idx="88">
                  <c:v>43040</c:v>
                </c:pt>
                <c:pt idx="89">
                  <c:v>43070</c:v>
                </c:pt>
                <c:pt idx="90">
                  <c:v>43101</c:v>
                </c:pt>
                <c:pt idx="91">
                  <c:v>43132</c:v>
                </c:pt>
                <c:pt idx="92">
                  <c:v>43160</c:v>
                </c:pt>
                <c:pt idx="93">
                  <c:v>43191</c:v>
                </c:pt>
                <c:pt idx="94">
                  <c:v>43221</c:v>
                </c:pt>
                <c:pt idx="95">
                  <c:v>43252</c:v>
                </c:pt>
                <c:pt idx="96">
                  <c:v>43282</c:v>
                </c:pt>
                <c:pt idx="97">
                  <c:v>43313</c:v>
                </c:pt>
                <c:pt idx="98">
                  <c:v>43344</c:v>
                </c:pt>
                <c:pt idx="99">
                  <c:v>43374</c:v>
                </c:pt>
                <c:pt idx="100">
                  <c:v>43405</c:v>
                </c:pt>
                <c:pt idx="101">
                  <c:v>43435</c:v>
                </c:pt>
                <c:pt idx="102">
                  <c:v>43466</c:v>
                </c:pt>
                <c:pt idx="103">
                  <c:v>43497</c:v>
                </c:pt>
                <c:pt idx="104">
                  <c:v>43525</c:v>
                </c:pt>
                <c:pt idx="105">
                  <c:v>43556</c:v>
                </c:pt>
                <c:pt idx="106">
                  <c:v>43586</c:v>
                </c:pt>
                <c:pt idx="107">
                  <c:v>43617</c:v>
                </c:pt>
                <c:pt idx="108">
                  <c:v>43647</c:v>
                </c:pt>
                <c:pt idx="109">
                  <c:v>43678</c:v>
                </c:pt>
                <c:pt idx="110">
                  <c:v>43709</c:v>
                </c:pt>
                <c:pt idx="111">
                  <c:v>43739</c:v>
                </c:pt>
                <c:pt idx="112">
                  <c:v>43770</c:v>
                </c:pt>
                <c:pt idx="113">
                  <c:v>43800</c:v>
                </c:pt>
              </c:numCache>
            </c:numRef>
          </c:cat>
          <c:val>
            <c:numRef>
              <c:f>Sheet1!$D$17:$D$130</c:f>
              <c:numCache>
                <c:formatCode>#,##0</c:formatCode>
                <c:ptCount val="114"/>
                <c:pt idx="0">
                  <c:v>18</c:v>
                </c:pt>
                <c:pt idx="1">
                  <c:v>17.2</c:v>
                </c:pt>
                <c:pt idx="2">
                  <c:v>19.7</c:v>
                </c:pt>
                <c:pt idx="3">
                  <c:v>17.899999999999999</c:v>
                </c:pt>
                <c:pt idx="4">
                  <c:v>17.399999999999999</c:v>
                </c:pt>
                <c:pt idx="5">
                  <c:v>17.2</c:v>
                </c:pt>
                <c:pt idx="6">
                  <c:v>17.8</c:v>
                </c:pt>
                <c:pt idx="7">
                  <c:v>16.399999999999999</c:v>
                </c:pt>
                <c:pt idx="8">
                  <c:v>16.8</c:v>
                </c:pt>
                <c:pt idx="9">
                  <c:v>19</c:v>
                </c:pt>
                <c:pt idx="10">
                  <c:v>18.100000000000001</c:v>
                </c:pt>
                <c:pt idx="11">
                  <c:v>17.2</c:v>
                </c:pt>
                <c:pt idx="12">
                  <c:v>16.399999999999999</c:v>
                </c:pt>
                <c:pt idx="13">
                  <c:v>17.3</c:v>
                </c:pt>
                <c:pt idx="14">
                  <c:v>15.2</c:v>
                </c:pt>
                <c:pt idx="15">
                  <c:v>15.6</c:v>
                </c:pt>
                <c:pt idx="16">
                  <c:v>15.1</c:v>
                </c:pt>
                <c:pt idx="17">
                  <c:v>16.5</c:v>
                </c:pt>
                <c:pt idx="18">
                  <c:v>18.899999999999999</c:v>
                </c:pt>
                <c:pt idx="19">
                  <c:v>15.6</c:v>
                </c:pt>
                <c:pt idx="20">
                  <c:v>14.9</c:v>
                </c:pt>
                <c:pt idx="21">
                  <c:v>17.8</c:v>
                </c:pt>
                <c:pt idx="22">
                  <c:v>16.8</c:v>
                </c:pt>
                <c:pt idx="23">
                  <c:v>17.100000000000001</c:v>
                </c:pt>
                <c:pt idx="24">
                  <c:v>15.9</c:v>
                </c:pt>
                <c:pt idx="25">
                  <c:v>15.4</c:v>
                </c:pt>
                <c:pt idx="26">
                  <c:v>15.7</c:v>
                </c:pt>
                <c:pt idx="27">
                  <c:v>14.5</c:v>
                </c:pt>
                <c:pt idx="28">
                  <c:v>10.199999999999999</c:v>
                </c:pt>
                <c:pt idx="29">
                  <c:v>15.1</c:v>
                </c:pt>
                <c:pt idx="30">
                  <c:v>17.600000000000001</c:v>
                </c:pt>
                <c:pt idx="31">
                  <c:v>16.600000000000001</c:v>
                </c:pt>
                <c:pt idx="32">
                  <c:v>16.8</c:v>
                </c:pt>
                <c:pt idx="33">
                  <c:v>15.4</c:v>
                </c:pt>
                <c:pt idx="34">
                  <c:v>15.3</c:v>
                </c:pt>
                <c:pt idx="35">
                  <c:v>17.8</c:v>
                </c:pt>
                <c:pt idx="36">
                  <c:v>16.7</c:v>
                </c:pt>
                <c:pt idx="37">
                  <c:v>15.2</c:v>
                </c:pt>
                <c:pt idx="38">
                  <c:v>14.7</c:v>
                </c:pt>
                <c:pt idx="39">
                  <c:v>15.1</c:v>
                </c:pt>
                <c:pt idx="40">
                  <c:v>14.8</c:v>
                </c:pt>
                <c:pt idx="41">
                  <c:v>17.3</c:v>
                </c:pt>
                <c:pt idx="42">
                  <c:v>16.5</c:v>
                </c:pt>
                <c:pt idx="43">
                  <c:v>13.9</c:v>
                </c:pt>
                <c:pt idx="44">
                  <c:v>13.5</c:v>
                </c:pt>
                <c:pt idx="45">
                  <c:v>11.8</c:v>
                </c:pt>
                <c:pt idx="46">
                  <c:v>11.9</c:v>
                </c:pt>
                <c:pt idx="47">
                  <c:v>11</c:v>
                </c:pt>
                <c:pt idx="48">
                  <c:v>12.5</c:v>
                </c:pt>
                <c:pt idx="49">
                  <c:v>15</c:v>
                </c:pt>
                <c:pt idx="50">
                  <c:v>15.7</c:v>
                </c:pt>
                <c:pt idx="51">
                  <c:v>12.4</c:v>
                </c:pt>
                <c:pt idx="52">
                  <c:v>13.2</c:v>
                </c:pt>
                <c:pt idx="53">
                  <c:v>15.6</c:v>
                </c:pt>
                <c:pt idx="54">
                  <c:v>16.7</c:v>
                </c:pt>
                <c:pt idx="55">
                  <c:v>16.5</c:v>
                </c:pt>
                <c:pt idx="56">
                  <c:v>14.8</c:v>
                </c:pt>
                <c:pt idx="57">
                  <c:v>15.6</c:v>
                </c:pt>
                <c:pt idx="58">
                  <c:v>14.5</c:v>
                </c:pt>
                <c:pt idx="59">
                  <c:v>14.8</c:v>
                </c:pt>
                <c:pt idx="60">
                  <c:v>14.1</c:v>
                </c:pt>
                <c:pt idx="61">
                  <c:v>15.6</c:v>
                </c:pt>
                <c:pt idx="62">
                  <c:v>14.6</c:v>
                </c:pt>
                <c:pt idx="63">
                  <c:v>13.6</c:v>
                </c:pt>
                <c:pt idx="64">
                  <c:v>12.4</c:v>
                </c:pt>
                <c:pt idx="65">
                  <c:v>15.1</c:v>
                </c:pt>
                <c:pt idx="66">
                  <c:v>16.8</c:v>
                </c:pt>
                <c:pt idx="67">
                  <c:v>17</c:v>
                </c:pt>
                <c:pt idx="68">
                  <c:v>17.7</c:v>
                </c:pt>
                <c:pt idx="69">
                  <c:v>16.7</c:v>
                </c:pt>
                <c:pt idx="70">
                  <c:v>16.7</c:v>
                </c:pt>
                <c:pt idx="71">
                  <c:v>18.399999999999999</c:v>
                </c:pt>
                <c:pt idx="72">
                  <c:v>18.899999999999999</c:v>
                </c:pt>
                <c:pt idx="73">
                  <c:v>18</c:v>
                </c:pt>
                <c:pt idx="74">
                  <c:v>16.600000000000001</c:v>
                </c:pt>
                <c:pt idx="75">
                  <c:v>14.8</c:v>
                </c:pt>
                <c:pt idx="76">
                  <c:v>11.7</c:v>
                </c:pt>
                <c:pt idx="77">
                  <c:v>15.7</c:v>
                </c:pt>
                <c:pt idx="78">
                  <c:v>17.899999999999999</c:v>
                </c:pt>
                <c:pt idx="79">
                  <c:v>16.8</c:v>
                </c:pt>
                <c:pt idx="80">
                  <c:v>16.7</c:v>
                </c:pt>
                <c:pt idx="81">
                  <c:v>19.600000000000001</c:v>
                </c:pt>
                <c:pt idx="82">
                  <c:v>18</c:v>
                </c:pt>
                <c:pt idx="83">
                  <c:v>15</c:v>
                </c:pt>
                <c:pt idx="84">
                  <c:v>14</c:v>
                </c:pt>
                <c:pt idx="85">
                  <c:v>15.8</c:v>
                </c:pt>
                <c:pt idx="86">
                  <c:v>15.6</c:v>
                </c:pt>
                <c:pt idx="87">
                  <c:v>16.899999999999999</c:v>
                </c:pt>
                <c:pt idx="88">
                  <c:v>14.4</c:v>
                </c:pt>
                <c:pt idx="89">
                  <c:v>15.8</c:v>
                </c:pt>
                <c:pt idx="90">
                  <c:v>20.399999999999999</c:v>
                </c:pt>
                <c:pt idx="91">
                  <c:v>18</c:v>
                </c:pt>
                <c:pt idx="92">
                  <c:v>20</c:v>
                </c:pt>
                <c:pt idx="93">
                  <c:v>20.3</c:v>
                </c:pt>
                <c:pt idx="94">
                  <c:v>17.7</c:v>
                </c:pt>
                <c:pt idx="95">
                  <c:v>18.8</c:v>
                </c:pt>
                <c:pt idx="96">
                  <c:v>21</c:v>
                </c:pt>
                <c:pt idx="97">
                  <c:v>19.2</c:v>
                </c:pt>
                <c:pt idx="98">
                  <c:v>21.2</c:v>
                </c:pt>
                <c:pt idx="99">
                  <c:v>17.2</c:v>
                </c:pt>
                <c:pt idx="100">
                  <c:v>16.8</c:v>
                </c:pt>
                <c:pt idx="101">
                  <c:v>21.7</c:v>
                </c:pt>
                <c:pt idx="102">
                  <c:v>20</c:v>
                </c:pt>
                <c:pt idx="103">
                  <c:v>19.5</c:v>
                </c:pt>
                <c:pt idx="104">
                  <c:v>20.5</c:v>
                </c:pt>
                <c:pt idx="105">
                  <c:v>21.2</c:v>
                </c:pt>
                <c:pt idx="106">
                  <c:v>21.8</c:v>
                </c:pt>
                <c:pt idx="107">
                  <c:v>22.3</c:v>
                </c:pt>
                <c:pt idx="108">
                  <c:v>21.3</c:v>
                </c:pt>
                <c:pt idx="109">
                  <c:v>21.6</c:v>
                </c:pt>
                <c:pt idx="110">
                  <c:v>20.8</c:v>
                </c:pt>
                <c:pt idx="111">
                  <c:v>18.600000000000001</c:v>
                </c:pt>
                <c:pt idx="112">
                  <c:v>18.7</c:v>
                </c:pt>
                <c:pt idx="113">
                  <c:v>21.7</c:v>
                </c:pt>
              </c:numCache>
            </c:numRef>
          </c:val>
          <c:smooth val="0"/>
        </c:ser>
        <c:dLbls>
          <c:showLegendKey val="0"/>
          <c:showVal val="0"/>
          <c:showCatName val="0"/>
          <c:showSerName val="0"/>
          <c:showPercent val="0"/>
          <c:showBubbleSize val="0"/>
        </c:dLbls>
        <c:smooth val="0"/>
        <c:axId val="298677616"/>
        <c:axId val="298670952"/>
      </c:lineChart>
      <c:dateAx>
        <c:axId val="298677616"/>
        <c:scaling>
          <c:orientation val="minMax"/>
        </c:scaling>
        <c:delete val="0"/>
        <c:axPos val="b"/>
        <c:numFmt formatCode="mmmm\ 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670952"/>
        <c:crosses val="autoZero"/>
        <c:auto val="1"/>
        <c:lblOffset val="100"/>
        <c:baseTimeUnit val="months"/>
        <c:majorUnit val="4"/>
        <c:majorTimeUnit val="months"/>
      </c:dateAx>
      <c:valAx>
        <c:axId val="298670952"/>
        <c:scaling>
          <c:orientation val="minMax"/>
          <c:max val="30"/>
          <c:min val="8"/>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6776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solidFill>
                  <a:sysClr val="windowText" lastClr="000000"/>
                </a:solidFill>
              </a:rPr>
              <a:t>Diesel Stocks, Demand and Consumption Cover in Australia</a:t>
            </a:r>
          </a:p>
        </c:rich>
      </c:tx>
      <c:layout>
        <c:manualLayout>
          <c:xMode val="edge"/>
          <c:yMode val="edge"/>
          <c:x val="0.14369949272036062"/>
          <c:y val="3.671142263286453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8216282381742644E-2"/>
          <c:y val="0.20590627038672193"/>
          <c:w val="0.89019685039370078"/>
          <c:h val="0.45561811967748633"/>
        </c:manualLayout>
      </c:layout>
      <c:barChart>
        <c:barDir val="col"/>
        <c:grouping val="clustered"/>
        <c:varyColors val="0"/>
        <c:ser>
          <c:idx val="0"/>
          <c:order val="0"/>
          <c:tx>
            <c:v>Annual Total Demand (y x 100 = ML)</c:v>
          </c:tx>
          <c:spPr>
            <a:solidFill>
              <a:srgbClr val="005677"/>
            </a:solidFill>
            <a:ln>
              <a:noFill/>
            </a:ln>
            <a:effectLst/>
          </c:spPr>
          <c:invertIfNegative val="0"/>
          <c:cat>
            <c:strRef>
              <c:f>Sheet1!$Q$23:$Q$32</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Sheet1!$R$23:$R$32</c:f>
              <c:numCache>
                <c:formatCode>General</c:formatCode>
                <c:ptCount val="10"/>
                <c:pt idx="0">
                  <c:v>214.34300000000002</c:v>
                </c:pt>
                <c:pt idx="1">
                  <c:v>235.52799999999999</c:v>
                </c:pt>
                <c:pt idx="2">
                  <c:v>250.06399999999996</c:v>
                </c:pt>
                <c:pt idx="3">
                  <c:v>262.68</c:v>
                </c:pt>
                <c:pt idx="4">
                  <c:v>261.37299999999999</c:v>
                </c:pt>
                <c:pt idx="5">
                  <c:v>262.11900000000003</c:v>
                </c:pt>
                <c:pt idx="6">
                  <c:v>271.86799999999999</c:v>
                </c:pt>
                <c:pt idx="7">
                  <c:v>287.76900000000006</c:v>
                </c:pt>
                <c:pt idx="8">
                  <c:v>292.55099999999999</c:v>
                </c:pt>
                <c:pt idx="9">
                  <c:v>295.54200000000003</c:v>
                </c:pt>
              </c:numCache>
            </c:numRef>
          </c:val>
        </c:ser>
        <c:ser>
          <c:idx val="1"/>
          <c:order val="1"/>
          <c:tx>
            <c:v>Ave EOM Stocks (y x 10 = kT)</c:v>
          </c:tx>
          <c:spPr>
            <a:solidFill>
              <a:srgbClr val="56B4E9"/>
            </a:solidFill>
            <a:ln>
              <a:noFill/>
            </a:ln>
            <a:effectLst/>
          </c:spPr>
          <c:invertIfNegative val="0"/>
          <c:cat>
            <c:strRef>
              <c:f>Sheet1!$Q$23:$Q$32</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Sheet1!$S$23:$S$32</c:f>
              <c:numCache>
                <c:formatCode>General</c:formatCode>
                <c:ptCount val="10"/>
                <c:pt idx="0">
                  <c:v>82.186666666666682</c:v>
                </c:pt>
                <c:pt idx="1">
                  <c:v>85.683333333333337</c:v>
                </c:pt>
                <c:pt idx="2">
                  <c:v>86.888333333333335</c:v>
                </c:pt>
                <c:pt idx="3">
                  <c:v>84.704166666666666</c:v>
                </c:pt>
                <c:pt idx="4">
                  <c:v>88.792500000000004</c:v>
                </c:pt>
                <c:pt idx="5">
                  <c:v>94.606666666666655</c:v>
                </c:pt>
                <c:pt idx="6">
                  <c:v>100.13916666666668</c:v>
                </c:pt>
                <c:pt idx="7">
                  <c:v>112.40916666666669</c:v>
                </c:pt>
                <c:pt idx="8">
                  <c:v>135.90583333333333</c:v>
                </c:pt>
                <c:pt idx="9">
                  <c:v>136.16166666666666</c:v>
                </c:pt>
              </c:numCache>
            </c:numRef>
          </c:val>
        </c:ser>
        <c:ser>
          <c:idx val="2"/>
          <c:order val="2"/>
          <c:tx>
            <c:v>Ave EOM Consumption Cover (y/10 = days)</c:v>
          </c:tx>
          <c:spPr>
            <a:solidFill>
              <a:srgbClr val="FF9F00"/>
            </a:solidFill>
            <a:ln>
              <a:noFill/>
            </a:ln>
            <a:effectLst/>
          </c:spPr>
          <c:invertIfNegative val="0"/>
          <c:cat>
            <c:strRef>
              <c:f>Sheet1!$Q$23:$Q$32</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Sheet1!$T$23:$T$32</c:f>
              <c:numCache>
                <c:formatCode>General</c:formatCode>
                <c:ptCount val="10"/>
                <c:pt idx="0">
                  <c:v>177.25</c:v>
                </c:pt>
                <c:pt idx="1">
                  <c:v>164.33333333333334</c:v>
                </c:pt>
                <c:pt idx="2">
                  <c:v>155.25000000000003</c:v>
                </c:pt>
                <c:pt idx="3">
                  <c:v>143.66666666666669</c:v>
                </c:pt>
                <c:pt idx="4">
                  <c:v>147.75</c:v>
                </c:pt>
                <c:pt idx="5">
                  <c:v>157.24999999999997</c:v>
                </c:pt>
                <c:pt idx="6">
                  <c:v>166.41666666666666</c:v>
                </c:pt>
                <c:pt idx="7">
                  <c:v>173.08333333333334</c:v>
                </c:pt>
                <c:pt idx="8">
                  <c:v>202.00000000000003</c:v>
                </c:pt>
                <c:pt idx="9">
                  <c:v>200.83333333333331</c:v>
                </c:pt>
              </c:numCache>
            </c:numRef>
          </c:val>
        </c:ser>
        <c:dLbls>
          <c:showLegendKey val="0"/>
          <c:showVal val="0"/>
          <c:showCatName val="0"/>
          <c:showSerName val="0"/>
          <c:showPercent val="0"/>
          <c:showBubbleSize val="0"/>
        </c:dLbls>
        <c:gapWidth val="219"/>
        <c:overlap val="-27"/>
        <c:axId val="298677224"/>
        <c:axId val="298676048"/>
      </c:barChart>
      <c:catAx>
        <c:axId val="298677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676048"/>
        <c:crosses val="autoZero"/>
        <c:auto val="1"/>
        <c:lblAlgn val="ctr"/>
        <c:lblOffset val="100"/>
        <c:noMultiLvlLbl val="0"/>
      </c:catAx>
      <c:valAx>
        <c:axId val="298676048"/>
        <c:scaling>
          <c:orientation val="minMax"/>
          <c:max val="3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677224"/>
        <c:crosses val="autoZero"/>
        <c:crossBetween val="between"/>
      </c:valAx>
      <c:spPr>
        <a:noFill/>
        <a:ln>
          <a:noFill/>
        </a:ln>
        <a:effectLst/>
      </c:spPr>
    </c:plotArea>
    <c:legend>
      <c:legendPos val="b"/>
      <c:layout>
        <c:manualLayout>
          <c:xMode val="edge"/>
          <c:yMode val="edge"/>
          <c:x val="3.4410037310358625E-2"/>
          <c:y val="0.81232139335184261"/>
          <c:w val="0.94271456692913391"/>
          <c:h val="0.149282274967427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solidFill>
                  <a:sysClr val="windowText" lastClr="000000"/>
                </a:solidFill>
              </a:rPr>
              <a:t>Jet Fuel Stocks,</a:t>
            </a:r>
            <a:r>
              <a:rPr lang="en-AU" baseline="0">
                <a:solidFill>
                  <a:sysClr val="windowText" lastClr="000000"/>
                </a:solidFill>
              </a:rPr>
              <a:t> Demand and Consumption Cover in Australia</a:t>
            </a:r>
            <a:endParaRPr lang="en-AU">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Anuual Total Demand (y x 100 = ML)</c:v>
          </c:tx>
          <c:spPr>
            <a:solidFill>
              <a:srgbClr val="005677"/>
            </a:solidFill>
            <a:ln>
              <a:noFill/>
            </a:ln>
            <a:effectLst/>
          </c:spPr>
          <c:invertIfNegative val="0"/>
          <c:cat>
            <c:strRef>
              <c:f>Sheet1!$L$23:$L$32</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Sheet1!$M$23:$M$32</c:f>
              <c:numCache>
                <c:formatCode>General</c:formatCode>
                <c:ptCount val="10"/>
                <c:pt idx="0">
                  <c:v>70.677000000000007</c:v>
                </c:pt>
                <c:pt idx="1">
                  <c:v>73.362000000000009</c:v>
                </c:pt>
                <c:pt idx="2">
                  <c:v>77.731000000000009</c:v>
                </c:pt>
                <c:pt idx="3">
                  <c:v>81.679000000000002</c:v>
                </c:pt>
                <c:pt idx="4">
                  <c:v>81.427999999999997</c:v>
                </c:pt>
                <c:pt idx="5">
                  <c:v>85.164000000000001</c:v>
                </c:pt>
                <c:pt idx="6">
                  <c:v>89.254999999999995</c:v>
                </c:pt>
                <c:pt idx="7">
                  <c:v>93.128999999999976</c:v>
                </c:pt>
                <c:pt idx="8">
                  <c:v>94.341999999999985</c:v>
                </c:pt>
                <c:pt idx="9">
                  <c:v>73.524000000000001</c:v>
                </c:pt>
              </c:numCache>
            </c:numRef>
          </c:val>
        </c:ser>
        <c:ser>
          <c:idx val="1"/>
          <c:order val="1"/>
          <c:tx>
            <c:v>Ave EOM Stocks (y x 10 = kT)</c:v>
          </c:tx>
          <c:spPr>
            <a:solidFill>
              <a:srgbClr val="56B4E9"/>
            </a:solidFill>
            <a:ln>
              <a:noFill/>
            </a:ln>
            <a:effectLst/>
          </c:spPr>
          <c:invertIfNegative val="0"/>
          <c:cat>
            <c:strRef>
              <c:f>Sheet1!$L$23:$L$32</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Sheet1!$N$23:$N$32</c:f>
              <c:numCache>
                <c:formatCode>General</c:formatCode>
                <c:ptCount val="10"/>
                <c:pt idx="0">
                  <c:v>26.644166666666667</c:v>
                </c:pt>
                <c:pt idx="1">
                  <c:v>29.699999999999996</c:v>
                </c:pt>
                <c:pt idx="2">
                  <c:v>28.411666666666669</c:v>
                </c:pt>
                <c:pt idx="3">
                  <c:v>29.205000000000002</c:v>
                </c:pt>
                <c:pt idx="4">
                  <c:v>34.908333333333346</c:v>
                </c:pt>
                <c:pt idx="5">
                  <c:v>37.229999999999997</c:v>
                </c:pt>
                <c:pt idx="6">
                  <c:v>37.567499999999995</c:v>
                </c:pt>
                <c:pt idx="7">
                  <c:v>39.961666666666673</c:v>
                </c:pt>
                <c:pt idx="8">
                  <c:v>51.259166666666673</c:v>
                </c:pt>
                <c:pt idx="9">
                  <c:v>50.319166666666675</c:v>
                </c:pt>
              </c:numCache>
            </c:numRef>
          </c:val>
        </c:ser>
        <c:ser>
          <c:idx val="2"/>
          <c:order val="2"/>
          <c:tx>
            <c:v>Ave EOM Consumption Cover (Days)</c:v>
          </c:tx>
          <c:spPr>
            <a:solidFill>
              <a:srgbClr val="FF9F00"/>
            </a:solidFill>
            <a:ln>
              <a:noFill/>
            </a:ln>
            <a:effectLst/>
          </c:spPr>
          <c:invertIfNegative val="0"/>
          <c:cat>
            <c:strRef>
              <c:f>Sheet1!$L$23:$L$32</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Sheet1!$O$23:$O$32</c:f>
              <c:numCache>
                <c:formatCode>#,##0</c:formatCode>
                <c:ptCount val="10"/>
                <c:pt idx="0">
                  <c:v>17.725000000000001</c:v>
                </c:pt>
                <c:pt idx="1">
                  <c:v>18.875</c:v>
                </c:pt>
                <c:pt idx="2">
                  <c:v>17.25</c:v>
                </c:pt>
                <c:pt idx="3">
                  <c:v>16.724999999999998</c:v>
                </c:pt>
                <c:pt idx="4">
                  <c:v>19.683333333333334</c:v>
                </c:pt>
                <c:pt idx="5">
                  <c:v>20.55</c:v>
                </c:pt>
                <c:pt idx="6">
                  <c:v>19.7</c:v>
                </c:pt>
                <c:pt idx="7">
                  <c:v>20.041666666666664</c:v>
                </c:pt>
                <c:pt idx="8">
                  <c:v>24.966666666666669</c:v>
                </c:pt>
                <c:pt idx="9">
                  <c:v>25.833333333333332</c:v>
                </c:pt>
              </c:numCache>
            </c:numRef>
          </c:val>
        </c:ser>
        <c:dLbls>
          <c:showLegendKey val="0"/>
          <c:showVal val="0"/>
          <c:showCatName val="0"/>
          <c:showSerName val="0"/>
          <c:showPercent val="0"/>
          <c:showBubbleSize val="0"/>
        </c:dLbls>
        <c:gapWidth val="219"/>
        <c:overlap val="-27"/>
        <c:axId val="298678008"/>
        <c:axId val="298671344"/>
      </c:barChart>
      <c:catAx>
        <c:axId val="298678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671344"/>
        <c:crosses val="autoZero"/>
        <c:auto val="1"/>
        <c:lblAlgn val="ctr"/>
        <c:lblOffset val="100"/>
        <c:noMultiLvlLbl val="0"/>
      </c:catAx>
      <c:valAx>
        <c:axId val="298671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678008"/>
        <c:crosses val="autoZero"/>
        <c:crossBetween val="between"/>
        <c:majorUnit val="1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solidFill>
                  <a:sysClr val="windowText" lastClr="000000"/>
                </a:solidFill>
              </a:rPr>
              <a:t>Petrol stocks, Demand and Consumption Cover in Australia</a:t>
            </a:r>
          </a:p>
        </c:rich>
      </c:tx>
      <c:layout>
        <c:manualLayout>
          <c:xMode val="edge"/>
          <c:yMode val="edge"/>
          <c:x val="0.11345822397200349"/>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Annual Total Demand (y x 100 = ML)</c:v>
          </c:tx>
          <c:spPr>
            <a:solidFill>
              <a:srgbClr val="005677"/>
            </a:solidFill>
            <a:ln>
              <a:noFill/>
            </a:ln>
            <a:effectLst/>
          </c:spPr>
          <c:invertIfNegative val="0"/>
          <c:cat>
            <c:strRef>
              <c:f>Sheet1!$G$23:$G$32</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Sheet1!$H$23:$H$32</c:f>
              <c:numCache>
                <c:formatCode>General</c:formatCode>
                <c:ptCount val="10"/>
                <c:pt idx="0">
                  <c:v>189.262</c:v>
                </c:pt>
                <c:pt idx="1">
                  <c:v>187.16999999999996</c:v>
                </c:pt>
                <c:pt idx="2">
                  <c:v>186.96</c:v>
                </c:pt>
                <c:pt idx="3">
                  <c:v>182.26400000000001</c:v>
                </c:pt>
                <c:pt idx="4">
                  <c:v>181.887</c:v>
                </c:pt>
                <c:pt idx="5">
                  <c:v>181.21700000000001</c:v>
                </c:pt>
                <c:pt idx="6">
                  <c:v>180.62600000000003</c:v>
                </c:pt>
                <c:pt idx="7">
                  <c:v>178.34599999999998</c:v>
                </c:pt>
                <c:pt idx="8">
                  <c:v>175.70400000000001</c:v>
                </c:pt>
                <c:pt idx="9">
                  <c:v>160.75700000000001</c:v>
                </c:pt>
              </c:numCache>
            </c:numRef>
          </c:val>
        </c:ser>
        <c:ser>
          <c:idx val="1"/>
          <c:order val="1"/>
          <c:tx>
            <c:v>Ave EOM Stocks (y x 10 = kT)</c:v>
          </c:tx>
          <c:spPr>
            <a:solidFill>
              <a:srgbClr val="56B4E9"/>
            </a:solidFill>
            <a:ln>
              <a:noFill/>
            </a:ln>
            <a:effectLst/>
          </c:spPr>
          <c:invertIfNegative val="0"/>
          <c:cat>
            <c:strRef>
              <c:f>Sheet1!$G$23:$G$32</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Sheet1!$I$23:$I$32</c:f>
              <c:numCache>
                <c:formatCode>General</c:formatCode>
                <c:ptCount val="10"/>
                <c:pt idx="0">
                  <c:v>71.834166666666675</c:v>
                </c:pt>
                <c:pt idx="1">
                  <c:v>73.765833333333347</c:v>
                </c:pt>
                <c:pt idx="2">
                  <c:v>75.029166666666669</c:v>
                </c:pt>
                <c:pt idx="3">
                  <c:v>74.081666666666663</c:v>
                </c:pt>
                <c:pt idx="4">
                  <c:v>73.064166666666679</c:v>
                </c:pt>
                <c:pt idx="5">
                  <c:v>85.100833333333327</c:v>
                </c:pt>
                <c:pt idx="6">
                  <c:v>82.810833333333321</c:v>
                </c:pt>
                <c:pt idx="7">
                  <c:v>80.066666666666663</c:v>
                </c:pt>
                <c:pt idx="8">
                  <c:v>84.268333333333331</c:v>
                </c:pt>
                <c:pt idx="9">
                  <c:v>88.107499999999987</c:v>
                </c:pt>
              </c:numCache>
            </c:numRef>
          </c:val>
        </c:ser>
        <c:ser>
          <c:idx val="2"/>
          <c:order val="2"/>
          <c:tx>
            <c:v>Ave EOM Consumption Cover (Days)</c:v>
          </c:tx>
          <c:spPr>
            <a:solidFill>
              <a:srgbClr val="FF9F00"/>
            </a:solidFill>
            <a:ln>
              <a:noFill/>
            </a:ln>
            <a:effectLst/>
          </c:spPr>
          <c:invertIfNegative val="0"/>
          <c:cat>
            <c:strRef>
              <c:f>Sheet1!$G$23:$G$32</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Sheet1!$J$23:$J$32</c:f>
              <c:numCache>
                <c:formatCode>#,##0</c:formatCode>
                <c:ptCount val="10"/>
                <c:pt idx="0">
                  <c:v>17.725000000000001</c:v>
                </c:pt>
                <c:pt idx="1">
                  <c:v>16.433333333333334</c:v>
                </c:pt>
                <c:pt idx="2">
                  <c:v>15.525000000000004</c:v>
                </c:pt>
                <c:pt idx="3">
                  <c:v>14.366666666666667</c:v>
                </c:pt>
                <c:pt idx="4">
                  <c:v>14.775</c:v>
                </c:pt>
                <c:pt idx="5">
                  <c:v>15.724999999999996</c:v>
                </c:pt>
                <c:pt idx="6">
                  <c:v>16.641666666666666</c:v>
                </c:pt>
                <c:pt idx="7">
                  <c:v>17.308333333333334</c:v>
                </c:pt>
                <c:pt idx="8">
                  <c:v>20.200000000000003</c:v>
                </c:pt>
                <c:pt idx="9">
                  <c:v>20.083333333333332</c:v>
                </c:pt>
              </c:numCache>
            </c:numRef>
          </c:val>
        </c:ser>
        <c:dLbls>
          <c:showLegendKey val="0"/>
          <c:showVal val="0"/>
          <c:showCatName val="0"/>
          <c:showSerName val="0"/>
          <c:showPercent val="0"/>
          <c:showBubbleSize val="0"/>
        </c:dLbls>
        <c:gapWidth val="219"/>
        <c:overlap val="-27"/>
        <c:axId val="298673696"/>
        <c:axId val="296097568"/>
      </c:barChart>
      <c:catAx>
        <c:axId val="298673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097568"/>
        <c:crosses val="autoZero"/>
        <c:auto val="1"/>
        <c:lblAlgn val="ctr"/>
        <c:lblOffset val="100"/>
        <c:noMultiLvlLbl val="0"/>
      </c:catAx>
      <c:valAx>
        <c:axId val="296097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673696"/>
        <c:crosses val="autoZero"/>
        <c:crossBetween val="between"/>
        <c:majorUnit val="2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adb9bed2e36e4a93af574aeb444da63e xmlns="d92934b5-032c-4da3-958e-788fdb9771c1">
      <Terms xmlns="http://schemas.microsoft.com/office/infopath/2007/PartnerControls">
        <TermInfo xmlns="http://schemas.microsoft.com/office/infopath/2007/PartnerControls">
          <TermName xmlns="http://schemas.microsoft.com/office/infopath/2007/PartnerControls">Regulation Impact Statment</TermName>
          <TermId xmlns="http://schemas.microsoft.com/office/infopath/2007/PartnerControls">3fc0abb2-ac7c-4aff-a4cd-18f1fa5eae42</TermId>
        </TermInfo>
      </Terms>
    </adb9bed2e36e4a93af574aeb444da63e>
    <n99e4c9942c6404eb103464a00e6097b xmlns="d92934b5-032c-4da3-958e-788fdb9771c1">
      <Terms xmlns="http://schemas.microsoft.com/office/infopath/2007/PartnerControls">
        <TermInfo xmlns="http://schemas.microsoft.com/office/infopath/2007/PartnerControls">
          <TermName xmlns="http://schemas.microsoft.com/office/infopath/2007/PartnerControls">2020-21</TermName>
          <TermId xmlns="http://schemas.microsoft.com/office/infopath/2007/PartnerControls">fc8bd51e-588a-4169-a977-a72f113edbe3</TermId>
        </TermInfo>
      </Terms>
    </n99e4c9942c6404eb103464a00e6097b>
    <pe2555c81638466f9eb614edb9ecde52 xmlns="d92934b5-032c-4da3-958e-788fdb9771c1">
      <Terms xmlns="http://schemas.microsoft.com/office/infopath/2007/PartnerControls">
        <TermInfo xmlns="http://schemas.microsoft.com/office/infopath/2007/PartnerControls">
          <TermName xmlns="http://schemas.microsoft.com/office/infopath/2007/PartnerControls">Analysis</TermName>
          <TermId xmlns="http://schemas.microsoft.com/office/infopath/2007/PartnerControls">48c54089-4c01-49cb-b266-0173afb66157</TermId>
        </TermInfo>
      </Terms>
    </pe2555c81638466f9eb614edb9ecde52>
    <aa25a1a23adf4c92a153145de6afe324 xmlns="d92934b5-032c-4da3-958e-788fdb9771c1">
      <Terms xmlns="http://schemas.microsoft.com/office/infopath/2007/PartnerControls">
        <TermInfo xmlns="http://schemas.microsoft.com/office/infopath/2007/PartnerControls">
          <TermName xmlns="http://schemas.microsoft.com/office/infopath/2007/PartnerControls">Cabinet</TermName>
          <TermId xmlns="http://schemas.microsoft.com/office/infopath/2007/PartnerControls">8f5a38e0-0fb9-4e7f-a5c4-ce00bdbe5b86</TermId>
        </TermInfo>
      </Terms>
    </aa25a1a23adf4c92a153145de6afe324>
    <g7bcb40ba23249a78edca7d43a67c1c9 xmlns="d92934b5-032c-4da3-958e-788fdb9771c1">
      <Terms xmlns="http://schemas.microsoft.com/office/infopath/2007/PartnerControls">
        <TermInfo xmlns="http://schemas.microsoft.com/office/infopath/2007/PartnerControls">
          <TermName xmlns="http://schemas.microsoft.com/office/infopath/2007/PartnerControls">Analysis</TermName>
          <TermId xmlns="http://schemas.microsoft.com/office/infopath/2007/PartnerControls">f03549ca-48e3-445d-9616-5df11514ff56</TermId>
        </TermInfo>
      </Terms>
    </g7bcb40ba23249a78edca7d43a67c1c9>
    <TaxCatchAll xmlns="d92934b5-032c-4da3-958e-788fdb9771c1">
      <Value>62</Value>
      <Value>320</Value>
      <Value>319</Value>
      <Value>283</Value>
      <Value>21</Value>
    </TaxCatchAll>
    <h562caa41cd8435eb8b6f0bdc23e20a9 xmlns="d92934b5-032c-4da3-958e-788fdb9771c1">
      <Terms xmlns="http://schemas.microsoft.com/office/infopath/2007/PartnerControls"/>
    </h562caa41cd8435eb8b6f0bdc23e20a9>
    <c421223fb69a446d90ae43f25b64a117 xmlns="d92934b5-032c-4da3-958e-788fdb9771c1">
      <Terms xmlns="http://schemas.microsoft.com/office/infopath/2007/PartnerControls"/>
    </c421223fb69a446d90ae43f25b64a117>
    <ob0a415d961d4345a6f140d686bf0e13 xmlns="d92934b5-032c-4da3-958e-788fdb9771c1">
      <Terms xmlns="http://schemas.microsoft.com/office/infopath/2007/PartnerControls"/>
    </ob0a415d961d4345a6f140d686bf0e13>
    <_dlc_DocId xmlns="d92934b5-032c-4da3-958e-788fdb9771c1">TPVNE2APAN32-1730284954-402</_dlc_DocId>
    <_dlc_DocIdUrl xmlns="d92934b5-032c-4da3-958e-788fdb9771c1">
      <Url>https://dochub/div/energyse/businessfunctions/divisionalcabsubbrief/_layouts/15/DocIdRedir.aspx?ID=TPVNE2APAN32-1730284954-402</Url>
      <Description>TPVNE2APAN32-1730284954-402</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DB14206D4F54694BE8BD93B2F1ED3" ma:contentTypeVersion="20" ma:contentTypeDescription="Create a new document." ma:contentTypeScope="" ma:versionID="9c92efa49d9a466526b43232fd7ac7b1">
  <xsd:schema xmlns:xsd="http://www.w3.org/2001/XMLSchema" xmlns:xs="http://www.w3.org/2001/XMLSchema" xmlns:p="http://schemas.microsoft.com/office/2006/metadata/properties" xmlns:ns1="http://schemas.microsoft.com/sharepoint/v3" xmlns:ns2="d92934b5-032c-4da3-958e-788fdb9771c1" xmlns:ns3="http://schemas.microsoft.com/sharepoint/v4" targetNamespace="http://schemas.microsoft.com/office/2006/metadata/properties" ma:root="true" ma:fieldsID="83b60b11e0318ad6efcad298ddace5ea" ns1:_="" ns2:_="" ns3:_="">
    <xsd:import namespace="http://schemas.microsoft.com/sharepoint/v3"/>
    <xsd:import namespace="d92934b5-032c-4da3-958e-788fdb9771c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h562caa41cd8435eb8b6f0bdc23e20a9" minOccurs="0"/>
                <xsd:element ref="ns2:ob0a415d961d4345a6f140d686bf0e13" minOccurs="0"/>
                <xsd:element ref="ns2:c421223fb69a446d90ae43f25b64a117"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h562caa41cd8435eb8b6f0bdc23e20a9" ma:index="24"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ob0a415d961d4345a6f140d686bf0e13" ma:index="26" nillable="true" ma:taxonomy="true" ma:internalName="ob0a415d961d4345a6f140d686bf0e13" ma:taxonomyFieldName="DocHub_DepartmentalDivisions" ma:displayName="Departmental Divisions" ma:indexed="true" ma:fieldId="{8b0a415d-961d-4345-a6f1-40d686bf0e13}" ma:sspId="fb0313f7-9433-48c0-866e-9e0bbee59a50" ma:termSetId="98748e69-3989-4ecc-b86e-0913e7910482" ma:anchorId="00000000-0000-0000-0000-000000000000" ma:open="false" ma:isKeyword="false">
      <xsd:complexType>
        <xsd:sequence>
          <xsd:element ref="pc:Terms" minOccurs="0" maxOccurs="1"/>
        </xsd:sequence>
      </xsd:complexType>
    </xsd:element>
    <xsd:element name="c421223fb69a446d90ae43f25b64a117" ma:index="28" nillable="true" ma:taxonomy="true" ma:internalName="c421223fb69a446d90ae43f25b64a117" ma:taxonomyFieldName="DocHub_Month" ma:displayName="Month" ma:indexed="true" ma:fieldId="{c421223f-b69a-446d-90ae-43f25b64a117}" ma:sspId="fb0313f7-9433-48c0-866e-9e0bbee59a50" ma:termSetId="c0795e1f-452e-4dd9-b903-687fb1414072" ma:anchorId="00000000-0000-0000-0000-000000000000" ma:open="fals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DC05D-ABF0-44BE-A6A8-A6FFAF42C39C}">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d92934b5-032c-4da3-958e-788fdb9771c1"/>
    <ds:schemaRef ds:uri="http://schemas.microsoft.com/office/2006/metadata/properties"/>
    <ds:schemaRef ds:uri="http://schemas.microsoft.com/office/infopath/2007/PartnerControl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2B4C76F8-4096-443C-A246-E38D7B35E2C6}">
  <ds:schemaRefs>
    <ds:schemaRef ds:uri="http://schemas.microsoft.com/sharepoint/v3/contenttype/forms"/>
  </ds:schemaRefs>
</ds:datastoreItem>
</file>

<file path=customXml/itemProps3.xml><?xml version="1.0" encoding="utf-8"?>
<ds:datastoreItem xmlns:ds="http://schemas.openxmlformats.org/officeDocument/2006/customXml" ds:itemID="{DB39311E-3573-4A5B-BAA7-A1DC0869B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2934b5-032c-4da3-958e-788fdb9771c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DA4357-CCED-406A-910D-FFA41FF8AA0A}">
  <ds:schemaRefs>
    <ds:schemaRef ds:uri="http://schemas.microsoft.com/sharepoint/events"/>
  </ds:schemaRefs>
</ds:datastoreItem>
</file>

<file path=customXml/itemProps5.xml><?xml version="1.0" encoding="utf-8"?>
<ds:datastoreItem xmlns:ds="http://schemas.openxmlformats.org/officeDocument/2006/customXml" ds:itemID="{1A9B653D-1BCB-444B-8C4D-C2C359A6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41</Pages>
  <Words>13118</Words>
  <Characters>73521</Characters>
  <Application>Microsoft Office Word</Application>
  <DocSecurity>0</DocSecurity>
  <Lines>2067</Lines>
  <Paragraphs>759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ALLBEURY, David John (Protected)</dc:creator>
  <cp:keywords/>
  <dc:description/>
  <cp:lastModifiedBy>Newstead, Ryland</cp:lastModifiedBy>
  <cp:revision>15</cp:revision>
  <cp:lastPrinted>2021-06-15T23:27:00Z</cp:lastPrinted>
  <dcterms:created xsi:type="dcterms:W3CDTF">2021-05-20T02:00:00Z</dcterms:created>
  <dcterms:modified xsi:type="dcterms:W3CDTF">2021-06-15T23:30:00Z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0x010100EF0DB14206D4F54694BE8BD93B2F1ED3</vt:lpwstr>
  </property>
  <property fmtid="{D5CDD505-2E9C-101B-9397-08002B2CF9AE}" pid="3" name="DocHub_Year">
    <vt:lpwstr>320;#2020-21|fc8bd51e-588a-4169-a977-a72f113edbe3</vt:lpwstr>
  </property>
  <property fmtid="{D5CDD505-2E9C-101B-9397-08002B2CF9AE}" pid="4" name="DocHub_DocumentType">
    <vt:lpwstr>62;#Analysis|48c54089-4c01-49cb-b266-0173afb66157</vt:lpwstr>
  </property>
  <property fmtid="{D5CDD505-2E9C-101B-9397-08002B2CF9AE}" pid="5" name="DocHub_SecurityClassification">
    <vt:lpwstr>21;#Cabinet|8f5a38e0-0fb9-4e7f-a5c4-ce00bdbe5b86</vt:lpwstr>
  </property>
  <property fmtid="{D5CDD505-2E9C-101B-9397-08002B2CF9AE}" pid="6" name="DocHub_Keywords">
    <vt:lpwstr>319;#Regulation Impact Statment|3fc0abb2-ac7c-4aff-a4cd-18f1fa5eae42</vt:lpwstr>
  </property>
  <property fmtid="{D5CDD505-2E9C-101B-9397-08002B2CF9AE}" pid="7" name="DocHub_DomesticFuelSecurityWorkTopic">
    <vt:lpwstr>321;#Regulatory Impact Analysis|622f6b0a-7a95-4e8e-a413-9887aae54429</vt:lpwstr>
  </property>
  <property fmtid="{D5CDD505-2E9C-101B-9397-08002B2CF9AE}" pid="8" name="DocHub_WorkActivity">
    <vt:lpwstr>283;#Analysis|f03549ca-48e3-445d-9616-5df11514ff56</vt:lpwstr>
  </property>
  <property fmtid="{D5CDD505-2E9C-101B-9397-08002B2CF9AE}" pid="9" name="m95bb60077354302ba31307ba76d3022">
    <vt:lpwstr>Regulatory Impact Analysis|622f6b0a-7a95-4e8e-a413-9887aae54429</vt:lpwstr>
  </property>
  <property fmtid="{D5CDD505-2E9C-101B-9397-08002B2CF9AE}" pid="10" name="DocHub_DepartmentalDivisions">
    <vt:lpwstr/>
  </property>
  <property fmtid="{D5CDD505-2E9C-101B-9397-08002B2CF9AE}" pid="11" name="DocHub_Month">
    <vt:lpwstr/>
  </property>
  <property fmtid="{D5CDD505-2E9C-101B-9397-08002B2CF9AE}" pid="12" name="DocHub_BriefingCorrespondenceType">
    <vt:lpwstr/>
  </property>
  <property fmtid="{D5CDD505-2E9C-101B-9397-08002B2CF9AE}" pid="13" name="_dlc_DocIdItemGuid">
    <vt:lpwstr>e38fb6da-041e-4658-a5ec-feac13a4d69f</vt:lpwstr>
  </property>
  <property fmtid="{D5CDD505-2E9C-101B-9397-08002B2CF9AE}" pid="14" name="IconOverlay">
    <vt:lpwstr/>
  </property>
</Properties>
</file>