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9F" w:rsidRPr="00DC60E6" w:rsidRDefault="00902567" w:rsidP="00BA0F9F">
      <w:bookmarkStart w:id="0" w:name="_GoBack"/>
      <w:bookmarkEnd w:id="0"/>
      <w:r>
        <w:t xml:space="preserve">5 </w:t>
      </w:r>
      <w:r w:rsidR="0068607B" w:rsidRPr="00831C6D">
        <w:t>August</w:t>
      </w:r>
      <w:r w:rsidR="00877659" w:rsidRPr="00831C6D">
        <w:t xml:space="preserve"> 2021</w:t>
      </w:r>
    </w:p>
    <w:p w:rsidR="00BA0F9F" w:rsidRPr="00DC60E6" w:rsidRDefault="003E7912" w:rsidP="00BA0F9F">
      <w:r>
        <w:t>OBPR ID:</w:t>
      </w:r>
      <w:r w:rsidR="006F4AD8">
        <w:t xml:space="preserve"> </w:t>
      </w:r>
      <w:r w:rsidR="007F029D">
        <w:t>25170</w:t>
      </w:r>
    </w:p>
    <w:p w:rsidR="00902567" w:rsidRDefault="00902567" w:rsidP="0054724B">
      <w:pPr>
        <w:spacing w:after="0"/>
      </w:pPr>
    </w:p>
    <w:p w:rsidR="0054724B" w:rsidRDefault="0054724B" w:rsidP="0054724B">
      <w:pPr>
        <w:spacing w:after="0"/>
      </w:pPr>
      <w:r>
        <w:t>Mr Jason Lange</w:t>
      </w:r>
    </w:p>
    <w:p w:rsidR="0054724B" w:rsidRDefault="0054724B" w:rsidP="0054724B">
      <w:pPr>
        <w:spacing w:after="0"/>
      </w:pPr>
      <w:r>
        <w:t>Executive Director</w:t>
      </w:r>
    </w:p>
    <w:p w:rsidR="0054724B" w:rsidRDefault="0054724B" w:rsidP="0054724B">
      <w:pPr>
        <w:spacing w:after="0"/>
      </w:pPr>
      <w:r>
        <w:t>Office of Best Practice Regulation</w:t>
      </w:r>
    </w:p>
    <w:p w:rsidR="0054724B" w:rsidRDefault="0054724B" w:rsidP="0054724B">
      <w:pPr>
        <w:spacing w:after="0"/>
      </w:pPr>
      <w:r>
        <w:t>Department of the Prime Minister and Cabinet</w:t>
      </w:r>
    </w:p>
    <w:p w:rsidR="0054724B" w:rsidRDefault="0054724B" w:rsidP="0054724B">
      <w:pPr>
        <w:spacing w:after="0"/>
      </w:pPr>
      <w:r>
        <w:t>1 National Circuit</w:t>
      </w:r>
    </w:p>
    <w:p w:rsidR="00BA0F9F" w:rsidRPr="00DC60E6" w:rsidRDefault="0054724B" w:rsidP="0054724B">
      <w:pPr>
        <w:jc w:val="left"/>
      </w:pPr>
      <w:r>
        <w:t>BARTON   ACT   2600</w:t>
      </w:r>
      <w:r>
        <w:br/>
      </w:r>
      <w:r>
        <w:br/>
      </w:r>
      <w:r w:rsidR="00D44E4C">
        <w:t>Email: helpdesk-obpr@pmc.gov.au</w:t>
      </w:r>
    </w:p>
    <w:p w:rsidR="00902567" w:rsidRDefault="00902567" w:rsidP="00902567">
      <w:pPr>
        <w:spacing w:after="0"/>
      </w:pPr>
    </w:p>
    <w:p w:rsidR="00BA0F9F" w:rsidRPr="00DC60E6" w:rsidRDefault="00BA0F9F" w:rsidP="00BA0F9F">
      <w:r w:rsidRPr="00DC60E6">
        <w:t xml:space="preserve">Dear </w:t>
      </w:r>
      <w:r w:rsidR="00D44E4C">
        <w:t xml:space="preserve">Mr </w:t>
      </w:r>
      <w:r w:rsidR="0054724B">
        <w:t>Lange,</w:t>
      </w:r>
    </w:p>
    <w:p w:rsidR="000C44E3" w:rsidRPr="000159FB" w:rsidRDefault="00D44E4C" w:rsidP="00DD55C2">
      <w:pPr>
        <w:pStyle w:val="LetterCAPSTitle"/>
        <w:jc w:val="left"/>
        <w:rPr>
          <w:i/>
        </w:rPr>
      </w:pPr>
      <w:r w:rsidRPr="00DD55C2">
        <w:rPr>
          <w:rStyle w:val="LetterCAPSTitleChar"/>
          <w:b/>
        </w:rPr>
        <w:t xml:space="preserve">CERTIFICATION OF APRA’S </w:t>
      </w:r>
      <w:r w:rsidR="00345E76" w:rsidRPr="00DD55C2">
        <w:rPr>
          <w:rStyle w:val="LetterCAPSTitleChar"/>
          <w:b/>
        </w:rPr>
        <w:t>NEW</w:t>
      </w:r>
      <w:r w:rsidR="004A548A" w:rsidRPr="00DD55C2">
        <w:rPr>
          <w:rStyle w:val="LetterCAPSTitleChar"/>
          <w:b/>
        </w:rPr>
        <w:t xml:space="preserve"> PRUDENTIAL STANDARD: </w:t>
      </w:r>
      <w:r w:rsidR="00345E76" w:rsidRPr="00DD55C2">
        <w:rPr>
          <w:rStyle w:val="LetterCAPSTitleChar"/>
          <w:b/>
        </w:rPr>
        <w:t>C</w:t>
      </w:r>
      <w:r w:rsidR="004A548A" w:rsidRPr="00DD55C2">
        <w:rPr>
          <w:rStyle w:val="LetterCAPSTitleChar"/>
          <w:b/>
        </w:rPr>
        <w:t xml:space="preserve">PS </w:t>
      </w:r>
      <w:r w:rsidR="00345E76" w:rsidRPr="00DD55C2">
        <w:rPr>
          <w:rStyle w:val="LetterCAPSTitleChar"/>
          <w:b/>
        </w:rPr>
        <w:t>5</w:t>
      </w:r>
      <w:r w:rsidR="004A548A" w:rsidRPr="00DD55C2">
        <w:rPr>
          <w:rStyle w:val="LetterCAPSTitleChar"/>
          <w:b/>
        </w:rPr>
        <w:t xml:space="preserve">11 </w:t>
      </w:r>
      <w:r w:rsidR="00345E76" w:rsidRPr="00DD55C2">
        <w:rPr>
          <w:rStyle w:val="LetterCAPSTitleChar"/>
          <w:b/>
        </w:rPr>
        <w:t>REMUNERATION</w:t>
      </w:r>
      <w:r w:rsidR="004A548A" w:rsidRPr="00DD55C2">
        <w:rPr>
          <w:rStyle w:val="LetterCAPSTitleChar"/>
          <w:b/>
        </w:rPr>
        <w:t xml:space="preserve"> </w:t>
      </w:r>
    </w:p>
    <w:p w:rsidR="00601C07" w:rsidRDefault="00601C07" w:rsidP="00601C07">
      <w:r>
        <w:t xml:space="preserve">I am writing to certify that APRA’s development of its </w:t>
      </w:r>
      <w:r>
        <w:rPr>
          <w:i/>
        </w:rPr>
        <w:t>P</w:t>
      </w:r>
      <w:r w:rsidRPr="004A548A">
        <w:rPr>
          <w:i/>
        </w:rPr>
        <w:t xml:space="preserve">rudential </w:t>
      </w:r>
      <w:r>
        <w:rPr>
          <w:i/>
        </w:rPr>
        <w:t>S</w:t>
      </w:r>
      <w:r w:rsidRPr="004A548A">
        <w:rPr>
          <w:i/>
        </w:rPr>
        <w:t xml:space="preserve">tandard: </w:t>
      </w:r>
      <w:r>
        <w:rPr>
          <w:i/>
        </w:rPr>
        <w:t xml:space="preserve">CPS 511 Remuneration </w:t>
      </w:r>
      <w:r w:rsidRPr="00351A0B">
        <w:t>(</w:t>
      </w:r>
      <w:r>
        <w:t>CPS 511</w:t>
      </w:r>
      <w:r w:rsidRPr="00351A0B">
        <w:t>)</w:t>
      </w:r>
      <w:r>
        <w:rPr>
          <w:i/>
        </w:rPr>
        <w:t xml:space="preserve"> </w:t>
      </w:r>
      <w:r>
        <w:t>has followed a similar process to that required under a Regulation Impact Statement (RIS). APRA has addressed all seven RIS questions, as set out in the attachment to this letter.</w:t>
      </w:r>
    </w:p>
    <w:p w:rsidR="00F1665B" w:rsidRDefault="00F1665B" w:rsidP="00F1665B">
      <w:bookmarkStart w:id="1" w:name="_Hlk78467995"/>
      <w:r>
        <w:t xml:space="preserve">As set out in the attachment, APRA considered a number of policy options in developing CPS 511 reforms. These options </w:t>
      </w:r>
      <w:r w:rsidR="00A20005">
        <w:t xml:space="preserve">can be broadly summarised as extensive reform across all APRA-regulated entities, </w:t>
      </w:r>
      <w:r>
        <w:t xml:space="preserve">targeted </w:t>
      </w:r>
      <w:r w:rsidR="00A20005">
        <w:t>reforms</w:t>
      </w:r>
      <w:r>
        <w:t xml:space="preserve"> at the largest and most complex entities</w:t>
      </w:r>
      <w:r w:rsidR="00A20005">
        <w:t xml:space="preserve">, and </w:t>
      </w:r>
      <w:r w:rsidR="00B635C7">
        <w:t>no changes to existing requirements</w:t>
      </w:r>
      <w:r>
        <w:t xml:space="preserve">. In developing the revised </w:t>
      </w:r>
      <w:r w:rsidR="00B635C7">
        <w:t>C</w:t>
      </w:r>
      <w:r>
        <w:t xml:space="preserve">PS </w:t>
      </w:r>
      <w:r w:rsidR="00B635C7">
        <w:t>511</w:t>
      </w:r>
      <w:r>
        <w:t xml:space="preserve">, APRA also considered additional alternative options that were put forward by industry during consultation. These are discussed in APRA’s </w:t>
      </w:r>
      <w:r w:rsidR="00B635C7">
        <w:t>November 2020 Response Paper and APRA’s forthcoming August 2021 Response Paper</w:t>
      </w:r>
      <w:r>
        <w:t>.</w:t>
      </w:r>
      <w:bookmarkEnd w:id="1"/>
    </w:p>
    <w:p w:rsidR="00601C07" w:rsidRDefault="00601C07" w:rsidP="00601C07">
      <w:r>
        <w:t>Using the regulatory burden measurement framework, APRA estimates that regulated entities</w:t>
      </w:r>
      <w:r>
        <w:rPr>
          <w:rFonts w:cs="Arial"/>
          <w:szCs w:val="22"/>
          <w:lang w:val="en-GB"/>
        </w:rPr>
        <w:t xml:space="preserve"> will incur additional compliance costs from the implementation of CPS 511. In aggregate</w:t>
      </w:r>
      <w:r w:rsidR="00413330">
        <w:rPr>
          <w:rFonts w:cs="Arial"/>
          <w:szCs w:val="22"/>
          <w:lang w:val="en-GB"/>
        </w:rPr>
        <w:t xml:space="preserve"> –</w:t>
      </w:r>
      <w:r>
        <w:rPr>
          <w:rFonts w:cs="Arial"/>
          <w:szCs w:val="22"/>
          <w:lang w:val="en-GB"/>
        </w:rPr>
        <w:t xml:space="preserve"> across</w:t>
      </w:r>
      <w:r w:rsidR="00413330">
        <w:rPr>
          <w:rFonts w:cs="Arial"/>
          <w:szCs w:val="22"/>
          <w:lang w:val="en-GB"/>
        </w:rPr>
        <w:t xml:space="preserve"> </w:t>
      </w:r>
      <w:r>
        <w:rPr>
          <w:rFonts w:cs="Arial"/>
          <w:szCs w:val="22"/>
          <w:lang w:val="en-GB"/>
        </w:rPr>
        <w:t>banks, insurers and superannuation fund trustees</w:t>
      </w:r>
      <w:r w:rsidR="00413330">
        <w:rPr>
          <w:rFonts w:cs="Arial"/>
          <w:szCs w:val="22"/>
          <w:lang w:val="en-GB"/>
        </w:rPr>
        <w:t xml:space="preserve"> –</w:t>
      </w:r>
      <w:r>
        <w:rPr>
          <w:rFonts w:cs="Arial"/>
          <w:szCs w:val="22"/>
          <w:lang w:val="en-GB"/>
        </w:rPr>
        <w:t xml:space="preserve"> APRA</w:t>
      </w:r>
      <w:r w:rsidR="00413330">
        <w:rPr>
          <w:rFonts w:cs="Arial"/>
          <w:szCs w:val="22"/>
          <w:lang w:val="en-GB"/>
        </w:rPr>
        <w:t xml:space="preserve"> </w:t>
      </w:r>
      <w:r>
        <w:rPr>
          <w:rFonts w:cs="Arial"/>
          <w:szCs w:val="22"/>
          <w:lang w:val="en-GB"/>
        </w:rPr>
        <w:t xml:space="preserve">estimates these costs </w:t>
      </w:r>
      <w:r>
        <w:t>at around $</w:t>
      </w:r>
      <w:r w:rsidR="00F52194">
        <w:t>38</w:t>
      </w:r>
      <w:r>
        <w:t xml:space="preserve"> million per year, over the next 10 years (see Table 1 below). In APRA’s view, these costs will be more than offset by the benefits from APRA’s reforms, which seek to strengthen </w:t>
      </w:r>
      <w:r w:rsidR="00413330">
        <w:t>remuneration arrangements and address Royal Commission recommendations, through strengthened incentives, appropriate consequences and greater accountability</w:t>
      </w:r>
      <w:r>
        <w:t>.</w:t>
      </w:r>
    </w:p>
    <w:p w:rsidR="00A372B7" w:rsidRPr="00E40CED" w:rsidRDefault="00E40CED" w:rsidP="00E40CED">
      <w:pPr>
        <w:pStyle w:val="BodyText"/>
        <w:ind w:left="993" w:hanging="993"/>
        <w:rPr>
          <w:i/>
        </w:rPr>
      </w:pPr>
      <w:r w:rsidRPr="00E40CED">
        <w:rPr>
          <w:i/>
        </w:rPr>
        <w:t>Ta</w:t>
      </w:r>
      <w:r>
        <w:rPr>
          <w:i/>
        </w:rPr>
        <w:t>ble 1</w:t>
      </w:r>
      <w:r>
        <w:rPr>
          <w:i/>
        </w:rPr>
        <w:tab/>
      </w:r>
      <w:r w:rsidR="00E83E6B">
        <w:rPr>
          <w:i/>
        </w:rPr>
        <w:t>Estimate of r</w:t>
      </w:r>
      <w:r w:rsidRPr="00E40CED">
        <w:rPr>
          <w:i/>
        </w:rPr>
        <w:t>egulatory burd</w:t>
      </w:r>
      <w:r w:rsidR="00E83E6B">
        <w:rPr>
          <w:i/>
        </w:rPr>
        <w:t>en</w:t>
      </w:r>
    </w:p>
    <w:tbl>
      <w:tblPr>
        <w:tblStyle w:val="GridTable5Dark-Accent1"/>
        <w:tblW w:w="5003" w:type="pct"/>
        <w:tblLook w:val="04A0" w:firstRow="1" w:lastRow="0" w:firstColumn="1" w:lastColumn="0" w:noHBand="0" w:noVBand="1"/>
      </w:tblPr>
      <w:tblGrid>
        <w:gridCol w:w="2265"/>
        <w:gridCol w:w="1689"/>
        <w:gridCol w:w="1689"/>
        <w:gridCol w:w="1689"/>
        <w:gridCol w:w="1689"/>
      </w:tblGrid>
      <w:tr w:rsidR="00116DF8" w:rsidRPr="00D257AA" w:rsidTr="00037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gridSpan w:val="5"/>
            <w:shd w:val="clear" w:color="auto" w:fill="002060"/>
          </w:tcPr>
          <w:p w:rsidR="00116DF8" w:rsidRPr="00D257AA" w:rsidRDefault="00D257AA" w:rsidP="00B42A4C">
            <w:pPr>
              <w:pStyle w:val="APRANORMAL"/>
              <w:spacing w:before="60" w:after="60"/>
              <w:jc w:val="center"/>
              <w:rPr>
                <w:rFonts w:ascii="Arial" w:hAnsi="Arial" w:cs="Arial"/>
                <w:bCs w:val="0"/>
                <w:sz w:val="20"/>
                <w:szCs w:val="20"/>
              </w:rPr>
            </w:pPr>
            <w:r w:rsidRPr="00D257AA">
              <w:rPr>
                <w:rFonts w:ascii="Arial" w:hAnsi="Arial" w:cs="Arial"/>
                <w:b w:val="0"/>
                <w:sz w:val="20"/>
                <w:szCs w:val="20"/>
              </w:rPr>
              <w:t>Annual regulatory costs, averaged over 10 years</w:t>
            </w:r>
            <w:r w:rsidR="00E83E6B" w:rsidRPr="00D257AA">
              <w:rPr>
                <w:rFonts w:ascii="Arial" w:hAnsi="Arial" w:cs="Arial"/>
                <w:b w:val="0"/>
                <w:sz w:val="20"/>
                <w:szCs w:val="20"/>
              </w:rPr>
              <w:br/>
              <w:t>$m</w:t>
            </w:r>
          </w:p>
        </w:tc>
      </w:tr>
      <w:tr w:rsidR="00A372B7" w:rsidRPr="00D257AA" w:rsidTr="0011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002060"/>
          </w:tcPr>
          <w:p w:rsidR="00A372B7" w:rsidRPr="00D257AA" w:rsidRDefault="00E83E6B" w:rsidP="00B42A4C">
            <w:pPr>
              <w:pStyle w:val="APRANORMAL"/>
              <w:spacing w:before="60" w:after="60"/>
              <w:rPr>
                <w:rFonts w:ascii="Arial" w:hAnsi="Arial" w:cs="Arial"/>
                <w:b w:val="0"/>
                <w:sz w:val="20"/>
                <w:szCs w:val="20"/>
              </w:rPr>
            </w:pPr>
            <w:r w:rsidRPr="00D257AA">
              <w:rPr>
                <w:rFonts w:ascii="Arial" w:hAnsi="Arial" w:cs="Arial"/>
                <w:b w:val="0"/>
                <w:sz w:val="20"/>
                <w:szCs w:val="20"/>
              </w:rPr>
              <w:t>Change in costs</w:t>
            </w:r>
          </w:p>
        </w:tc>
        <w:tc>
          <w:tcPr>
            <w:tcW w:w="1689" w:type="dxa"/>
            <w:shd w:val="clear" w:color="auto" w:fill="D9D9D9" w:themeFill="background1" w:themeFillShade="D9"/>
          </w:tcPr>
          <w:p w:rsidR="00A372B7" w:rsidRPr="00D257AA" w:rsidRDefault="00E83E6B" w:rsidP="00E83E6B">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D257AA">
              <w:rPr>
                <w:sz w:val="20"/>
                <w:szCs w:val="20"/>
              </w:rPr>
              <w:t>Business</w:t>
            </w:r>
          </w:p>
        </w:tc>
        <w:tc>
          <w:tcPr>
            <w:tcW w:w="1689" w:type="dxa"/>
            <w:shd w:val="clear" w:color="auto" w:fill="D9D9D9" w:themeFill="background1" w:themeFillShade="D9"/>
          </w:tcPr>
          <w:p w:rsidR="00A372B7" w:rsidRPr="00D257AA" w:rsidRDefault="00E83E6B" w:rsidP="00E83E6B">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D257AA">
              <w:rPr>
                <w:sz w:val="20"/>
                <w:szCs w:val="20"/>
              </w:rPr>
              <w:t>Community organisations</w:t>
            </w:r>
          </w:p>
        </w:tc>
        <w:tc>
          <w:tcPr>
            <w:tcW w:w="1689" w:type="dxa"/>
            <w:shd w:val="clear" w:color="auto" w:fill="D9D9D9" w:themeFill="background1" w:themeFillShade="D9"/>
          </w:tcPr>
          <w:p w:rsidR="00A372B7" w:rsidRPr="00D257AA" w:rsidRDefault="00E83E6B" w:rsidP="00E83E6B">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D257AA">
              <w:rPr>
                <w:sz w:val="20"/>
                <w:szCs w:val="20"/>
              </w:rPr>
              <w:t>Individuals</w:t>
            </w:r>
          </w:p>
        </w:tc>
        <w:tc>
          <w:tcPr>
            <w:tcW w:w="1689" w:type="dxa"/>
            <w:shd w:val="clear" w:color="auto" w:fill="D9D9D9" w:themeFill="background1" w:themeFillShade="D9"/>
          </w:tcPr>
          <w:p w:rsidR="00A372B7" w:rsidRPr="00D257AA" w:rsidRDefault="00E83E6B" w:rsidP="00E83E6B">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D257AA">
              <w:rPr>
                <w:sz w:val="20"/>
                <w:szCs w:val="20"/>
              </w:rPr>
              <w:t>Total change in costs</w:t>
            </w:r>
          </w:p>
        </w:tc>
      </w:tr>
      <w:tr w:rsidR="00A372B7" w:rsidRPr="00D257AA" w:rsidTr="00116DF8">
        <w:tc>
          <w:tcPr>
            <w:cnfStyle w:val="001000000000" w:firstRow="0" w:lastRow="0" w:firstColumn="1" w:lastColumn="0" w:oddVBand="0" w:evenVBand="0" w:oddHBand="0" w:evenHBand="0" w:firstRowFirstColumn="0" w:firstRowLastColumn="0" w:lastRowFirstColumn="0" w:lastRowLastColumn="0"/>
            <w:tcW w:w="2265" w:type="dxa"/>
            <w:shd w:val="clear" w:color="auto" w:fill="002060"/>
          </w:tcPr>
          <w:p w:rsidR="00A372B7" w:rsidRPr="00D257AA" w:rsidRDefault="00E83E6B" w:rsidP="00B42A4C">
            <w:pPr>
              <w:pStyle w:val="APRANORMAL"/>
              <w:spacing w:before="60" w:after="60"/>
              <w:rPr>
                <w:rFonts w:ascii="Arial" w:hAnsi="Arial" w:cs="Arial"/>
                <w:b w:val="0"/>
                <w:sz w:val="20"/>
                <w:szCs w:val="20"/>
              </w:rPr>
            </w:pPr>
            <w:r w:rsidRPr="00D257AA">
              <w:rPr>
                <w:rFonts w:ascii="Arial" w:hAnsi="Arial" w:cs="Arial"/>
                <w:b w:val="0"/>
                <w:sz w:val="20"/>
                <w:szCs w:val="20"/>
              </w:rPr>
              <w:t>Total, by sector</w:t>
            </w:r>
          </w:p>
        </w:tc>
        <w:tc>
          <w:tcPr>
            <w:tcW w:w="1689" w:type="dxa"/>
            <w:shd w:val="clear" w:color="auto" w:fill="D9D9D9" w:themeFill="background1" w:themeFillShade="D9"/>
          </w:tcPr>
          <w:p w:rsidR="00A372B7" w:rsidRPr="00D257AA" w:rsidRDefault="00351A0B" w:rsidP="00E83E6B">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F52194">
              <w:rPr>
                <w:sz w:val="20"/>
                <w:szCs w:val="20"/>
              </w:rPr>
              <w:t>38</w:t>
            </w:r>
            <w:r w:rsidR="00630064">
              <w:rPr>
                <w:sz w:val="20"/>
                <w:szCs w:val="20"/>
              </w:rPr>
              <w:t xml:space="preserve"> million</w:t>
            </w:r>
          </w:p>
        </w:tc>
        <w:tc>
          <w:tcPr>
            <w:tcW w:w="1689" w:type="dxa"/>
            <w:shd w:val="clear" w:color="auto" w:fill="D9D9D9" w:themeFill="background1" w:themeFillShade="D9"/>
          </w:tcPr>
          <w:p w:rsidR="00A372B7" w:rsidRPr="00D257AA" w:rsidRDefault="00351A0B" w:rsidP="00E83E6B">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Nil</w:t>
            </w:r>
          </w:p>
        </w:tc>
        <w:tc>
          <w:tcPr>
            <w:tcW w:w="1689" w:type="dxa"/>
            <w:shd w:val="clear" w:color="auto" w:fill="D9D9D9" w:themeFill="background1" w:themeFillShade="D9"/>
          </w:tcPr>
          <w:p w:rsidR="00A372B7" w:rsidRPr="00D257AA" w:rsidRDefault="00351A0B" w:rsidP="00E83E6B">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Nil</w:t>
            </w:r>
          </w:p>
        </w:tc>
        <w:tc>
          <w:tcPr>
            <w:tcW w:w="1689" w:type="dxa"/>
            <w:shd w:val="clear" w:color="auto" w:fill="D9D9D9" w:themeFill="background1" w:themeFillShade="D9"/>
          </w:tcPr>
          <w:p w:rsidR="00A372B7" w:rsidRPr="00D257AA" w:rsidRDefault="00351A0B" w:rsidP="00E83E6B">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Nil</w:t>
            </w:r>
          </w:p>
        </w:tc>
      </w:tr>
    </w:tbl>
    <w:p w:rsidR="00413330" w:rsidRDefault="00413330" w:rsidP="00525D28">
      <w:r>
        <w:lastRenderedPageBreak/>
        <w:t>As part of the development of CPS 511, APRA considered three main policy options. APRA’s assessment of these options are summarised in Attach</w:t>
      </w:r>
      <w:r w:rsidR="00396B53">
        <w:t>ment</w:t>
      </w:r>
      <w:r>
        <w:t xml:space="preserve"> </w:t>
      </w:r>
      <w:r w:rsidR="00396B53">
        <w:t>A of this letter</w:t>
      </w:r>
      <w:r>
        <w:t xml:space="preserve">. </w:t>
      </w:r>
    </w:p>
    <w:p w:rsidR="00A372B7" w:rsidRDefault="00A372B7" w:rsidP="00525D28">
      <w:r>
        <w:t xml:space="preserve">Accordingly, I am satisfied that the attached report now meets best practice consistent with the </w:t>
      </w:r>
      <w:r w:rsidRPr="00E83E6B">
        <w:rPr>
          <w:i/>
        </w:rPr>
        <w:t>Australian Government Guide to Regulation</w:t>
      </w:r>
      <w:r>
        <w:t>.</w:t>
      </w:r>
    </w:p>
    <w:p w:rsidR="00A372B7" w:rsidRDefault="00A372B7" w:rsidP="00E83E6B">
      <w:pPr>
        <w:keepNext/>
      </w:pPr>
      <w:r>
        <w:t>Yours sincerely</w:t>
      </w:r>
      <w:r w:rsidR="003E592B">
        <w:t>,</w:t>
      </w:r>
    </w:p>
    <w:p w:rsidR="00A372B7" w:rsidRDefault="00A372B7" w:rsidP="00E83E6B">
      <w:pPr>
        <w:keepNext/>
      </w:pPr>
    </w:p>
    <w:p w:rsidR="00A372B7" w:rsidRDefault="00A372B7" w:rsidP="00A372B7"/>
    <w:p w:rsidR="00351A0B" w:rsidRDefault="00351A0B" w:rsidP="00351A0B"/>
    <w:p w:rsidR="00E83E6B" w:rsidRPr="00D257AA" w:rsidRDefault="00E83E6B" w:rsidP="000C44E3">
      <w:pPr>
        <w:rPr>
          <w:b/>
        </w:rPr>
      </w:pPr>
      <w:r w:rsidRPr="00D257AA">
        <w:rPr>
          <w:b/>
        </w:rPr>
        <w:t>Attachment</w:t>
      </w:r>
      <w:r w:rsidR="00BE1EE0">
        <w:rPr>
          <w:b/>
        </w:rPr>
        <w:t>s</w:t>
      </w:r>
    </w:p>
    <w:p w:rsidR="00387AE1" w:rsidRDefault="00387AE1" w:rsidP="00387AE1">
      <w:pPr>
        <w:jc w:val="left"/>
      </w:pPr>
      <w:r>
        <w:t>Attachment A: APRA Regulation Impact Analysis</w:t>
      </w:r>
    </w:p>
    <w:p w:rsidR="00B635C7" w:rsidRDefault="00387AE1" w:rsidP="00387AE1">
      <w:pPr>
        <w:jc w:val="left"/>
      </w:pPr>
      <w:r>
        <w:t xml:space="preserve">Attachment B: </w:t>
      </w:r>
      <w:r w:rsidR="00A20005">
        <w:t>APRA Discussion Paper – Strengthening prudential requirements for remuneration, July 2019</w:t>
      </w:r>
    </w:p>
    <w:p w:rsidR="00B635C7" w:rsidRDefault="00387AE1" w:rsidP="00387AE1">
      <w:pPr>
        <w:jc w:val="left"/>
      </w:pPr>
      <w:r>
        <w:t xml:space="preserve">Attachment C: </w:t>
      </w:r>
      <w:r w:rsidR="00B635C7">
        <w:t>APRA Response Paper – Strengthening prudential requirements for remuneration, November 2020</w:t>
      </w:r>
    </w:p>
    <w:p w:rsidR="00F413E1" w:rsidRDefault="00F413E1">
      <w:pPr>
        <w:spacing w:after="200" w:line="276" w:lineRule="auto"/>
        <w:jc w:val="left"/>
        <w:rPr>
          <w:highlight w:val="yellow"/>
        </w:rPr>
      </w:pPr>
      <w:r>
        <w:rPr>
          <w:highlight w:val="yellow"/>
        </w:rPr>
        <w:br w:type="page"/>
      </w:r>
    </w:p>
    <w:p w:rsidR="00E83E6B" w:rsidRPr="00F413E1" w:rsidRDefault="00F413E1" w:rsidP="00351A0B">
      <w:pPr>
        <w:rPr>
          <w:b/>
        </w:rPr>
      </w:pPr>
      <w:r w:rsidRPr="00F413E1">
        <w:rPr>
          <w:b/>
        </w:rPr>
        <w:lastRenderedPageBreak/>
        <w:t xml:space="preserve">ATTACHMENT A: </w:t>
      </w:r>
      <w:r w:rsidR="000B08E1">
        <w:rPr>
          <w:b/>
        </w:rPr>
        <w:t xml:space="preserve">APRA </w:t>
      </w:r>
      <w:r w:rsidRPr="00D64283">
        <w:rPr>
          <w:b/>
        </w:rPr>
        <w:t>REGULAT</w:t>
      </w:r>
      <w:r w:rsidR="00D64283">
        <w:rPr>
          <w:b/>
        </w:rPr>
        <w:t>ION</w:t>
      </w:r>
      <w:r w:rsidRPr="00F413E1">
        <w:rPr>
          <w:b/>
        </w:rPr>
        <w:t xml:space="preserve"> IMPACT ANALYSIS</w:t>
      </w:r>
    </w:p>
    <w:p w:rsidR="00F413E1" w:rsidRDefault="00F413E1" w:rsidP="00F413E1">
      <w:r>
        <w:t xml:space="preserve">Consistent with the Australian Government Guide to </w:t>
      </w:r>
      <w:r w:rsidRPr="003915B1">
        <w:t>Regulat</w:t>
      </w:r>
      <w:r>
        <w:t xml:space="preserve">ion, APRA has </w:t>
      </w:r>
      <w:r w:rsidRPr="003915B1">
        <w:t>followed</w:t>
      </w:r>
      <w:r>
        <w:t xml:space="preserve"> a similar process to that required for a Regulation Impact Statement (RIS). APRA’s evaluation </w:t>
      </w:r>
      <w:r w:rsidRPr="003915B1">
        <w:t xml:space="preserve">of the </w:t>
      </w:r>
      <w:r>
        <w:t xml:space="preserve">impact of </w:t>
      </w:r>
      <w:r w:rsidR="00A70BE9">
        <w:t xml:space="preserve">CPS 511 </w:t>
      </w:r>
      <w:r w:rsidRPr="003915B1">
        <w:t xml:space="preserve">policy changes </w:t>
      </w:r>
      <w:r w:rsidR="00A70BE9">
        <w:t xml:space="preserve">is </w:t>
      </w:r>
      <w:r>
        <w:t xml:space="preserve">provided below. </w:t>
      </w:r>
    </w:p>
    <w:p w:rsidR="00F413E1" w:rsidRDefault="00F413E1" w:rsidP="00F413E1">
      <w:pPr>
        <w:tabs>
          <w:tab w:val="left" w:pos="1876"/>
        </w:tabs>
      </w:pPr>
      <w:r>
        <w:t xml:space="preserve">APRA has undertaken two rounds of public consultation in revising CPS 511 and has engaged with a variety of stakeholders over a period of 24 months, including APRA-regulated entities, industry bodies, remuneration consultants, proxy advisors and other regulators. As detailed in APRA’s November 2020 and this August 2021 response to submissions, </w:t>
      </w:r>
      <w:r w:rsidRPr="00F602D7">
        <w:t xml:space="preserve">APRA has clarified or amended its proposals in </w:t>
      </w:r>
      <w:r>
        <w:t>certain</w:t>
      </w:r>
      <w:r w:rsidRPr="00F602D7">
        <w:t xml:space="preserve"> areas</w:t>
      </w:r>
      <w:r>
        <w:t>,</w:t>
      </w:r>
      <w:r w:rsidRPr="00F602D7">
        <w:t xml:space="preserve"> following consideration of issues raised </w:t>
      </w:r>
      <w:r>
        <w:t>by stakeholders.</w:t>
      </w:r>
      <w:r>
        <w:rPr>
          <w:rStyle w:val="FootnoteReference"/>
        </w:rPr>
        <w:footnoteReference w:id="2"/>
      </w:r>
    </w:p>
    <w:p w:rsidR="00F413E1" w:rsidRDefault="00F413E1" w:rsidP="00F413E1">
      <w:pPr>
        <w:tabs>
          <w:tab w:val="left" w:pos="1876"/>
        </w:tabs>
      </w:pPr>
      <w:r>
        <w:t xml:space="preserve">In its July 2019 Discussion Paper, APRA set out the problem and why </w:t>
      </w:r>
      <w:r w:rsidR="000159FB">
        <w:t xml:space="preserve">regulatory </w:t>
      </w:r>
      <w:r>
        <w:t xml:space="preserve">action was needed. APRA’s 2018 review of remuneration practices had revealed that remuneration practices among the largest APRA-regulated entities did not consistently and effectively encourage behaviour that </w:t>
      </w:r>
      <w:r w:rsidR="00BA25A8">
        <w:t xml:space="preserve">would </w:t>
      </w:r>
      <w:r>
        <w:t xml:space="preserve">support prudent risk management and long-term soundness. The impact from these weak practices was reinforced through the findings of the </w:t>
      </w:r>
      <w:r w:rsidR="0003701B" w:rsidRPr="00003D95">
        <w:rPr>
          <w:i/>
        </w:rPr>
        <w:t>Royal Commission into Misconduct in the Banking, Superannuation and Financial Services Industry</w:t>
      </w:r>
      <w:r w:rsidR="004A67BC">
        <w:t xml:space="preserve">; the Royal Commission </w:t>
      </w:r>
      <w:r>
        <w:t>recommended that APRA should upgrade its remuneration requirements</w:t>
      </w:r>
      <w:r w:rsidR="00A70BE9">
        <w:t>,</w:t>
      </w:r>
      <w:r>
        <w:t xml:space="preserve"> </w:t>
      </w:r>
      <w:r w:rsidR="00A70BE9">
        <w:t>in line</w:t>
      </w:r>
      <w:r w:rsidR="00BA25A8">
        <w:t xml:space="preserve"> with</w:t>
      </w:r>
      <w:r>
        <w:t xml:space="preserve"> international better practice.</w:t>
      </w:r>
    </w:p>
    <w:p w:rsidR="00F413E1" w:rsidRDefault="00F413E1" w:rsidP="00F413E1">
      <w:pPr>
        <w:tabs>
          <w:tab w:val="left" w:pos="1876"/>
        </w:tabs>
      </w:pPr>
      <w:r>
        <w:t>The 2019 Discussion Paper also outlined APRA’s preliminary analysis of policy options for CPS 511, including the potential impact for industry. Th</w:t>
      </w:r>
      <w:r w:rsidR="000159FB">
        <w:t xml:space="preserve">e sections below </w:t>
      </w:r>
      <w:r>
        <w:t xml:space="preserve">expand on APRA’s initial analysis, taking into account feedback received during the consultation period. </w:t>
      </w:r>
    </w:p>
    <w:p w:rsidR="00F413E1" w:rsidRPr="00F413E1" w:rsidRDefault="00F413E1" w:rsidP="00F413E1">
      <w:pPr>
        <w:tabs>
          <w:tab w:val="left" w:pos="1876"/>
        </w:tabs>
        <w:rPr>
          <w:b/>
        </w:rPr>
      </w:pPr>
      <w:bookmarkStart w:id="2" w:name="_Toc23325390"/>
      <w:bookmarkStart w:id="3" w:name="_Toc24106630"/>
      <w:bookmarkStart w:id="4" w:name="_Toc25748020"/>
      <w:bookmarkStart w:id="5" w:name="_Toc26945876"/>
      <w:bookmarkStart w:id="6" w:name="_Toc26947952"/>
      <w:r w:rsidRPr="00F413E1">
        <w:rPr>
          <w:b/>
        </w:rPr>
        <w:t>Assessment of regulatory costs</w:t>
      </w:r>
      <w:bookmarkEnd w:id="2"/>
      <w:bookmarkEnd w:id="3"/>
      <w:bookmarkEnd w:id="4"/>
      <w:bookmarkEnd w:id="5"/>
      <w:bookmarkEnd w:id="6"/>
    </w:p>
    <w:p w:rsidR="00F413E1" w:rsidRDefault="00F413E1" w:rsidP="00F413E1">
      <w:pPr>
        <w:tabs>
          <w:tab w:val="left" w:pos="1876"/>
        </w:tabs>
      </w:pPr>
      <w:r>
        <w:t xml:space="preserve">As part of the consultation process, APRA invited submissions on </w:t>
      </w:r>
      <w:r w:rsidR="008B2639">
        <w:t>additional</w:t>
      </w:r>
      <w:r>
        <w:t xml:space="preserve"> regulatory costs incurred as a result of the three policy options under consideration. Respondents were invited to use the Australian Government’s Burden Measurement Tool to assess regulatory costs.</w:t>
      </w:r>
      <w:r>
        <w:rPr>
          <w:rStyle w:val="FootnoteReference"/>
        </w:rPr>
        <w:footnoteReference w:id="3"/>
      </w:r>
      <w:r>
        <w:t xml:space="preserve">  APRA has considered all relevant compliance and administration</w:t>
      </w:r>
      <w:r w:rsidRPr="00D24258">
        <w:t xml:space="preserve"> </w:t>
      </w:r>
      <w:r>
        <w:t>costs, including both upfront and ongoing costs, in estimating the regulatory costs of each option.</w:t>
      </w:r>
    </w:p>
    <w:p w:rsidR="00F413E1" w:rsidRPr="00E5696B" w:rsidRDefault="00F413E1" w:rsidP="00F413E1">
      <w:pPr>
        <w:pStyle w:val="Heading4"/>
      </w:pPr>
      <w:r w:rsidRPr="00E5696B">
        <w:t>Option 1: No change to the prudential framework for remuneration</w:t>
      </w:r>
    </w:p>
    <w:p w:rsidR="008B2639" w:rsidRDefault="00F413E1" w:rsidP="00F413E1">
      <w:r w:rsidRPr="00D24258">
        <w:t xml:space="preserve">Under </w:t>
      </w:r>
      <w:r>
        <w:t>the first option</w:t>
      </w:r>
      <w:r w:rsidRPr="00D24258">
        <w:t xml:space="preserve">, </w:t>
      </w:r>
      <w:r>
        <w:t xml:space="preserve">there would be no change to APRA’s existing remuneration requirements. </w:t>
      </w:r>
      <w:r w:rsidR="008B2639">
        <w:t>There would be no</w:t>
      </w:r>
      <w:r w:rsidRPr="00D24258">
        <w:t xml:space="preserve"> </w:t>
      </w:r>
      <w:r w:rsidR="00E5696B">
        <w:t>new</w:t>
      </w:r>
      <w:r w:rsidRPr="00D24258">
        <w:t xml:space="preserve"> </w:t>
      </w:r>
      <w:r w:rsidR="008B2639">
        <w:t>regulatory</w:t>
      </w:r>
      <w:r w:rsidR="008B2639" w:rsidRPr="00D24258">
        <w:t xml:space="preserve"> </w:t>
      </w:r>
      <w:r w:rsidRPr="00D24258">
        <w:t>costs</w:t>
      </w:r>
      <w:r w:rsidR="008B2639">
        <w:t xml:space="preserve"> (as shown in Table </w:t>
      </w:r>
      <w:r w:rsidR="00423076">
        <w:t>2</w:t>
      </w:r>
      <w:r w:rsidR="008B263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899"/>
        <w:gridCol w:w="1900"/>
        <w:gridCol w:w="1900"/>
        <w:gridCol w:w="1900"/>
      </w:tblGrid>
      <w:tr w:rsidR="008B2639" w:rsidRPr="00831C6D" w:rsidTr="009C6657">
        <w:tc>
          <w:tcPr>
            <w:tcW w:w="9026" w:type="dxa"/>
            <w:gridSpan w:val="5"/>
            <w:tcBorders>
              <w:bottom w:val="single" w:sz="4" w:space="0" w:color="FFFFFF" w:themeColor="background1"/>
            </w:tcBorders>
            <w:shd w:val="clear" w:color="auto" w:fill="002060"/>
          </w:tcPr>
          <w:p w:rsidR="008B2639" w:rsidRPr="00831C6D" w:rsidRDefault="008B2639" w:rsidP="009C6657">
            <w:pPr>
              <w:pStyle w:val="APRANORMAL"/>
              <w:jc w:val="center"/>
              <w:rPr>
                <w:rFonts w:ascii="Arial" w:hAnsi="Arial" w:cs="Arial"/>
                <w:b/>
                <w:sz w:val="20"/>
                <w:szCs w:val="20"/>
              </w:rPr>
            </w:pPr>
            <w:r w:rsidRPr="00831C6D">
              <w:rPr>
                <w:rFonts w:ascii="Arial" w:hAnsi="Arial" w:cs="Arial"/>
                <w:b/>
                <w:color w:val="FFFFFF" w:themeColor="background1"/>
                <w:sz w:val="20"/>
                <w:szCs w:val="20"/>
              </w:rPr>
              <w:t xml:space="preserve">Table </w:t>
            </w:r>
            <w:r w:rsidR="00423076" w:rsidRPr="00831C6D">
              <w:rPr>
                <w:rFonts w:ascii="Arial" w:hAnsi="Arial" w:cs="Arial"/>
                <w:b/>
                <w:color w:val="FFFFFF" w:themeColor="background1"/>
                <w:sz w:val="20"/>
                <w:szCs w:val="20"/>
              </w:rPr>
              <w:t>2</w:t>
            </w:r>
            <w:r w:rsidRPr="00831C6D">
              <w:rPr>
                <w:rFonts w:ascii="Arial" w:hAnsi="Arial" w:cs="Arial"/>
                <w:b/>
                <w:color w:val="FFFFFF" w:themeColor="background1"/>
                <w:sz w:val="20"/>
                <w:szCs w:val="20"/>
              </w:rPr>
              <w:t>: Annual regulatory costs, averaged over 10 years ($m)</w:t>
            </w:r>
          </w:p>
        </w:tc>
      </w:tr>
      <w:tr w:rsidR="008B2639" w:rsidRPr="00831C6D" w:rsidTr="009C6657">
        <w:tc>
          <w:tcPr>
            <w:tcW w:w="1427" w:type="dxa"/>
            <w:tcBorders>
              <w:bottom w:val="single" w:sz="4" w:space="0" w:color="FFFFFF" w:themeColor="background1"/>
            </w:tcBorders>
            <w:shd w:val="clear" w:color="auto" w:fill="002060"/>
          </w:tcPr>
          <w:p w:rsidR="008B2639" w:rsidRPr="00831C6D" w:rsidRDefault="008B2639" w:rsidP="009C6657">
            <w:pPr>
              <w:pStyle w:val="APRANORMAL"/>
              <w:rPr>
                <w:rFonts w:ascii="Arial" w:hAnsi="Arial" w:cs="Arial"/>
                <w:color w:val="FFFFFF" w:themeColor="background1"/>
                <w:sz w:val="20"/>
                <w:szCs w:val="20"/>
              </w:rPr>
            </w:pPr>
            <w:r w:rsidRPr="00831C6D">
              <w:rPr>
                <w:rFonts w:ascii="Arial" w:hAnsi="Arial" w:cs="Arial"/>
                <w:color w:val="FFFFFF" w:themeColor="background1"/>
                <w:sz w:val="20"/>
                <w:szCs w:val="20"/>
              </w:rPr>
              <w:t>Change in costs ($m)</w:t>
            </w:r>
          </w:p>
        </w:tc>
        <w:tc>
          <w:tcPr>
            <w:tcW w:w="1899" w:type="dxa"/>
            <w:tcBorders>
              <w:bottom w:val="single" w:sz="4" w:space="0" w:color="FFFFFF" w:themeColor="background1"/>
            </w:tcBorders>
            <w:shd w:val="clear" w:color="auto" w:fill="F2F2F2" w:themeFill="background1" w:themeFillShade="F2"/>
          </w:tcPr>
          <w:p w:rsidR="008B2639" w:rsidRPr="00831C6D" w:rsidRDefault="008B2639" w:rsidP="009C6657">
            <w:pPr>
              <w:pStyle w:val="APRANORMAL"/>
              <w:rPr>
                <w:rFonts w:ascii="Arial" w:hAnsi="Arial" w:cs="Arial"/>
                <w:sz w:val="20"/>
                <w:szCs w:val="20"/>
              </w:rPr>
            </w:pPr>
            <w:r w:rsidRPr="00831C6D">
              <w:rPr>
                <w:rFonts w:ascii="Arial" w:hAnsi="Arial" w:cs="Arial"/>
                <w:sz w:val="20"/>
                <w:szCs w:val="20"/>
              </w:rPr>
              <w:t>Business</w:t>
            </w:r>
          </w:p>
        </w:tc>
        <w:tc>
          <w:tcPr>
            <w:tcW w:w="1900" w:type="dxa"/>
            <w:tcBorders>
              <w:bottom w:val="single" w:sz="4" w:space="0" w:color="FFFFFF" w:themeColor="background1"/>
            </w:tcBorders>
            <w:shd w:val="clear" w:color="auto" w:fill="F2F2F2" w:themeFill="background1" w:themeFillShade="F2"/>
          </w:tcPr>
          <w:p w:rsidR="008B2639" w:rsidRPr="00831C6D" w:rsidRDefault="008B2639" w:rsidP="009C6657">
            <w:pPr>
              <w:pStyle w:val="APRANORMAL"/>
              <w:rPr>
                <w:rFonts w:ascii="Arial" w:hAnsi="Arial" w:cs="Arial"/>
                <w:sz w:val="20"/>
                <w:szCs w:val="20"/>
              </w:rPr>
            </w:pPr>
            <w:r w:rsidRPr="00831C6D">
              <w:rPr>
                <w:rFonts w:ascii="Arial" w:hAnsi="Arial" w:cs="Arial"/>
                <w:sz w:val="20"/>
                <w:szCs w:val="20"/>
              </w:rPr>
              <w:t xml:space="preserve">Community organisations </w:t>
            </w:r>
          </w:p>
        </w:tc>
        <w:tc>
          <w:tcPr>
            <w:tcW w:w="1900" w:type="dxa"/>
            <w:tcBorders>
              <w:bottom w:val="single" w:sz="4" w:space="0" w:color="FFFFFF" w:themeColor="background1"/>
            </w:tcBorders>
            <w:shd w:val="clear" w:color="auto" w:fill="F2F2F2" w:themeFill="background1" w:themeFillShade="F2"/>
          </w:tcPr>
          <w:p w:rsidR="008B2639" w:rsidRPr="00831C6D" w:rsidRDefault="008B2639" w:rsidP="009C6657">
            <w:pPr>
              <w:pStyle w:val="APRANORMAL"/>
              <w:rPr>
                <w:rFonts w:ascii="Arial" w:hAnsi="Arial" w:cs="Arial"/>
                <w:sz w:val="20"/>
                <w:szCs w:val="20"/>
              </w:rPr>
            </w:pPr>
            <w:r w:rsidRPr="00831C6D">
              <w:rPr>
                <w:rFonts w:ascii="Arial" w:hAnsi="Arial" w:cs="Arial"/>
                <w:sz w:val="20"/>
                <w:szCs w:val="20"/>
              </w:rPr>
              <w:t>Individuals</w:t>
            </w:r>
          </w:p>
        </w:tc>
        <w:tc>
          <w:tcPr>
            <w:tcW w:w="1900" w:type="dxa"/>
            <w:tcBorders>
              <w:bottom w:val="single" w:sz="4" w:space="0" w:color="FFFFFF" w:themeColor="background1"/>
            </w:tcBorders>
            <w:shd w:val="clear" w:color="auto" w:fill="F2F2F2" w:themeFill="background1" w:themeFillShade="F2"/>
          </w:tcPr>
          <w:p w:rsidR="008B2639" w:rsidRPr="00831C6D" w:rsidRDefault="008B2639" w:rsidP="009C6657">
            <w:pPr>
              <w:pStyle w:val="APRANORMAL"/>
              <w:rPr>
                <w:rFonts w:ascii="Arial" w:hAnsi="Arial" w:cs="Arial"/>
                <w:sz w:val="20"/>
                <w:szCs w:val="20"/>
              </w:rPr>
            </w:pPr>
            <w:r w:rsidRPr="00831C6D">
              <w:rPr>
                <w:rFonts w:ascii="Arial" w:hAnsi="Arial" w:cs="Arial"/>
                <w:sz w:val="20"/>
                <w:szCs w:val="20"/>
              </w:rPr>
              <w:t>Total change in costs</w:t>
            </w:r>
          </w:p>
        </w:tc>
      </w:tr>
      <w:tr w:rsidR="008B2639" w:rsidRPr="00831C6D" w:rsidTr="009C6657">
        <w:tc>
          <w:tcPr>
            <w:tcW w:w="1427" w:type="dxa"/>
            <w:tcBorders>
              <w:top w:val="single" w:sz="4" w:space="0" w:color="FFFFFF" w:themeColor="background1"/>
              <w:bottom w:val="single" w:sz="4" w:space="0" w:color="FFFFFF" w:themeColor="background1"/>
            </w:tcBorders>
            <w:shd w:val="clear" w:color="auto" w:fill="002060"/>
          </w:tcPr>
          <w:p w:rsidR="008B2639" w:rsidRPr="00831C6D" w:rsidRDefault="008B2639" w:rsidP="009C6657">
            <w:pPr>
              <w:pStyle w:val="APRANORMAL"/>
              <w:rPr>
                <w:rFonts w:ascii="Arial" w:hAnsi="Arial" w:cs="Arial"/>
                <w:color w:val="FFFFFF" w:themeColor="background1"/>
                <w:sz w:val="20"/>
                <w:szCs w:val="20"/>
              </w:rPr>
            </w:pPr>
            <w:r w:rsidRPr="00831C6D">
              <w:rPr>
                <w:rFonts w:ascii="Arial" w:hAnsi="Arial" w:cs="Arial"/>
                <w:color w:val="FFFFFF" w:themeColor="background1"/>
                <w:sz w:val="20"/>
                <w:szCs w:val="20"/>
              </w:rPr>
              <w:t>Total by sector</w:t>
            </w:r>
          </w:p>
        </w:tc>
        <w:tc>
          <w:tcPr>
            <w:tcW w:w="1899" w:type="dxa"/>
            <w:tcBorders>
              <w:top w:val="single" w:sz="4" w:space="0" w:color="FFFFFF" w:themeColor="background1"/>
              <w:bottom w:val="single" w:sz="4" w:space="0" w:color="FFFFFF" w:themeColor="background1"/>
            </w:tcBorders>
            <w:shd w:val="clear" w:color="auto" w:fill="D9D9D9" w:themeFill="background1" w:themeFillShade="D9"/>
          </w:tcPr>
          <w:p w:rsidR="008B2639" w:rsidRPr="00831C6D" w:rsidRDefault="008B2639" w:rsidP="009C6657">
            <w:pPr>
              <w:pStyle w:val="APRANORMAL"/>
              <w:rPr>
                <w:rFonts w:ascii="Arial" w:hAnsi="Arial" w:cs="Arial"/>
                <w:sz w:val="20"/>
                <w:szCs w:val="20"/>
              </w:rPr>
            </w:pPr>
            <w:r w:rsidRPr="00831C6D">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rsidR="008B2639" w:rsidRPr="00831C6D" w:rsidRDefault="008B2639" w:rsidP="009C6657">
            <w:pPr>
              <w:pStyle w:val="APRANORMAL"/>
              <w:rPr>
                <w:rFonts w:ascii="Arial" w:hAnsi="Arial" w:cs="Arial"/>
                <w:sz w:val="20"/>
                <w:szCs w:val="20"/>
              </w:rPr>
            </w:pPr>
            <w:r w:rsidRPr="00831C6D">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rsidR="008B2639" w:rsidRPr="00831C6D" w:rsidRDefault="008B2639" w:rsidP="009C6657">
            <w:pPr>
              <w:pStyle w:val="APRANORMAL"/>
              <w:rPr>
                <w:rFonts w:ascii="Arial" w:hAnsi="Arial" w:cs="Arial"/>
                <w:sz w:val="20"/>
                <w:szCs w:val="20"/>
              </w:rPr>
            </w:pPr>
            <w:r w:rsidRPr="00831C6D">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rsidR="008B2639" w:rsidRPr="00831C6D" w:rsidRDefault="008B2639" w:rsidP="009C6657">
            <w:pPr>
              <w:pStyle w:val="APRANORMAL"/>
              <w:rPr>
                <w:rFonts w:ascii="Arial" w:hAnsi="Arial" w:cs="Arial"/>
                <w:sz w:val="20"/>
                <w:szCs w:val="20"/>
              </w:rPr>
            </w:pPr>
            <w:r w:rsidRPr="00831C6D">
              <w:rPr>
                <w:rFonts w:ascii="Arial" w:hAnsi="Arial" w:cs="Arial"/>
                <w:sz w:val="20"/>
                <w:szCs w:val="20"/>
              </w:rPr>
              <w:t>Nil</w:t>
            </w:r>
          </w:p>
        </w:tc>
      </w:tr>
    </w:tbl>
    <w:p w:rsidR="008B2639" w:rsidRDefault="008B2639" w:rsidP="00F413E1"/>
    <w:p w:rsidR="00F413E1" w:rsidRDefault="008B2639" w:rsidP="00F413E1">
      <w:r>
        <w:lastRenderedPageBreak/>
        <w:t>However,</w:t>
      </w:r>
      <w:r w:rsidR="009128B3">
        <w:t xml:space="preserve"> prudential risks would remain heightened. Without changes to APRA’s existing remuneration requirements,</w:t>
      </w:r>
      <w:r w:rsidR="009128B3" w:rsidRPr="00506BA0">
        <w:t xml:space="preserve"> </w:t>
      </w:r>
      <w:r w:rsidR="009128B3">
        <w:t>senior executives</w:t>
      </w:r>
      <w:r w:rsidR="009128B3" w:rsidRPr="00506BA0">
        <w:t xml:space="preserve"> </w:t>
      </w:r>
      <w:r w:rsidR="009128B3">
        <w:t>could continue to be rewarded where there are failings in risk management, and this behaviour can undermine an entity’s long-term soundness and create broader social costs to the community.</w:t>
      </w:r>
      <w:r w:rsidR="009128B3" w:rsidRPr="009128B3">
        <w:t xml:space="preserve"> </w:t>
      </w:r>
      <w:r w:rsidR="009128B3" w:rsidRPr="00506BA0">
        <w:t xml:space="preserve">An entity’s long-term soundness requires </w:t>
      </w:r>
      <w:r w:rsidR="009128B3">
        <w:t>sound</w:t>
      </w:r>
      <w:r w:rsidR="009128B3" w:rsidRPr="00506BA0">
        <w:t xml:space="preserve"> incentive structures and clear accountabilities for outcomes.</w:t>
      </w:r>
      <w:r w:rsidR="009128B3">
        <w:t xml:space="preserve"> Recommendations from the Royal Commission would also not be addressed, </w:t>
      </w:r>
      <w:r w:rsidR="00500415">
        <w:t>which could impede</w:t>
      </w:r>
      <w:r w:rsidR="009128B3">
        <w:t xml:space="preserve"> efforts to restore confidence in the Australian financial sector</w:t>
      </w:r>
      <w:r w:rsidR="00F413E1">
        <w:t xml:space="preserve">. </w:t>
      </w:r>
    </w:p>
    <w:p w:rsidR="00A76B9B" w:rsidRDefault="00A76B9B" w:rsidP="00F413E1">
      <w:r>
        <w:t xml:space="preserve">On balance, APRA considers there to be </w:t>
      </w:r>
      <w:r w:rsidR="00DD3312">
        <w:t xml:space="preserve">a </w:t>
      </w:r>
      <w:r w:rsidR="0077051A">
        <w:t xml:space="preserve">long-term </w:t>
      </w:r>
      <w:r>
        <w:t>net cost</w:t>
      </w:r>
      <w:r w:rsidR="00DD3312">
        <w:t xml:space="preserve"> </w:t>
      </w:r>
      <w:r w:rsidR="001109F3">
        <w:t>associated with</w:t>
      </w:r>
      <w:r>
        <w:t xml:space="preserve"> </w:t>
      </w:r>
      <w:r w:rsidR="00423076">
        <w:t>O</w:t>
      </w:r>
      <w:r>
        <w:t xml:space="preserve">ption 1. </w:t>
      </w:r>
      <w:r w:rsidR="00F246A8">
        <w:t xml:space="preserve">While there </w:t>
      </w:r>
      <w:r w:rsidR="00F32785">
        <w:t>are</w:t>
      </w:r>
      <w:r w:rsidR="00F246A8">
        <w:t xml:space="preserve"> no additional regulatory costs</w:t>
      </w:r>
      <w:r w:rsidR="00F32785">
        <w:t xml:space="preserve"> from this option</w:t>
      </w:r>
      <w:r w:rsidR="00F246A8">
        <w:t>, the</w:t>
      </w:r>
      <w:r w:rsidR="00F32785">
        <w:t>re are long-term</w:t>
      </w:r>
      <w:r w:rsidR="00F246A8">
        <w:t xml:space="preserve"> </w:t>
      </w:r>
      <w:r w:rsidR="00F32785">
        <w:t xml:space="preserve">costs associated with the </w:t>
      </w:r>
      <w:r w:rsidR="00F246A8">
        <w:t xml:space="preserve">risks </w:t>
      </w:r>
      <w:r w:rsidR="00F32785">
        <w:t>to financial soundness and poor community outcomes.</w:t>
      </w:r>
    </w:p>
    <w:p w:rsidR="00F413E1" w:rsidRDefault="00F413E1" w:rsidP="000B08E1">
      <w:pPr>
        <w:pStyle w:val="Heading4"/>
        <w:spacing w:before="0"/>
      </w:pPr>
      <w:r w:rsidRPr="00BD2E06">
        <w:t xml:space="preserve">Option 2: </w:t>
      </w:r>
      <w:r>
        <w:t>All entities subject to heightened remuneration requirements</w:t>
      </w:r>
    </w:p>
    <w:p w:rsidR="00F52194" w:rsidRDefault="00F52194" w:rsidP="0003701B">
      <w:r w:rsidRPr="00854221">
        <w:t xml:space="preserve">Under </w:t>
      </w:r>
      <w:r w:rsidR="00423076">
        <w:t>O</w:t>
      </w:r>
      <w:r>
        <w:t>ption 2</w:t>
      </w:r>
      <w:r w:rsidRPr="00854221">
        <w:t xml:space="preserve">, </w:t>
      </w:r>
      <w:r>
        <w:t xml:space="preserve">all </w:t>
      </w:r>
      <w:r w:rsidRPr="00854221">
        <w:t xml:space="preserve">entities would </w:t>
      </w:r>
      <w:r>
        <w:t xml:space="preserve">be subject to </w:t>
      </w:r>
      <w:r w:rsidR="00F04D8E">
        <w:t xml:space="preserve">the same </w:t>
      </w:r>
      <w:r>
        <w:t xml:space="preserve">remuneration requirements. This would, in effect, mean that </w:t>
      </w:r>
      <w:r w:rsidR="00F04D8E">
        <w:t xml:space="preserve">small entities would </w:t>
      </w:r>
      <w:r w:rsidR="00A6678B">
        <w:t xml:space="preserve">be </w:t>
      </w:r>
      <w:r w:rsidR="00F04D8E">
        <w:t>held to the same standard as the largest and most complex entities (</w:t>
      </w:r>
      <w:r>
        <w:t>significant financial institutions</w:t>
      </w:r>
      <w:r w:rsidR="002112A1">
        <w:t xml:space="preserve"> or SFIs</w:t>
      </w:r>
      <w:r w:rsidR="00F04D8E">
        <w:t>)</w:t>
      </w:r>
      <w:r>
        <w:t xml:space="preserve">. </w:t>
      </w:r>
    </w:p>
    <w:p w:rsidR="00387AE1" w:rsidRDefault="00387AE1" w:rsidP="00387AE1">
      <w:bookmarkStart w:id="7" w:name="_Hlk78882796"/>
      <w:r>
        <w:t xml:space="preserve">Under this option, </w:t>
      </w:r>
      <w:r w:rsidR="00F32785">
        <w:t>APRA-regulated entities</w:t>
      </w:r>
      <w:r>
        <w:t xml:space="preserve"> would incur </w:t>
      </w:r>
      <w:r w:rsidR="00EE12D9">
        <w:t xml:space="preserve">significant </w:t>
      </w:r>
      <w:r>
        <w:t xml:space="preserve">additional </w:t>
      </w:r>
      <w:r w:rsidR="0077051A">
        <w:t xml:space="preserve">regulatory </w:t>
      </w:r>
      <w:r>
        <w:t>costs. APRA estimates the cost to industry, at an annual average of around $</w:t>
      </w:r>
      <w:r w:rsidR="00F04D8E">
        <w:t xml:space="preserve">66 </w:t>
      </w:r>
      <w:r>
        <w:t>million over the next 10 years</w:t>
      </w:r>
      <w:r w:rsidR="005A409A">
        <w:t xml:space="preserve"> (</w:t>
      </w:r>
      <w:r w:rsidR="00BA2B00">
        <w:t>as shown in</w:t>
      </w:r>
      <w:r w:rsidR="005A409A">
        <w:t xml:space="preserve"> Table </w:t>
      </w:r>
      <w:r w:rsidR="00423076">
        <w:t>3</w:t>
      </w:r>
      <w:r w:rsidR="005A409A">
        <w:t xml:space="preserve"> below)</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899"/>
        <w:gridCol w:w="1900"/>
        <w:gridCol w:w="1900"/>
        <w:gridCol w:w="1900"/>
      </w:tblGrid>
      <w:tr w:rsidR="005A409A" w:rsidRPr="00831C6D" w:rsidTr="009C6657">
        <w:tc>
          <w:tcPr>
            <w:tcW w:w="9026" w:type="dxa"/>
            <w:gridSpan w:val="5"/>
            <w:tcBorders>
              <w:bottom w:val="single" w:sz="4" w:space="0" w:color="FFFFFF" w:themeColor="background1"/>
            </w:tcBorders>
            <w:shd w:val="clear" w:color="auto" w:fill="002060"/>
          </w:tcPr>
          <w:p w:rsidR="005A409A" w:rsidRPr="00831C6D" w:rsidRDefault="005A409A" w:rsidP="009C6657">
            <w:pPr>
              <w:pStyle w:val="APRANORMAL"/>
              <w:jc w:val="center"/>
              <w:rPr>
                <w:rFonts w:ascii="Arial" w:hAnsi="Arial" w:cs="Arial"/>
                <w:b/>
                <w:sz w:val="20"/>
                <w:szCs w:val="20"/>
              </w:rPr>
            </w:pPr>
            <w:r w:rsidRPr="00831C6D">
              <w:rPr>
                <w:rFonts w:ascii="Arial" w:hAnsi="Arial" w:cs="Arial"/>
                <w:b/>
                <w:color w:val="FFFFFF" w:themeColor="background1"/>
                <w:sz w:val="20"/>
                <w:szCs w:val="20"/>
              </w:rPr>
              <w:t xml:space="preserve">Table </w:t>
            </w:r>
            <w:r w:rsidR="00423076" w:rsidRPr="00831C6D">
              <w:rPr>
                <w:rFonts w:ascii="Arial" w:hAnsi="Arial" w:cs="Arial"/>
                <w:b/>
                <w:color w:val="FFFFFF" w:themeColor="background1"/>
                <w:sz w:val="20"/>
                <w:szCs w:val="20"/>
              </w:rPr>
              <w:t>3</w:t>
            </w:r>
            <w:r w:rsidRPr="00831C6D">
              <w:rPr>
                <w:rFonts w:ascii="Arial" w:hAnsi="Arial" w:cs="Arial"/>
                <w:b/>
                <w:color w:val="FFFFFF" w:themeColor="background1"/>
                <w:sz w:val="20"/>
                <w:szCs w:val="20"/>
              </w:rPr>
              <w:t>: Annual regulatory costs, averaged over 10 years ($m)</w:t>
            </w:r>
            <w:r w:rsidRPr="00831C6D">
              <w:rPr>
                <w:rStyle w:val="FootnoteReference"/>
                <w:rFonts w:cs="Arial"/>
                <w:b/>
                <w:color w:val="FFFFFF" w:themeColor="background1"/>
                <w:sz w:val="20"/>
                <w:szCs w:val="20"/>
              </w:rPr>
              <w:footnoteReference w:id="4"/>
            </w:r>
          </w:p>
        </w:tc>
      </w:tr>
      <w:tr w:rsidR="005A409A" w:rsidRPr="00831C6D" w:rsidTr="009C6657">
        <w:tc>
          <w:tcPr>
            <w:tcW w:w="1427" w:type="dxa"/>
            <w:tcBorders>
              <w:bottom w:val="single" w:sz="4" w:space="0" w:color="FFFFFF" w:themeColor="background1"/>
            </w:tcBorders>
            <w:shd w:val="clear" w:color="auto" w:fill="002060"/>
          </w:tcPr>
          <w:p w:rsidR="005A409A" w:rsidRPr="00831C6D" w:rsidRDefault="005A409A" w:rsidP="009C6657">
            <w:pPr>
              <w:pStyle w:val="APRANORMAL"/>
              <w:rPr>
                <w:rFonts w:ascii="Arial" w:hAnsi="Arial" w:cs="Arial"/>
                <w:color w:val="FFFFFF" w:themeColor="background1"/>
                <w:sz w:val="20"/>
                <w:szCs w:val="20"/>
              </w:rPr>
            </w:pPr>
            <w:r w:rsidRPr="00831C6D">
              <w:rPr>
                <w:rFonts w:ascii="Arial" w:hAnsi="Arial" w:cs="Arial"/>
                <w:color w:val="FFFFFF" w:themeColor="background1"/>
                <w:sz w:val="20"/>
                <w:szCs w:val="20"/>
              </w:rPr>
              <w:t>Change in costs ($m)</w:t>
            </w:r>
          </w:p>
        </w:tc>
        <w:tc>
          <w:tcPr>
            <w:tcW w:w="1899" w:type="dxa"/>
            <w:tcBorders>
              <w:bottom w:val="single" w:sz="4" w:space="0" w:color="FFFFFF" w:themeColor="background1"/>
            </w:tcBorders>
            <w:shd w:val="clear" w:color="auto" w:fill="F2F2F2" w:themeFill="background1" w:themeFillShade="F2"/>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Business</w:t>
            </w:r>
          </w:p>
        </w:tc>
        <w:tc>
          <w:tcPr>
            <w:tcW w:w="1900" w:type="dxa"/>
            <w:tcBorders>
              <w:bottom w:val="single" w:sz="4" w:space="0" w:color="FFFFFF" w:themeColor="background1"/>
            </w:tcBorders>
            <w:shd w:val="clear" w:color="auto" w:fill="F2F2F2" w:themeFill="background1" w:themeFillShade="F2"/>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 xml:space="preserve">Community organisations </w:t>
            </w:r>
          </w:p>
        </w:tc>
        <w:tc>
          <w:tcPr>
            <w:tcW w:w="1900" w:type="dxa"/>
            <w:tcBorders>
              <w:bottom w:val="single" w:sz="4" w:space="0" w:color="FFFFFF" w:themeColor="background1"/>
            </w:tcBorders>
            <w:shd w:val="clear" w:color="auto" w:fill="F2F2F2" w:themeFill="background1" w:themeFillShade="F2"/>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Individuals</w:t>
            </w:r>
          </w:p>
        </w:tc>
        <w:tc>
          <w:tcPr>
            <w:tcW w:w="1900" w:type="dxa"/>
            <w:tcBorders>
              <w:bottom w:val="single" w:sz="4" w:space="0" w:color="FFFFFF" w:themeColor="background1"/>
            </w:tcBorders>
            <w:shd w:val="clear" w:color="auto" w:fill="F2F2F2" w:themeFill="background1" w:themeFillShade="F2"/>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Total change in costs</w:t>
            </w:r>
          </w:p>
        </w:tc>
      </w:tr>
      <w:tr w:rsidR="005A409A" w:rsidRPr="00831C6D" w:rsidTr="009C6657">
        <w:tc>
          <w:tcPr>
            <w:tcW w:w="1427" w:type="dxa"/>
            <w:tcBorders>
              <w:top w:val="single" w:sz="4" w:space="0" w:color="FFFFFF" w:themeColor="background1"/>
              <w:bottom w:val="single" w:sz="4" w:space="0" w:color="FFFFFF" w:themeColor="background1"/>
            </w:tcBorders>
            <w:shd w:val="clear" w:color="auto" w:fill="002060"/>
          </w:tcPr>
          <w:p w:rsidR="005A409A" w:rsidRPr="00831C6D" w:rsidRDefault="005A409A" w:rsidP="009C6657">
            <w:pPr>
              <w:pStyle w:val="APRANORMAL"/>
              <w:rPr>
                <w:rFonts w:ascii="Arial" w:hAnsi="Arial" w:cs="Arial"/>
                <w:color w:val="FFFFFF" w:themeColor="background1"/>
                <w:sz w:val="20"/>
                <w:szCs w:val="20"/>
              </w:rPr>
            </w:pPr>
            <w:r w:rsidRPr="00831C6D">
              <w:rPr>
                <w:rFonts w:ascii="Arial" w:hAnsi="Arial" w:cs="Arial"/>
                <w:color w:val="FFFFFF" w:themeColor="background1"/>
                <w:sz w:val="20"/>
                <w:szCs w:val="20"/>
              </w:rPr>
              <w:t>Total by sector</w:t>
            </w:r>
          </w:p>
        </w:tc>
        <w:tc>
          <w:tcPr>
            <w:tcW w:w="1899" w:type="dxa"/>
            <w:tcBorders>
              <w:top w:val="single" w:sz="4" w:space="0" w:color="FFFFFF" w:themeColor="background1"/>
              <w:bottom w:val="single" w:sz="4" w:space="0" w:color="FFFFFF" w:themeColor="background1"/>
            </w:tcBorders>
            <w:shd w:val="clear" w:color="auto" w:fill="D9D9D9" w:themeFill="background1" w:themeFillShade="D9"/>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$66 million</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Nil</w:t>
            </w:r>
          </w:p>
        </w:tc>
      </w:tr>
    </w:tbl>
    <w:p w:rsidR="005A409A" w:rsidRDefault="005A409A" w:rsidP="00387AE1"/>
    <w:p w:rsidR="00387AE1" w:rsidRDefault="00387AE1" w:rsidP="00387AE1">
      <w:r>
        <w:t xml:space="preserve">APRA’s </w:t>
      </w:r>
      <w:r w:rsidR="0077051A">
        <w:t>estimate is</w:t>
      </w:r>
      <w:r>
        <w:t xml:space="preserve"> based on information provided by a sample of </w:t>
      </w:r>
      <w:r w:rsidR="002112A1">
        <w:t xml:space="preserve">large </w:t>
      </w:r>
      <w:r>
        <w:t>entities</w:t>
      </w:r>
      <w:r w:rsidR="002112A1">
        <w:t xml:space="preserve"> (SFIs)</w:t>
      </w:r>
      <w:r>
        <w:t xml:space="preserve">. These entities estimated both the upfront and ongoing costs associated with the implementation of CPS 511. This included the costs associated with reviewing the new Prudential Standard, revising policies and frameworks, creating new remuneration plans, modifying governance and reporting, and legal costs. </w:t>
      </w:r>
    </w:p>
    <w:p w:rsidR="00F04D8E" w:rsidRDefault="00387AE1" w:rsidP="00387AE1">
      <w:r>
        <w:t xml:space="preserve">APRA has estimated the average cost </w:t>
      </w:r>
      <w:r w:rsidR="0002560C">
        <w:t xml:space="preserve">for </w:t>
      </w:r>
      <w:r>
        <w:t xml:space="preserve">a </w:t>
      </w:r>
      <w:r w:rsidR="00143AEF">
        <w:t>small entity (</w:t>
      </w:r>
      <w:r>
        <w:t>non-SFI</w:t>
      </w:r>
      <w:r w:rsidR="00143AEF">
        <w:t>)</w:t>
      </w:r>
      <w:r>
        <w:t xml:space="preserve"> </w:t>
      </w:r>
      <w:r w:rsidR="0077051A">
        <w:t>at</w:t>
      </w:r>
      <w:r w:rsidR="0002560C">
        <w:t xml:space="preserve"> </w:t>
      </w:r>
      <w:r w:rsidR="00F04D8E">
        <w:t xml:space="preserve">30 </w:t>
      </w:r>
      <w:r>
        <w:t xml:space="preserve">per cent of </w:t>
      </w:r>
      <w:r w:rsidR="0077051A">
        <w:t>an</w:t>
      </w:r>
      <w:r w:rsidR="0002560C">
        <w:t xml:space="preserve"> </w:t>
      </w:r>
      <w:r>
        <w:t xml:space="preserve">SFI. </w:t>
      </w:r>
      <w:r w:rsidR="00500415">
        <w:t>This reflects that n</w:t>
      </w:r>
      <w:r w:rsidR="002112A1">
        <w:t xml:space="preserve">on-SFIs have significantly fewer employees </w:t>
      </w:r>
      <w:r w:rsidR="00500415">
        <w:t xml:space="preserve">than SFIs </w:t>
      </w:r>
      <w:r w:rsidR="002112A1">
        <w:t xml:space="preserve">(as </w:t>
      </w:r>
      <w:r w:rsidR="00EE12D9">
        <w:t>an indication</w:t>
      </w:r>
      <w:r w:rsidR="002112A1">
        <w:t>, the average balance sheet of a SFI is 50 times the size of a non-SFI) and many non-SFIs do not offer variable remuneration</w:t>
      </w:r>
      <w:r w:rsidR="0077051A">
        <w:t xml:space="preserve"> incentives</w:t>
      </w:r>
      <w:r w:rsidR="002112A1">
        <w:t>. However,</w:t>
      </w:r>
      <w:r w:rsidR="00F32785">
        <w:t xml:space="preserve"> </w:t>
      </w:r>
      <w:r w:rsidR="00E5696B">
        <w:t xml:space="preserve">under this option, </w:t>
      </w:r>
      <w:r w:rsidR="0077051A">
        <w:t xml:space="preserve">not all </w:t>
      </w:r>
      <w:r w:rsidR="00E5696B">
        <w:t xml:space="preserve">regulatory </w:t>
      </w:r>
      <w:r w:rsidR="0077051A">
        <w:t xml:space="preserve">costs </w:t>
      </w:r>
      <w:r w:rsidR="00E5696B">
        <w:t>would</w:t>
      </w:r>
      <w:r w:rsidR="002D1C27">
        <w:t xml:space="preserve"> be </w:t>
      </w:r>
      <w:r w:rsidR="00E5696B">
        <w:t xml:space="preserve">appropriately </w:t>
      </w:r>
      <w:r w:rsidR="002D1C27">
        <w:t xml:space="preserve">scaled to </w:t>
      </w:r>
      <w:r w:rsidR="0077051A">
        <w:t>reflect these entity’s</w:t>
      </w:r>
      <w:r w:rsidR="002D1C27">
        <w:t xml:space="preserve"> simpler business models</w:t>
      </w:r>
      <w:r w:rsidR="00EE12D9">
        <w:t>. F</w:t>
      </w:r>
      <w:r w:rsidR="002D1C27">
        <w:t xml:space="preserve">or example, </w:t>
      </w:r>
      <w:r w:rsidR="00EE12D9">
        <w:t>small entities</w:t>
      </w:r>
      <w:r w:rsidR="002D1C27">
        <w:t xml:space="preserve"> would be required to conduct regular </w:t>
      </w:r>
      <w:r w:rsidR="00EE12D9">
        <w:t xml:space="preserve">independent </w:t>
      </w:r>
      <w:r w:rsidR="002D1C27">
        <w:t>reviews</w:t>
      </w:r>
      <w:r w:rsidR="00EE12D9">
        <w:t xml:space="preserve"> of </w:t>
      </w:r>
      <w:r w:rsidR="002D1C27">
        <w:t>their remuneration arrangements</w:t>
      </w:r>
      <w:r w:rsidR="0077051A">
        <w:t>, despite having simple practices</w:t>
      </w:r>
      <w:r w:rsidR="00EE12D9">
        <w:t xml:space="preserve">. They would also be required to </w:t>
      </w:r>
      <w:r w:rsidR="002D1C27">
        <w:t xml:space="preserve">maintain governance arrangements that are more appropriate </w:t>
      </w:r>
      <w:r w:rsidR="00F246A8">
        <w:t>for</w:t>
      </w:r>
      <w:r w:rsidR="002D1C27">
        <w:t xml:space="preserve"> larger and more complex entities. </w:t>
      </w:r>
    </w:p>
    <w:p w:rsidR="00387AE1" w:rsidRDefault="002D1C27" w:rsidP="00387AE1">
      <w:r>
        <w:t xml:space="preserve">Under </w:t>
      </w:r>
      <w:r w:rsidR="00423076">
        <w:t>O</w:t>
      </w:r>
      <w:r>
        <w:t xml:space="preserve">ption 2, </w:t>
      </w:r>
      <w:r w:rsidR="00387AE1">
        <w:t xml:space="preserve">APRA considers it unlikely that </w:t>
      </w:r>
      <w:r w:rsidR="00F32785">
        <w:t>additional regulatory</w:t>
      </w:r>
      <w:r w:rsidR="0003701B">
        <w:t xml:space="preserve"> </w:t>
      </w:r>
      <w:r w:rsidR="00387AE1">
        <w:t xml:space="preserve">costs to </w:t>
      </w:r>
      <w:r>
        <w:t xml:space="preserve">small </w:t>
      </w:r>
      <w:r w:rsidR="00387AE1">
        <w:t>entities could be absorbed by business, without adverse impacts for competition.</w:t>
      </w:r>
      <w:r w:rsidR="00503FD5">
        <w:t xml:space="preserve"> </w:t>
      </w:r>
      <w:r w:rsidR="00747DCA">
        <w:t xml:space="preserve">On balance, APRA considers there </w:t>
      </w:r>
      <w:r w:rsidR="00F32785">
        <w:t>would be a net cost</w:t>
      </w:r>
      <w:r w:rsidR="00747DCA">
        <w:t xml:space="preserve"> </w:t>
      </w:r>
      <w:r w:rsidR="00E106E4">
        <w:t xml:space="preserve">to smaller entities </w:t>
      </w:r>
      <w:r w:rsidR="00747DCA">
        <w:t xml:space="preserve">associated with </w:t>
      </w:r>
      <w:r w:rsidR="00423076">
        <w:t>O</w:t>
      </w:r>
      <w:r w:rsidR="00747DCA">
        <w:t>ption 2.</w:t>
      </w:r>
    </w:p>
    <w:bookmarkEnd w:id="7"/>
    <w:p w:rsidR="00F413E1" w:rsidRDefault="00F413E1" w:rsidP="000B08E1">
      <w:pPr>
        <w:pStyle w:val="Heading4"/>
        <w:spacing w:before="0"/>
      </w:pPr>
      <w:r>
        <w:lastRenderedPageBreak/>
        <w:t>Option 3: SFIs subject to heightened remuneration requirements</w:t>
      </w:r>
    </w:p>
    <w:p w:rsidR="00387AE1" w:rsidRDefault="00387AE1" w:rsidP="00387AE1">
      <w:pPr>
        <w:rPr>
          <w:rFonts w:ascii="DIN OT Light" w:hAnsi="DIN OT Light"/>
          <w:szCs w:val="22"/>
        </w:rPr>
      </w:pPr>
      <w:r>
        <w:t xml:space="preserve">Under </w:t>
      </w:r>
      <w:r w:rsidR="00423076">
        <w:t>O</w:t>
      </w:r>
      <w:r>
        <w:t>ption 3, non-SFIs would be subject to simpler requirements</w:t>
      </w:r>
      <w:r w:rsidR="00EE12D9">
        <w:t xml:space="preserve"> compared to option 2</w:t>
      </w:r>
      <w:r>
        <w:t>.</w:t>
      </w:r>
    </w:p>
    <w:p w:rsidR="00387AE1" w:rsidRDefault="00387AE1" w:rsidP="00387AE1">
      <w:r>
        <w:t xml:space="preserve">Under this option, </w:t>
      </w:r>
      <w:r w:rsidR="00FF4CA5">
        <w:t>smaller entities</w:t>
      </w:r>
      <w:r>
        <w:t xml:space="preserve"> would incur significantly lower </w:t>
      </w:r>
      <w:r w:rsidR="00E5696B">
        <w:t>regulatory</w:t>
      </w:r>
      <w:r>
        <w:t xml:space="preserve"> costs, compared to Option 2. APRA estimates the</w:t>
      </w:r>
      <w:r w:rsidR="00FF4CA5">
        <w:t xml:space="preserve"> total</w:t>
      </w:r>
      <w:r>
        <w:t xml:space="preserve"> cost to industry, at an annual average of around $38</w:t>
      </w:r>
      <w:r w:rsidR="00FF4CA5">
        <w:t> </w:t>
      </w:r>
      <w:r>
        <w:t>million over the next 10 years</w:t>
      </w:r>
      <w:r w:rsidR="00BA2B00">
        <w:t xml:space="preserve"> (as shown in Table 3 below)</w:t>
      </w:r>
      <w:r>
        <w:t>. For the average SFI, this would equate to around $454,000 per annum. For the average non-SFI, this would be around $46,000.</w:t>
      </w:r>
      <w:r w:rsidR="00AA158F">
        <w:rPr>
          <w:rStyle w:val="FootnoteReference"/>
        </w:rPr>
        <w:footnoteReference w:id="5"/>
      </w:r>
      <w:r>
        <w:t xml:space="preserve"> </w:t>
      </w:r>
      <w:r w:rsidR="000273C4">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899"/>
        <w:gridCol w:w="1900"/>
        <w:gridCol w:w="1900"/>
        <w:gridCol w:w="1900"/>
      </w:tblGrid>
      <w:tr w:rsidR="005A409A" w:rsidRPr="00831C6D" w:rsidTr="009C6657">
        <w:tc>
          <w:tcPr>
            <w:tcW w:w="9026" w:type="dxa"/>
            <w:gridSpan w:val="5"/>
            <w:tcBorders>
              <w:bottom w:val="single" w:sz="4" w:space="0" w:color="FFFFFF" w:themeColor="background1"/>
            </w:tcBorders>
            <w:shd w:val="clear" w:color="auto" w:fill="002060"/>
          </w:tcPr>
          <w:p w:rsidR="005A409A" w:rsidRPr="00831C6D" w:rsidRDefault="005A409A" w:rsidP="009C6657">
            <w:pPr>
              <w:pStyle w:val="APRANORMAL"/>
              <w:jc w:val="center"/>
              <w:rPr>
                <w:rFonts w:ascii="Arial" w:hAnsi="Arial" w:cs="Arial"/>
                <w:b/>
                <w:sz w:val="20"/>
                <w:szCs w:val="20"/>
              </w:rPr>
            </w:pPr>
            <w:r w:rsidRPr="00831C6D">
              <w:rPr>
                <w:rFonts w:ascii="Arial" w:hAnsi="Arial" w:cs="Arial"/>
                <w:b/>
                <w:color w:val="FFFFFF" w:themeColor="background1"/>
                <w:sz w:val="20"/>
                <w:szCs w:val="20"/>
              </w:rPr>
              <w:t xml:space="preserve">Table </w:t>
            </w:r>
            <w:r w:rsidR="00423076" w:rsidRPr="00831C6D">
              <w:rPr>
                <w:rFonts w:ascii="Arial" w:hAnsi="Arial" w:cs="Arial"/>
                <w:b/>
                <w:color w:val="FFFFFF" w:themeColor="background1"/>
                <w:sz w:val="20"/>
                <w:szCs w:val="20"/>
              </w:rPr>
              <w:t>4</w:t>
            </w:r>
            <w:r w:rsidRPr="00831C6D">
              <w:rPr>
                <w:rFonts w:ascii="Arial" w:hAnsi="Arial" w:cs="Arial"/>
                <w:b/>
                <w:color w:val="FFFFFF" w:themeColor="background1"/>
                <w:sz w:val="20"/>
                <w:szCs w:val="20"/>
              </w:rPr>
              <w:t>: Annual regulatory costs, averaged over 10 years ($m)</w:t>
            </w:r>
          </w:p>
        </w:tc>
      </w:tr>
      <w:tr w:rsidR="005A409A" w:rsidRPr="00831C6D" w:rsidTr="009C6657">
        <w:tc>
          <w:tcPr>
            <w:tcW w:w="1427" w:type="dxa"/>
            <w:tcBorders>
              <w:bottom w:val="single" w:sz="4" w:space="0" w:color="FFFFFF" w:themeColor="background1"/>
            </w:tcBorders>
            <w:shd w:val="clear" w:color="auto" w:fill="002060"/>
          </w:tcPr>
          <w:p w:rsidR="005A409A" w:rsidRPr="00831C6D" w:rsidRDefault="005A409A" w:rsidP="009C6657">
            <w:pPr>
              <w:pStyle w:val="APRANORMAL"/>
              <w:rPr>
                <w:rFonts w:ascii="Arial" w:hAnsi="Arial" w:cs="Arial"/>
                <w:color w:val="FFFFFF" w:themeColor="background1"/>
                <w:sz w:val="20"/>
                <w:szCs w:val="20"/>
              </w:rPr>
            </w:pPr>
            <w:r w:rsidRPr="00831C6D">
              <w:rPr>
                <w:rFonts w:ascii="Arial" w:hAnsi="Arial" w:cs="Arial"/>
                <w:color w:val="FFFFFF" w:themeColor="background1"/>
                <w:sz w:val="20"/>
                <w:szCs w:val="20"/>
              </w:rPr>
              <w:t>Change in costs ($m)</w:t>
            </w:r>
          </w:p>
        </w:tc>
        <w:tc>
          <w:tcPr>
            <w:tcW w:w="1899" w:type="dxa"/>
            <w:tcBorders>
              <w:bottom w:val="single" w:sz="4" w:space="0" w:color="FFFFFF" w:themeColor="background1"/>
            </w:tcBorders>
            <w:shd w:val="clear" w:color="auto" w:fill="F2F2F2" w:themeFill="background1" w:themeFillShade="F2"/>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Business</w:t>
            </w:r>
          </w:p>
        </w:tc>
        <w:tc>
          <w:tcPr>
            <w:tcW w:w="1900" w:type="dxa"/>
            <w:tcBorders>
              <w:bottom w:val="single" w:sz="4" w:space="0" w:color="FFFFFF" w:themeColor="background1"/>
            </w:tcBorders>
            <w:shd w:val="clear" w:color="auto" w:fill="F2F2F2" w:themeFill="background1" w:themeFillShade="F2"/>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 xml:space="preserve">Community organisations </w:t>
            </w:r>
          </w:p>
        </w:tc>
        <w:tc>
          <w:tcPr>
            <w:tcW w:w="1900" w:type="dxa"/>
            <w:tcBorders>
              <w:bottom w:val="single" w:sz="4" w:space="0" w:color="FFFFFF" w:themeColor="background1"/>
            </w:tcBorders>
            <w:shd w:val="clear" w:color="auto" w:fill="F2F2F2" w:themeFill="background1" w:themeFillShade="F2"/>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Individuals</w:t>
            </w:r>
          </w:p>
        </w:tc>
        <w:tc>
          <w:tcPr>
            <w:tcW w:w="1900" w:type="dxa"/>
            <w:tcBorders>
              <w:bottom w:val="single" w:sz="4" w:space="0" w:color="FFFFFF" w:themeColor="background1"/>
            </w:tcBorders>
            <w:shd w:val="clear" w:color="auto" w:fill="F2F2F2" w:themeFill="background1" w:themeFillShade="F2"/>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Total change in costs</w:t>
            </w:r>
          </w:p>
        </w:tc>
      </w:tr>
      <w:tr w:rsidR="005A409A" w:rsidRPr="00831C6D" w:rsidTr="009C6657">
        <w:tc>
          <w:tcPr>
            <w:tcW w:w="1427" w:type="dxa"/>
            <w:tcBorders>
              <w:top w:val="single" w:sz="4" w:space="0" w:color="FFFFFF" w:themeColor="background1"/>
              <w:bottom w:val="single" w:sz="4" w:space="0" w:color="FFFFFF" w:themeColor="background1"/>
            </w:tcBorders>
            <w:shd w:val="clear" w:color="auto" w:fill="002060"/>
          </w:tcPr>
          <w:p w:rsidR="005A409A" w:rsidRPr="00831C6D" w:rsidRDefault="005A409A" w:rsidP="009C6657">
            <w:pPr>
              <w:pStyle w:val="APRANORMAL"/>
              <w:rPr>
                <w:rFonts w:ascii="Arial" w:hAnsi="Arial" w:cs="Arial"/>
                <w:color w:val="FFFFFF" w:themeColor="background1"/>
                <w:sz w:val="20"/>
                <w:szCs w:val="20"/>
              </w:rPr>
            </w:pPr>
            <w:r w:rsidRPr="00831C6D">
              <w:rPr>
                <w:rFonts w:ascii="Arial" w:hAnsi="Arial" w:cs="Arial"/>
                <w:color w:val="FFFFFF" w:themeColor="background1"/>
                <w:sz w:val="20"/>
                <w:szCs w:val="20"/>
              </w:rPr>
              <w:t>Total by sector</w:t>
            </w:r>
          </w:p>
        </w:tc>
        <w:tc>
          <w:tcPr>
            <w:tcW w:w="1899" w:type="dxa"/>
            <w:tcBorders>
              <w:top w:val="single" w:sz="4" w:space="0" w:color="FFFFFF" w:themeColor="background1"/>
              <w:bottom w:val="single" w:sz="4" w:space="0" w:color="FFFFFF" w:themeColor="background1"/>
            </w:tcBorders>
            <w:shd w:val="clear" w:color="auto" w:fill="D9D9D9" w:themeFill="background1" w:themeFillShade="D9"/>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$38 million</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rsidR="005A409A" w:rsidRPr="00831C6D" w:rsidRDefault="005A409A" w:rsidP="009C6657">
            <w:pPr>
              <w:pStyle w:val="APRANORMAL"/>
              <w:rPr>
                <w:rFonts w:ascii="Arial" w:hAnsi="Arial" w:cs="Arial"/>
                <w:sz w:val="20"/>
                <w:szCs w:val="20"/>
              </w:rPr>
            </w:pPr>
            <w:r w:rsidRPr="00831C6D">
              <w:rPr>
                <w:rFonts w:ascii="Arial" w:hAnsi="Arial" w:cs="Arial"/>
                <w:sz w:val="20"/>
                <w:szCs w:val="20"/>
              </w:rPr>
              <w:t>Nil</w:t>
            </w:r>
          </w:p>
        </w:tc>
      </w:tr>
    </w:tbl>
    <w:p w:rsidR="005A409A" w:rsidRDefault="005A409A" w:rsidP="00FF4CA5"/>
    <w:p w:rsidR="00FF4CA5" w:rsidRDefault="00FF4CA5" w:rsidP="00FF4CA5">
      <w:r>
        <w:t xml:space="preserve">Under </w:t>
      </w:r>
      <w:r w:rsidR="00423076">
        <w:t>O</w:t>
      </w:r>
      <w:r>
        <w:t xml:space="preserve">ption 3, non-SFIs will need to make significantly fewer changes to remuneration arrangements to meet </w:t>
      </w:r>
      <w:r w:rsidR="00BA2B00">
        <w:t xml:space="preserve">new </w:t>
      </w:r>
      <w:r>
        <w:t>CPS 511</w:t>
      </w:r>
      <w:r w:rsidR="00BA2B00">
        <w:t xml:space="preserve"> requirements</w:t>
      </w:r>
      <w:r>
        <w:t xml:space="preserve">, compared to </w:t>
      </w:r>
      <w:r w:rsidR="00077E2E">
        <w:t>option 2</w:t>
      </w:r>
      <w:r>
        <w:t xml:space="preserve">. They will be subject to simpler governance arrangements, no requirements for regular reviews and </w:t>
      </w:r>
      <w:r w:rsidR="00AA158F">
        <w:t>less complex</w:t>
      </w:r>
      <w:r>
        <w:t xml:space="preserve"> remuneration design requirements</w:t>
      </w:r>
      <w:r w:rsidR="00AA158F">
        <w:t xml:space="preserve">; for example, these entities </w:t>
      </w:r>
      <w:r w:rsidR="00077E2E">
        <w:t xml:space="preserve">would not be required </w:t>
      </w:r>
      <w:r w:rsidR="00AA158F">
        <w:t>to establish clawback provisions</w:t>
      </w:r>
      <w:r>
        <w:t>.</w:t>
      </w:r>
      <w:r w:rsidR="00464CDE">
        <w:t xml:space="preserve"> There would also be some regulatory savings; in certain areas, </w:t>
      </w:r>
      <w:r w:rsidR="00423076">
        <w:t xml:space="preserve">the new </w:t>
      </w:r>
      <w:r w:rsidR="00464CDE">
        <w:t xml:space="preserve">CPS 511 </w:t>
      </w:r>
      <w:r w:rsidR="0003701B">
        <w:t>will remove existing</w:t>
      </w:r>
      <w:r w:rsidR="00464CDE">
        <w:t xml:space="preserve"> </w:t>
      </w:r>
      <w:r w:rsidR="0003701B">
        <w:t xml:space="preserve">regulatory </w:t>
      </w:r>
      <w:r w:rsidR="00464CDE">
        <w:t xml:space="preserve">requirements </w:t>
      </w:r>
      <w:r w:rsidR="0003701B">
        <w:t xml:space="preserve">of smaller </w:t>
      </w:r>
      <w:r w:rsidR="008B2639">
        <w:t>entities</w:t>
      </w:r>
      <w:r w:rsidR="00464CDE">
        <w:t>.</w:t>
      </w:r>
    </w:p>
    <w:p w:rsidR="00F52194" w:rsidRDefault="00AA158F" w:rsidP="00387AE1">
      <w:r>
        <w:t xml:space="preserve">The </w:t>
      </w:r>
      <w:r w:rsidR="00BA2B00">
        <w:t xml:space="preserve">additional regulatory </w:t>
      </w:r>
      <w:r>
        <w:t xml:space="preserve">costs to smaller entities </w:t>
      </w:r>
      <w:r w:rsidR="00747DCA">
        <w:t>would be</w:t>
      </w:r>
      <w:r>
        <w:t xml:space="preserve"> significantly lower than estimated under </w:t>
      </w:r>
      <w:r w:rsidR="00423076">
        <w:t>O</w:t>
      </w:r>
      <w:r>
        <w:t xml:space="preserve">ption 2. </w:t>
      </w:r>
      <w:r w:rsidR="00387AE1">
        <w:t>APRA considers it likely that the</w:t>
      </w:r>
      <w:r w:rsidR="00BA2B00">
        <w:t>se</w:t>
      </w:r>
      <w:r w:rsidR="00387AE1">
        <w:t xml:space="preserve"> costs </w:t>
      </w:r>
      <w:r w:rsidR="00BA2B00">
        <w:t>could</w:t>
      </w:r>
      <w:r w:rsidR="00387AE1">
        <w:t xml:space="preserve"> be absorbed by </w:t>
      </w:r>
      <w:r w:rsidR="00831C6D">
        <w:t>small and large entities</w:t>
      </w:r>
      <w:r w:rsidR="00F52194" w:rsidRPr="00E410BD">
        <w:t>.</w:t>
      </w:r>
      <w:r w:rsidR="00464CDE">
        <w:t xml:space="preserve"> On balance, </w:t>
      </w:r>
      <w:r w:rsidR="00423076">
        <w:t>Option 3</w:t>
      </w:r>
      <w:r w:rsidR="00464CDE">
        <w:t xml:space="preserve"> would provide a net benefit from </w:t>
      </w:r>
      <w:r w:rsidR="0003701B">
        <w:t>regulatory change</w:t>
      </w:r>
      <w:r w:rsidR="00464CDE">
        <w:t>.</w:t>
      </w:r>
    </w:p>
    <w:p w:rsidR="00F413E1" w:rsidRDefault="00F413E1" w:rsidP="000B08E1">
      <w:pPr>
        <w:pStyle w:val="Heading4"/>
        <w:spacing w:before="0"/>
      </w:pPr>
      <w:r>
        <w:t>Assessment of net benefits</w:t>
      </w:r>
    </w:p>
    <w:p w:rsidR="00F413E1" w:rsidRDefault="00F413E1" w:rsidP="00F413E1">
      <w:r w:rsidRPr="002379C6">
        <w:t xml:space="preserve">As outlined in APRA’s </w:t>
      </w:r>
      <w:r>
        <w:t>July</w:t>
      </w:r>
      <w:r w:rsidRPr="002379C6">
        <w:t xml:space="preserve"> 2019 Discussion Paper, there are net benefits of </w:t>
      </w:r>
      <w:r>
        <w:t xml:space="preserve">APRA’s approach </w:t>
      </w:r>
      <w:r w:rsidRPr="002379C6">
        <w:t xml:space="preserve">to </w:t>
      </w:r>
      <w:r>
        <w:t>revising C</w:t>
      </w:r>
      <w:r w:rsidRPr="002379C6">
        <w:t xml:space="preserve">PS </w:t>
      </w:r>
      <w:r w:rsidR="00C55AAD">
        <w:t>5</w:t>
      </w:r>
      <w:r w:rsidRPr="002379C6">
        <w:t>11 (</w:t>
      </w:r>
      <w:r w:rsidR="00423076">
        <w:t>O</w:t>
      </w:r>
      <w:r w:rsidRPr="002379C6">
        <w:t xml:space="preserve">ption </w:t>
      </w:r>
      <w:r>
        <w:t>3</w:t>
      </w:r>
      <w:r w:rsidRPr="002379C6">
        <w:t>):</w:t>
      </w:r>
    </w:p>
    <w:p w:rsidR="001D7902" w:rsidRDefault="00503FD5" w:rsidP="00503FD5">
      <w:pPr>
        <w:pStyle w:val="ListBullet"/>
        <w:numPr>
          <w:ilvl w:val="0"/>
          <w:numId w:val="48"/>
        </w:numPr>
        <w:jc w:val="left"/>
      </w:pPr>
      <w:r>
        <w:t>The majority of APRA’s reforms are targeted at</w:t>
      </w:r>
      <w:r w:rsidR="001D7902">
        <w:t xml:space="preserve"> large and complex entities. The costs to these entities from failings in risk management and poor conduct have been significant in recent years. In October 2019, the Reserve Bank of Australia estimated that r</w:t>
      </w:r>
      <w:r w:rsidR="001D7902" w:rsidRPr="00BE348C">
        <w:t xml:space="preserve">emediation costs </w:t>
      </w:r>
      <w:r w:rsidR="001D7902">
        <w:t xml:space="preserve">to large entities </w:t>
      </w:r>
      <w:r w:rsidR="001D7902" w:rsidRPr="00BE348C">
        <w:t xml:space="preserve">associated with poor customer outcomes and regulatory non-compliance </w:t>
      </w:r>
      <w:r w:rsidR="001D7902">
        <w:t>had</w:t>
      </w:r>
      <w:r w:rsidR="001D7902" w:rsidRPr="00BE348C">
        <w:t xml:space="preserve"> amounted to $7</w:t>
      </w:r>
      <w:r w:rsidR="001D7902">
        <w:t>.5</w:t>
      </w:r>
      <w:r w:rsidR="001D7902" w:rsidRPr="00BE348C">
        <w:t xml:space="preserve"> billion over the </w:t>
      </w:r>
      <w:r w:rsidR="001D7902">
        <w:t>prior</w:t>
      </w:r>
      <w:r w:rsidR="001D7902" w:rsidRPr="00BE348C">
        <w:t xml:space="preserve"> two years</w:t>
      </w:r>
      <w:r w:rsidR="001D7902">
        <w:t>.</w:t>
      </w:r>
      <w:r w:rsidR="001D7902">
        <w:rPr>
          <w:rStyle w:val="FootnoteReference"/>
        </w:rPr>
        <w:footnoteReference w:id="6"/>
      </w:r>
    </w:p>
    <w:p w:rsidR="00503FD5" w:rsidRDefault="001D7902" w:rsidP="00503FD5">
      <w:pPr>
        <w:pStyle w:val="ListBullet"/>
        <w:numPr>
          <w:ilvl w:val="0"/>
          <w:numId w:val="48"/>
        </w:numPr>
        <w:jc w:val="left"/>
      </w:pPr>
      <w:r>
        <w:t>APRA’s proportional approach to regulatory change</w:t>
      </w:r>
      <w:r w:rsidR="00503FD5">
        <w:t xml:space="preserve"> will </w:t>
      </w:r>
      <w:r w:rsidR="00193A4D">
        <w:t>mean that smaller entities are subject to simpler requirements.</w:t>
      </w:r>
      <w:r w:rsidR="00503FD5">
        <w:t xml:space="preserve"> This supports competition.</w:t>
      </w:r>
    </w:p>
    <w:p w:rsidR="000273C4" w:rsidRPr="00BE348C" w:rsidRDefault="000273C4" w:rsidP="000273C4">
      <w:pPr>
        <w:pStyle w:val="ListBullet"/>
        <w:numPr>
          <w:ilvl w:val="0"/>
          <w:numId w:val="0"/>
        </w:numPr>
        <w:jc w:val="left"/>
      </w:pPr>
    </w:p>
    <w:p w:rsidR="00F413E1" w:rsidRPr="002D403F" w:rsidRDefault="00F413E1" w:rsidP="00F413E1">
      <w:pPr>
        <w:pStyle w:val="ListBullet"/>
        <w:numPr>
          <w:ilvl w:val="0"/>
          <w:numId w:val="48"/>
        </w:numPr>
        <w:jc w:val="left"/>
      </w:pPr>
      <w:r>
        <w:lastRenderedPageBreak/>
        <w:t>CPS 511 creates stronger incentives for individuals to proactively manage risks they are responsible for. This will promote effective management of financial and non-financial risks, and support the prevention of and mitigation of conduct risk.</w:t>
      </w:r>
    </w:p>
    <w:p w:rsidR="00F413E1" w:rsidRDefault="00F413E1" w:rsidP="00F413E1">
      <w:pPr>
        <w:pStyle w:val="ListBullet"/>
        <w:numPr>
          <w:ilvl w:val="0"/>
          <w:numId w:val="48"/>
        </w:numPr>
        <w:jc w:val="left"/>
      </w:pPr>
      <w:r>
        <w:t>CPS 511 also ensures there are appropriate consequences for poor outcomes. Senior executives will not be financially rewarded where there are failings in risk management.</w:t>
      </w:r>
    </w:p>
    <w:p w:rsidR="00F413E1" w:rsidRDefault="00F413E1" w:rsidP="005F62A6">
      <w:pPr>
        <w:pStyle w:val="ListBullet"/>
        <w:numPr>
          <w:ilvl w:val="0"/>
          <w:numId w:val="48"/>
        </w:numPr>
        <w:jc w:val="left"/>
      </w:pPr>
      <w:r>
        <w:t xml:space="preserve">CPS 511 addresses </w:t>
      </w:r>
      <w:r w:rsidRPr="00003D95">
        <w:t xml:space="preserve">recommendations 5.1 to 5.3 of the </w:t>
      </w:r>
      <w:r w:rsidRPr="00003D95">
        <w:rPr>
          <w:i/>
        </w:rPr>
        <w:t>Royal Commission into Misconduct in the Banking, Superannuation and Financial Services Industry</w:t>
      </w:r>
      <w:r>
        <w:rPr>
          <w:i/>
        </w:rPr>
        <w:t>.</w:t>
      </w:r>
      <w:r>
        <w:t xml:space="preserve"> This will help to maintain trust in financial institutions.</w:t>
      </w:r>
    </w:p>
    <w:p w:rsidR="00F413E1" w:rsidRPr="000A196E" w:rsidRDefault="00F413E1" w:rsidP="000A196E">
      <w:pPr>
        <w:tabs>
          <w:tab w:val="left" w:pos="1876"/>
        </w:tabs>
        <w:rPr>
          <w:b/>
        </w:rPr>
      </w:pPr>
      <w:r w:rsidRPr="000A196E">
        <w:rPr>
          <w:b/>
        </w:rPr>
        <w:t>Conclusion: comparison of policy options</w:t>
      </w:r>
    </w:p>
    <w:p w:rsidR="00F413E1" w:rsidRDefault="00F413E1" w:rsidP="00F413E1">
      <w:r w:rsidRPr="0091276B">
        <w:t xml:space="preserve">When developing policy, APRA is required to balance the objectives of financial safety and efficiency, competition, contestability and competitive neutrality, while promoting financial system stability in Australia. </w:t>
      </w:r>
      <w:r w:rsidRPr="008A4FCB">
        <w:t xml:space="preserve">APRA considers that, on balance, Option </w:t>
      </w:r>
      <w:r>
        <w:t>3</w:t>
      </w:r>
      <w:r w:rsidRPr="008A4FCB">
        <w:t xml:space="preserve"> will enhance prudential outcomes</w:t>
      </w:r>
      <w:r>
        <w:t xml:space="preserve"> and</w:t>
      </w:r>
      <w:r w:rsidRPr="008A4FCB">
        <w:t xml:space="preserve"> improve financial system</w:t>
      </w:r>
      <w:r>
        <w:t xml:space="preserve"> safety and</w:t>
      </w:r>
      <w:r w:rsidRPr="008A4FCB">
        <w:t xml:space="preserve"> stability in Australia.</w:t>
      </w:r>
      <w:r>
        <w:t xml:space="preserve"> </w:t>
      </w:r>
      <w:r w:rsidR="005F62A6">
        <w:t xml:space="preserve">APRA’s </w:t>
      </w:r>
      <w:r>
        <w:t xml:space="preserve">proportional approach to regulatory reform under Option 3 will also </w:t>
      </w:r>
      <w:r w:rsidR="00503FD5">
        <w:t xml:space="preserve">significantly </w:t>
      </w:r>
      <w:r>
        <w:t>reduce burden for smaller entities</w:t>
      </w:r>
      <w:r w:rsidR="0003701B">
        <w:t>, supporting competition</w:t>
      </w:r>
      <w:r>
        <w:t xml:space="preserve">. This approach ensures that </w:t>
      </w:r>
      <w:r w:rsidR="0003701B">
        <w:t xml:space="preserve">CPS 511 </w:t>
      </w:r>
      <w:r>
        <w:t xml:space="preserve">reforms </w:t>
      </w:r>
      <w:r w:rsidR="0003701B">
        <w:t>will result in a net benefit</w:t>
      </w:r>
      <w:r w:rsidR="00423076">
        <w:t xml:space="preserve"> (see table 5 below)</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275"/>
        <w:gridCol w:w="2312"/>
        <w:gridCol w:w="2009"/>
      </w:tblGrid>
      <w:tr w:rsidR="00423076" w:rsidRPr="00831C6D" w:rsidTr="00423076">
        <w:trPr>
          <w:trHeight w:val="397"/>
        </w:trPr>
        <w:tc>
          <w:tcPr>
            <w:tcW w:w="9026" w:type="dxa"/>
            <w:gridSpan w:val="4"/>
            <w:tcBorders>
              <w:bottom w:val="single" w:sz="4" w:space="0" w:color="FFFFFF" w:themeColor="background1"/>
            </w:tcBorders>
            <w:shd w:val="clear" w:color="auto" w:fill="002060"/>
          </w:tcPr>
          <w:p w:rsidR="00423076" w:rsidRPr="00831C6D" w:rsidRDefault="00423076" w:rsidP="004927B4">
            <w:pPr>
              <w:spacing w:after="120"/>
              <w:jc w:val="center"/>
              <w:rPr>
                <w:rFonts w:cs="Arial"/>
                <w:b/>
                <w:sz w:val="20"/>
                <w:szCs w:val="20"/>
              </w:rPr>
            </w:pPr>
            <w:r w:rsidRPr="00831C6D">
              <w:rPr>
                <w:rFonts w:cs="Arial"/>
                <w:b/>
                <w:sz w:val="20"/>
                <w:szCs w:val="20"/>
              </w:rPr>
              <w:t>Table 5: Comparison of options</w:t>
            </w:r>
          </w:p>
        </w:tc>
      </w:tr>
      <w:tr w:rsidR="00423076" w:rsidRPr="00831C6D" w:rsidTr="00423076">
        <w:trPr>
          <w:trHeight w:val="397"/>
        </w:trPr>
        <w:tc>
          <w:tcPr>
            <w:tcW w:w="2430" w:type="dxa"/>
            <w:tcBorders>
              <w:bottom w:val="single" w:sz="4" w:space="0" w:color="FFFFFF" w:themeColor="background1"/>
            </w:tcBorders>
            <w:shd w:val="clear" w:color="auto" w:fill="002060"/>
          </w:tcPr>
          <w:p w:rsidR="00423076" w:rsidRPr="00831C6D" w:rsidRDefault="00423076" w:rsidP="00423076">
            <w:pPr>
              <w:spacing w:after="120"/>
              <w:rPr>
                <w:rFonts w:cs="Arial"/>
                <w:b/>
                <w:sz w:val="20"/>
                <w:szCs w:val="20"/>
              </w:rPr>
            </w:pPr>
          </w:p>
        </w:tc>
        <w:tc>
          <w:tcPr>
            <w:tcW w:w="2275" w:type="dxa"/>
            <w:tcBorders>
              <w:bottom w:val="single" w:sz="4" w:space="0" w:color="FFFFFF" w:themeColor="background1"/>
            </w:tcBorders>
            <w:shd w:val="clear" w:color="auto" w:fill="002060"/>
          </w:tcPr>
          <w:p w:rsidR="00423076" w:rsidRPr="00831C6D" w:rsidRDefault="00423076" w:rsidP="00423076">
            <w:pPr>
              <w:spacing w:after="120"/>
              <w:jc w:val="center"/>
              <w:rPr>
                <w:rFonts w:cs="Arial"/>
                <w:b/>
                <w:sz w:val="20"/>
                <w:szCs w:val="20"/>
              </w:rPr>
            </w:pPr>
            <w:r w:rsidRPr="00831C6D">
              <w:rPr>
                <w:rFonts w:cs="Arial"/>
                <w:b/>
                <w:sz w:val="20"/>
                <w:szCs w:val="20"/>
              </w:rPr>
              <w:t>Option 1</w:t>
            </w:r>
          </w:p>
        </w:tc>
        <w:tc>
          <w:tcPr>
            <w:tcW w:w="2312" w:type="dxa"/>
            <w:tcBorders>
              <w:bottom w:val="single" w:sz="4" w:space="0" w:color="FFFFFF" w:themeColor="background1"/>
            </w:tcBorders>
            <w:shd w:val="clear" w:color="auto" w:fill="002060"/>
          </w:tcPr>
          <w:p w:rsidR="00423076" w:rsidRPr="00831C6D" w:rsidRDefault="00423076" w:rsidP="00423076">
            <w:pPr>
              <w:spacing w:after="120"/>
              <w:jc w:val="center"/>
              <w:rPr>
                <w:rFonts w:cs="Arial"/>
                <w:b/>
                <w:sz w:val="20"/>
                <w:szCs w:val="20"/>
              </w:rPr>
            </w:pPr>
            <w:r w:rsidRPr="00831C6D">
              <w:rPr>
                <w:rFonts w:cs="Arial"/>
                <w:b/>
                <w:sz w:val="20"/>
                <w:szCs w:val="20"/>
              </w:rPr>
              <w:t>Option 2</w:t>
            </w:r>
          </w:p>
        </w:tc>
        <w:tc>
          <w:tcPr>
            <w:tcW w:w="2009" w:type="dxa"/>
            <w:tcBorders>
              <w:bottom w:val="single" w:sz="4" w:space="0" w:color="FFFFFF" w:themeColor="background1"/>
            </w:tcBorders>
            <w:shd w:val="clear" w:color="auto" w:fill="002060"/>
          </w:tcPr>
          <w:p w:rsidR="00423076" w:rsidRPr="00831C6D" w:rsidRDefault="00423076" w:rsidP="00423076">
            <w:pPr>
              <w:spacing w:after="120"/>
              <w:jc w:val="center"/>
              <w:rPr>
                <w:rFonts w:cs="Arial"/>
                <w:b/>
                <w:sz w:val="20"/>
                <w:szCs w:val="20"/>
              </w:rPr>
            </w:pPr>
            <w:r w:rsidRPr="00831C6D">
              <w:rPr>
                <w:rFonts w:cs="Arial"/>
                <w:b/>
                <w:sz w:val="20"/>
                <w:szCs w:val="20"/>
              </w:rPr>
              <w:t>Option 3</w:t>
            </w:r>
          </w:p>
        </w:tc>
      </w:tr>
      <w:tr w:rsidR="00423076" w:rsidRPr="00831C6D" w:rsidTr="0003701B">
        <w:trPr>
          <w:trHeight w:val="700"/>
        </w:trPr>
        <w:tc>
          <w:tcPr>
            <w:tcW w:w="2430" w:type="dxa"/>
            <w:tcBorders>
              <w:top w:val="single" w:sz="4" w:space="0" w:color="FFFFFF" w:themeColor="background1"/>
              <w:bottom w:val="single" w:sz="4" w:space="0" w:color="FFFFFF" w:themeColor="background1"/>
            </w:tcBorders>
            <w:shd w:val="clear" w:color="auto" w:fill="002060"/>
          </w:tcPr>
          <w:p w:rsidR="00423076" w:rsidRPr="00831C6D" w:rsidRDefault="00423076" w:rsidP="00423076">
            <w:pPr>
              <w:jc w:val="left"/>
              <w:rPr>
                <w:rFonts w:cs="Arial"/>
                <w:color w:val="FFFFFF" w:themeColor="background1"/>
                <w:sz w:val="20"/>
                <w:szCs w:val="20"/>
              </w:rPr>
            </w:pPr>
            <w:r w:rsidRPr="00831C6D">
              <w:rPr>
                <w:rFonts w:cs="Arial"/>
                <w:color w:val="FFFFFF" w:themeColor="background1"/>
                <w:sz w:val="20"/>
                <w:szCs w:val="20"/>
              </w:rPr>
              <w:t>Regulatory costs</w:t>
            </w:r>
          </w:p>
        </w:tc>
        <w:tc>
          <w:tcPr>
            <w:tcW w:w="2275" w:type="dxa"/>
            <w:tcBorders>
              <w:top w:val="single" w:sz="4" w:space="0" w:color="FFFFFF" w:themeColor="background1"/>
              <w:bottom w:val="single" w:sz="4" w:space="0" w:color="FFFFFF" w:themeColor="background1"/>
            </w:tcBorders>
            <w:shd w:val="clear" w:color="auto" w:fill="F2F2F2" w:themeFill="background1" w:themeFillShade="F2"/>
          </w:tcPr>
          <w:p w:rsidR="00423076" w:rsidRPr="00831C6D" w:rsidRDefault="00423076" w:rsidP="00423076">
            <w:pPr>
              <w:jc w:val="center"/>
              <w:rPr>
                <w:rFonts w:cs="Arial"/>
                <w:sz w:val="20"/>
                <w:szCs w:val="20"/>
              </w:rPr>
            </w:pPr>
            <w:r w:rsidRPr="00831C6D">
              <w:rPr>
                <w:rFonts w:cs="Arial"/>
                <w:sz w:val="20"/>
                <w:szCs w:val="20"/>
              </w:rPr>
              <w:t>Nil</w:t>
            </w:r>
          </w:p>
        </w:tc>
        <w:tc>
          <w:tcPr>
            <w:tcW w:w="2312" w:type="dxa"/>
            <w:tcBorders>
              <w:top w:val="single" w:sz="4" w:space="0" w:color="FFFFFF" w:themeColor="background1"/>
              <w:bottom w:val="single" w:sz="4" w:space="0" w:color="FFFFFF" w:themeColor="background1"/>
            </w:tcBorders>
            <w:shd w:val="clear" w:color="auto" w:fill="F2F2F2" w:themeFill="background1" w:themeFillShade="F2"/>
          </w:tcPr>
          <w:p w:rsidR="00423076" w:rsidRPr="00831C6D" w:rsidRDefault="00423076" w:rsidP="00423076">
            <w:pPr>
              <w:jc w:val="center"/>
              <w:rPr>
                <w:rFonts w:cs="Arial"/>
                <w:sz w:val="20"/>
                <w:szCs w:val="20"/>
              </w:rPr>
            </w:pPr>
            <w:r w:rsidRPr="00831C6D">
              <w:rPr>
                <w:rFonts w:cs="Arial"/>
                <w:sz w:val="20"/>
                <w:szCs w:val="20"/>
              </w:rPr>
              <w:t>High</w:t>
            </w:r>
          </w:p>
        </w:tc>
        <w:tc>
          <w:tcPr>
            <w:tcW w:w="2009" w:type="dxa"/>
            <w:tcBorders>
              <w:top w:val="single" w:sz="4" w:space="0" w:color="FFFFFF" w:themeColor="background1"/>
              <w:bottom w:val="single" w:sz="4" w:space="0" w:color="FFFFFF" w:themeColor="background1"/>
            </w:tcBorders>
            <w:shd w:val="clear" w:color="auto" w:fill="F2F2F2" w:themeFill="background1" w:themeFillShade="F2"/>
          </w:tcPr>
          <w:p w:rsidR="00423076" w:rsidRPr="00831C6D" w:rsidRDefault="00423076" w:rsidP="00423076">
            <w:pPr>
              <w:jc w:val="center"/>
              <w:rPr>
                <w:rFonts w:cs="Arial"/>
                <w:sz w:val="20"/>
                <w:szCs w:val="20"/>
              </w:rPr>
            </w:pPr>
            <w:r w:rsidRPr="00831C6D">
              <w:rPr>
                <w:rFonts w:cs="Arial"/>
                <w:sz w:val="20"/>
                <w:szCs w:val="20"/>
              </w:rPr>
              <w:t>Moderate</w:t>
            </w:r>
          </w:p>
        </w:tc>
      </w:tr>
      <w:tr w:rsidR="00423076" w:rsidRPr="00831C6D" w:rsidTr="0003701B">
        <w:trPr>
          <w:trHeight w:val="700"/>
        </w:trPr>
        <w:tc>
          <w:tcPr>
            <w:tcW w:w="2430" w:type="dxa"/>
            <w:tcBorders>
              <w:top w:val="single" w:sz="4" w:space="0" w:color="FFFFFF" w:themeColor="background1"/>
              <w:bottom w:val="single" w:sz="4" w:space="0" w:color="FFFFFF" w:themeColor="background1"/>
            </w:tcBorders>
            <w:shd w:val="clear" w:color="auto" w:fill="002060"/>
          </w:tcPr>
          <w:p w:rsidR="00423076" w:rsidRPr="00831C6D" w:rsidRDefault="00423076" w:rsidP="00423076">
            <w:pPr>
              <w:jc w:val="left"/>
              <w:rPr>
                <w:rFonts w:cs="Arial"/>
                <w:color w:val="FFFFFF" w:themeColor="background1"/>
                <w:sz w:val="20"/>
                <w:szCs w:val="20"/>
              </w:rPr>
            </w:pPr>
            <w:r w:rsidRPr="00831C6D">
              <w:rPr>
                <w:rFonts w:cs="Arial"/>
                <w:color w:val="FFFFFF" w:themeColor="background1"/>
                <w:sz w:val="20"/>
                <w:szCs w:val="20"/>
              </w:rPr>
              <w:t>Strengthened board governance</w:t>
            </w:r>
          </w:p>
        </w:tc>
        <w:tc>
          <w:tcPr>
            <w:tcW w:w="2275" w:type="dxa"/>
            <w:tcBorders>
              <w:top w:val="single" w:sz="4" w:space="0" w:color="FFFFFF" w:themeColor="background1"/>
              <w:bottom w:val="single" w:sz="4" w:space="0" w:color="FFFFFF" w:themeColor="background1"/>
            </w:tcBorders>
            <w:shd w:val="clear" w:color="auto" w:fill="D9D9D9" w:themeFill="background1" w:themeFillShade="D9"/>
          </w:tcPr>
          <w:p w:rsidR="00423076" w:rsidRPr="00831C6D" w:rsidRDefault="00423076" w:rsidP="00423076">
            <w:pPr>
              <w:jc w:val="center"/>
              <w:rPr>
                <w:rFonts w:cs="Arial"/>
                <w:sz w:val="20"/>
                <w:szCs w:val="20"/>
              </w:rPr>
            </w:pPr>
            <w:r w:rsidRPr="00831C6D">
              <w:rPr>
                <w:rFonts w:cs="Arial"/>
                <w:sz w:val="20"/>
                <w:szCs w:val="20"/>
              </w:rPr>
              <w:t>Does not meet this criterion</w:t>
            </w:r>
          </w:p>
        </w:tc>
        <w:tc>
          <w:tcPr>
            <w:tcW w:w="2312" w:type="dxa"/>
            <w:tcBorders>
              <w:top w:val="single" w:sz="4" w:space="0" w:color="FFFFFF" w:themeColor="background1"/>
              <w:bottom w:val="single" w:sz="4" w:space="0" w:color="FFFFFF" w:themeColor="background1"/>
            </w:tcBorders>
            <w:shd w:val="clear" w:color="auto" w:fill="D9D9D9" w:themeFill="background1" w:themeFillShade="D9"/>
          </w:tcPr>
          <w:p w:rsidR="00423076" w:rsidRPr="00831C6D" w:rsidRDefault="00423076" w:rsidP="00423076">
            <w:pPr>
              <w:jc w:val="center"/>
              <w:rPr>
                <w:rFonts w:cs="Arial"/>
                <w:sz w:val="20"/>
                <w:szCs w:val="20"/>
              </w:rPr>
            </w:pPr>
            <w:r w:rsidRPr="00831C6D">
              <w:rPr>
                <w:rFonts w:cs="Arial"/>
                <w:sz w:val="20"/>
                <w:szCs w:val="20"/>
              </w:rPr>
              <w:t>Meets this criterion</w:t>
            </w:r>
          </w:p>
        </w:tc>
        <w:tc>
          <w:tcPr>
            <w:tcW w:w="2009" w:type="dxa"/>
            <w:tcBorders>
              <w:top w:val="single" w:sz="4" w:space="0" w:color="FFFFFF" w:themeColor="background1"/>
              <w:bottom w:val="single" w:sz="4" w:space="0" w:color="FFFFFF" w:themeColor="background1"/>
            </w:tcBorders>
            <w:shd w:val="clear" w:color="auto" w:fill="D9D9D9" w:themeFill="background1" w:themeFillShade="D9"/>
          </w:tcPr>
          <w:p w:rsidR="00423076" w:rsidRPr="00831C6D" w:rsidRDefault="00423076" w:rsidP="00423076">
            <w:pPr>
              <w:jc w:val="center"/>
              <w:rPr>
                <w:rFonts w:cs="Arial"/>
                <w:sz w:val="20"/>
                <w:szCs w:val="20"/>
              </w:rPr>
            </w:pPr>
            <w:r w:rsidRPr="00831C6D">
              <w:rPr>
                <w:sz w:val="20"/>
                <w:szCs w:val="20"/>
              </w:rPr>
              <w:t>Meets this criterion</w:t>
            </w:r>
          </w:p>
        </w:tc>
      </w:tr>
      <w:tr w:rsidR="00423076" w:rsidRPr="00831C6D" w:rsidTr="0003701B">
        <w:trPr>
          <w:trHeight w:val="700"/>
        </w:trPr>
        <w:tc>
          <w:tcPr>
            <w:tcW w:w="2430" w:type="dxa"/>
            <w:tcBorders>
              <w:top w:val="single" w:sz="4" w:space="0" w:color="FFFFFF" w:themeColor="background1"/>
              <w:bottom w:val="single" w:sz="4" w:space="0" w:color="FFFFFF" w:themeColor="background1"/>
            </w:tcBorders>
            <w:shd w:val="clear" w:color="auto" w:fill="002060"/>
          </w:tcPr>
          <w:p w:rsidR="00423076" w:rsidRPr="00831C6D" w:rsidRDefault="00423076" w:rsidP="00423076">
            <w:pPr>
              <w:jc w:val="left"/>
              <w:rPr>
                <w:rFonts w:cs="Arial"/>
                <w:color w:val="FFFFFF" w:themeColor="background1"/>
                <w:sz w:val="20"/>
                <w:szCs w:val="20"/>
              </w:rPr>
            </w:pPr>
            <w:r w:rsidRPr="00831C6D">
              <w:rPr>
                <w:rFonts w:cs="Arial"/>
                <w:color w:val="FFFFFF" w:themeColor="background1"/>
                <w:sz w:val="20"/>
                <w:szCs w:val="20"/>
              </w:rPr>
              <w:t>Limit impact of financial metrics in long-term variable remuneration</w:t>
            </w:r>
          </w:p>
        </w:tc>
        <w:tc>
          <w:tcPr>
            <w:tcW w:w="2275" w:type="dxa"/>
            <w:tcBorders>
              <w:top w:val="single" w:sz="4" w:space="0" w:color="FFFFFF" w:themeColor="background1"/>
              <w:bottom w:val="single" w:sz="4" w:space="0" w:color="FFFFFF" w:themeColor="background1"/>
            </w:tcBorders>
            <w:shd w:val="clear" w:color="auto" w:fill="F2F2F2" w:themeFill="background1" w:themeFillShade="F2"/>
          </w:tcPr>
          <w:p w:rsidR="00423076" w:rsidRPr="00831C6D" w:rsidRDefault="00423076" w:rsidP="00423076">
            <w:pPr>
              <w:jc w:val="center"/>
              <w:rPr>
                <w:sz w:val="20"/>
                <w:szCs w:val="20"/>
              </w:rPr>
            </w:pPr>
            <w:r w:rsidRPr="00831C6D">
              <w:rPr>
                <w:sz w:val="20"/>
                <w:szCs w:val="20"/>
              </w:rPr>
              <w:t>Does not meet this criterion</w:t>
            </w:r>
          </w:p>
          <w:p w:rsidR="00423076" w:rsidRPr="00831C6D" w:rsidRDefault="00423076" w:rsidP="00423076">
            <w:pPr>
              <w:jc w:val="center"/>
              <w:rPr>
                <w:rFonts w:cs="Arial"/>
                <w:sz w:val="20"/>
                <w:szCs w:val="20"/>
              </w:rPr>
            </w:pPr>
          </w:p>
        </w:tc>
        <w:tc>
          <w:tcPr>
            <w:tcW w:w="2312" w:type="dxa"/>
            <w:tcBorders>
              <w:top w:val="single" w:sz="4" w:space="0" w:color="FFFFFF" w:themeColor="background1"/>
              <w:bottom w:val="single" w:sz="4" w:space="0" w:color="FFFFFF" w:themeColor="background1"/>
            </w:tcBorders>
            <w:shd w:val="clear" w:color="auto" w:fill="F2F2F2" w:themeFill="background1" w:themeFillShade="F2"/>
          </w:tcPr>
          <w:p w:rsidR="00423076" w:rsidRPr="00831C6D" w:rsidRDefault="00423076" w:rsidP="00423076">
            <w:pPr>
              <w:jc w:val="center"/>
              <w:rPr>
                <w:sz w:val="20"/>
                <w:szCs w:val="20"/>
              </w:rPr>
            </w:pPr>
            <w:r w:rsidRPr="00831C6D">
              <w:rPr>
                <w:rFonts w:cs="Arial"/>
                <w:sz w:val="20"/>
                <w:szCs w:val="20"/>
              </w:rPr>
              <w:t>Meets this criterion</w:t>
            </w:r>
          </w:p>
          <w:p w:rsidR="00423076" w:rsidRPr="00831C6D" w:rsidRDefault="00423076" w:rsidP="00423076">
            <w:pPr>
              <w:jc w:val="center"/>
              <w:rPr>
                <w:rFonts w:cs="Arial"/>
                <w:sz w:val="20"/>
                <w:szCs w:val="20"/>
              </w:rPr>
            </w:pPr>
          </w:p>
        </w:tc>
        <w:tc>
          <w:tcPr>
            <w:tcW w:w="2009" w:type="dxa"/>
            <w:tcBorders>
              <w:top w:val="single" w:sz="4" w:space="0" w:color="FFFFFF" w:themeColor="background1"/>
              <w:bottom w:val="single" w:sz="4" w:space="0" w:color="FFFFFF" w:themeColor="background1"/>
            </w:tcBorders>
            <w:shd w:val="clear" w:color="auto" w:fill="F2F2F2" w:themeFill="background1" w:themeFillShade="F2"/>
          </w:tcPr>
          <w:p w:rsidR="00423076" w:rsidRPr="00831C6D" w:rsidRDefault="00423076" w:rsidP="00423076">
            <w:pPr>
              <w:jc w:val="center"/>
              <w:rPr>
                <w:rFonts w:cs="Arial"/>
                <w:sz w:val="20"/>
                <w:szCs w:val="20"/>
              </w:rPr>
            </w:pPr>
            <w:r w:rsidRPr="00831C6D">
              <w:rPr>
                <w:sz w:val="20"/>
                <w:szCs w:val="20"/>
              </w:rPr>
              <w:t>Meets this criterion</w:t>
            </w:r>
          </w:p>
        </w:tc>
      </w:tr>
      <w:tr w:rsidR="00423076" w:rsidRPr="00831C6D" w:rsidTr="0003701B">
        <w:trPr>
          <w:trHeight w:val="700"/>
        </w:trPr>
        <w:tc>
          <w:tcPr>
            <w:tcW w:w="2430" w:type="dxa"/>
            <w:tcBorders>
              <w:top w:val="single" w:sz="4" w:space="0" w:color="FFFFFF" w:themeColor="background1"/>
              <w:bottom w:val="single" w:sz="4" w:space="0" w:color="FFFFFF" w:themeColor="background1"/>
            </w:tcBorders>
            <w:shd w:val="clear" w:color="auto" w:fill="002060"/>
          </w:tcPr>
          <w:p w:rsidR="00423076" w:rsidRPr="00831C6D" w:rsidRDefault="00423076" w:rsidP="00423076">
            <w:pPr>
              <w:jc w:val="left"/>
              <w:rPr>
                <w:rFonts w:cs="Arial"/>
                <w:color w:val="FFFFFF" w:themeColor="background1"/>
                <w:sz w:val="20"/>
                <w:szCs w:val="20"/>
              </w:rPr>
            </w:pPr>
            <w:r w:rsidRPr="00831C6D">
              <w:rPr>
                <w:rFonts w:cs="Arial"/>
                <w:color w:val="FFFFFF" w:themeColor="background1"/>
                <w:sz w:val="20"/>
                <w:szCs w:val="20"/>
              </w:rPr>
              <w:t>Deferral of variable remuneration</w:t>
            </w:r>
          </w:p>
        </w:tc>
        <w:tc>
          <w:tcPr>
            <w:tcW w:w="2275" w:type="dxa"/>
            <w:tcBorders>
              <w:top w:val="single" w:sz="4" w:space="0" w:color="FFFFFF" w:themeColor="background1"/>
              <w:bottom w:val="single" w:sz="4" w:space="0" w:color="FFFFFF" w:themeColor="background1"/>
            </w:tcBorders>
            <w:shd w:val="clear" w:color="auto" w:fill="D9D9D9" w:themeFill="background1" w:themeFillShade="D9"/>
          </w:tcPr>
          <w:p w:rsidR="00423076" w:rsidRPr="00831C6D" w:rsidRDefault="00423076" w:rsidP="00423076">
            <w:pPr>
              <w:jc w:val="center"/>
              <w:rPr>
                <w:rFonts w:cs="Arial"/>
                <w:sz w:val="20"/>
                <w:szCs w:val="20"/>
              </w:rPr>
            </w:pPr>
            <w:r w:rsidRPr="00831C6D">
              <w:rPr>
                <w:sz w:val="20"/>
                <w:szCs w:val="20"/>
              </w:rPr>
              <w:t>Partly meets this criterion</w:t>
            </w:r>
          </w:p>
        </w:tc>
        <w:tc>
          <w:tcPr>
            <w:tcW w:w="2312" w:type="dxa"/>
            <w:tcBorders>
              <w:top w:val="single" w:sz="4" w:space="0" w:color="FFFFFF" w:themeColor="background1"/>
              <w:bottom w:val="single" w:sz="4" w:space="0" w:color="FFFFFF" w:themeColor="background1"/>
            </w:tcBorders>
            <w:shd w:val="clear" w:color="auto" w:fill="D9D9D9" w:themeFill="background1" w:themeFillShade="D9"/>
          </w:tcPr>
          <w:p w:rsidR="00423076" w:rsidRPr="00831C6D" w:rsidRDefault="00423076" w:rsidP="00423076">
            <w:pPr>
              <w:jc w:val="center"/>
              <w:rPr>
                <w:sz w:val="20"/>
                <w:szCs w:val="20"/>
              </w:rPr>
            </w:pPr>
            <w:r w:rsidRPr="00831C6D">
              <w:rPr>
                <w:sz w:val="20"/>
                <w:szCs w:val="20"/>
              </w:rPr>
              <w:t>Meets this criterion</w:t>
            </w:r>
          </w:p>
          <w:p w:rsidR="00423076" w:rsidRPr="00831C6D" w:rsidRDefault="00423076" w:rsidP="00423076">
            <w:pPr>
              <w:jc w:val="center"/>
              <w:rPr>
                <w:rFonts w:cs="Arial"/>
                <w:sz w:val="20"/>
                <w:szCs w:val="20"/>
              </w:rPr>
            </w:pPr>
          </w:p>
        </w:tc>
        <w:tc>
          <w:tcPr>
            <w:tcW w:w="2009" w:type="dxa"/>
            <w:tcBorders>
              <w:top w:val="single" w:sz="4" w:space="0" w:color="FFFFFF" w:themeColor="background1"/>
              <w:bottom w:val="single" w:sz="4" w:space="0" w:color="FFFFFF" w:themeColor="background1"/>
            </w:tcBorders>
            <w:shd w:val="clear" w:color="auto" w:fill="D9D9D9" w:themeFill="background1" w:themeFillShade="D9"/>
          </w:tcPr>
          <w:p w:rsidR="00423076" w:rsidRPr="00831C6D" w:rsidRDefault="00423076" w:rsidP="00423076">
            <w:pPr>
              <w:jc w:val="center"/>
              <w:rPr>
                <w:rFonts w:cs="Arial"/>
                <w:sz w:val="20"/>
                <w:szCs w:val="20"/>
              </w:rPr>
            </w:pPr>
            <w:r w:rsidRPr="00831C6D">
              <w:rPr>
                <w:sz w:val="20"/>
                <w:szCs w:val="20"/>
              </w:rPr>
              <w:t>Meets this criterion</w:t>
            </w:r>
          </w:p>
        </w:tc>
      </w:tr>
      <w:tr w:rsidR="00423076" w:rsidRPr="00831C6D" w:rsidTr="0003701B">
        <w:trPr>
          <w:trHeight w:val="700"/>
        </w:trPr>
        <w:tc>
          <w:tcPr>
            <w:tcW w:w="2430" w:type="dxa"/>
            <w:tcBorders>
              <w:top w:val="single" w:sz="4" w:space="0" w:color="FFFFFF" w:themeColor="background1"/>
              <w:bottom w:val="single" w:sz="4" w:space="0" w:color="FFFFFF" w:themeColor="background1"/>
            </w:tcBorders>
            <w:shd w:val="clear" w:color="auto" w:fill="002060"/>
          </w:tcPr>
          <w:p w:rsidR="00423076" w:rsidRPr="00831C6D" w:rsidRDefault="00423076" w:rsidP="00423076">
            <w:pPr>
              <w:jc w:val="left"/>
              <w:rPr>
                <w:rFonts w:cs="Arial"/>
                <w:color w:val="FFFFFF" w:themeColor="background1"/>
                <w:sz w:val="20"/>
                <w:szCs w:val="20"/>
              </w:rPr>
            </w:pPr>
            <w:r w:rsidRPr="00831C6D">
              <w:rPr>
                <w:rFonts w:cs="Arial"/>
                <w:color w:val="FFFFFF" w:themeColor="background1"/>
                <w:sz w:val="20"/>
                <w:szCs w:val="20"/>
              </w:rPr>
              <w:t>Consequence management</w:t>
            </w:r>
          </w:p>
        </w:tc>
        <w:tc>
          <w:tcPr>
            <w:tcW w:w="2275" w:type="dxa"/>
            <w:tcBorders>
              <w:top w:val="single" w:sz="4" w:space="0" w:color="FFFFFF" w:themeColor="background1"/>
              <w:bottom w:val="single" w:sz="4" w:space="0" w:color="FFFFFF" w:themeColor="background1"/>
            </w:tcBorders>
            <w:shd w:val="clear" w:color="auto" w:fill="F2F2F2" w:themeFill="background1" w:themeFillShade="F2"/>
          </w:tcPr>
          <w:p w:rsidR="00423076" w:rsidRPr="00831C6D" w:rsidRDefault="00423076" w:rsidP="00423076">
            <w:pPr>
              <w:jc w:val="center"/>
              <w:rPr>
                <w:rFonts w:cs="Arial"/>
                <w:sz w:val="20"/>
                <w:szCs w:val="20"/>
              </w:rPr>
            </w:pPr>
            <w:r w:rsidRPr="00831C6D">
              <w:rPr>
                <w:sz w:val="20"/>
                <w:szCs w:val="20"/>
              </w:rPr>
              <w:t>Partly meets this criterion</w:t>
            </w:r>
          </w:p>
        </w:tc>
        <w:tc>
          <w:tcPr>
            <w:tcW w:w="2312" w:type="dxa"/>
            <w:tcBorders>
              <w:top w:val="single" w:sz="4" w:space="0" w:color="FFFFFF" w:themeColor="background1"/>
              <w:bottom w:val="single" w:sz="4" w:space="0" w:color="FFFFFF" w:themeColor="background1"/>
            </w:tcBorders>
            <w:shd w:val="clear" w:color="auto" w:fill="F2F2F2" w:themeFill="background1" w:themeFillShade="F2"/>
          </w:tcPr>
          <w:p w:rsidR="00423076" w:rsidRPr="00831C6D" w:rsidRDefault="00423076" w:rsidP="00423076">
            <w:pPr>
              <w:jc w:val="center"/>
              <w:rPr>
                <w:sz w:val="20"/>
                <w:szCs w:val="20"/>
              </w:rPr>
            </w:pPr>
            <w:r w:rsidRPr="00831C6D">
              <w:rPr>
                <w:sz w:val="20"/>
                <w:szCs w:val="20"/>
              </w:rPr>
              <w:t>Meets this criterion</w:t>
            </w:r>
          </w:p>
          <w:p w:rsidR="00423076" w:rsidRPr="00831C6D" w:rsidRDefault="00423076" w:rsidP="00423076">
            <w:pPr>
              <w:jc w:val="center"/>
              <w:rPr>
                <w:rFonts w:cs="Arial"/>
                <w:sz w:val="20"/>
                <w:szCs w:val="20"/>
              </w:rPr>
            </w:pPr>
          </w:p>
        </w:tc>
        <w:tc>
          <w:tcPr>
            <w:tcW w:w="2009" w:type="dxa"/>
            <w:tcBorders>
              <w:top w:val="single" w:sz="4" w:space="0" w:color="FFFFFF" w:themeColor="background1"/>
              <w:bottom w:val="single" w:sz="4" w:space="0" w:color="FFFFFF" w:themeColor="background1"/>
            </w:tcBorders>
            <w:shd w:val="clear" w:color="auto" w:fill="F2F2F2" w:themeFill="background1" w:themeFillShade="F2"/>
          </w:tcPr>
          <w:p w:rsidR="00423076" w:rsidRPr="00831C6D" w:rsidRDefault="00423076" w:rsidP="00423076">
            <w:pPr>
              <w:jc w:val="center"/>
              <w:rPr>
                <w:rFonts w:cs="Arial"/>
                <w:sz w:val="20"/>
                <w:szCs w:val="20"/>
              </w:rPr>
            </w:pPr>
            <w:r w:rsidRPr="00831C6D">
              <w:rPr>
                <w:sz w:val="20"/>
                <w:szCs w:val="20"/>
              </w:rPr>
              <w:t>Meets this criterion</w:t>
            </w:r>
          </w:p>
        </w:tc>
      </w:tr>
      <w:tr w:rsidR="00423076" w:rsidRPr="00831C6D" w:rsidTr="0003701B">
        <w:trPr>
          <w:trHeight w:val="700"/>
        </w:trPr>
        <w:tc>
          <w:tcPr>
            <w:tcW w:w="2430" w:type="dxa"/>
            <w:tcBorders>
              <w:top w:val="single" w:sz="4" w:space="0" w:color="FFFFFF" w:themeColor="background1"/>
              <w:bottom w:val="single" w:sz="4" w:space="0" w:color="FFFFFF" w:themeColor="background1"/>
            </w:tcBorders>
            <w:shd w:val="clear" w:color="auto" w:fill="002060"/>
          </w:tcPr>
          <w:p w:rsidR="00423076" w:rsidRPr="00831C6D" w:rsidRDefault="00423076" w:rsidP="00423076">
            <w:pPr>
              <w:jc w:val="left"/>
              <w:rPr>
                <w:rFonts w:cs="Arial"/>
                <w:color w:val="FFFFFF" w:themeColor="background1"/>
                <w:sz w:val="20"/>
                <w:szCs w:val="20"/>
              </w:rPr>
            </w:pPr>
            <w:r w:rsidRPr="00831C6D">
              <w:rPr>
                <w:rFonts w:cs="Arial"/>
                <w:sz w:val="20"/>
                <w:szCs w:val="20"/>
              </w:rPr>
              <w:t>Overall</w:t>
            </w:r>
          </w:p>
        </w:tc>
        <w:tc>
          <w:tcPr>
            <w:tcW w:w="2275" w:type="dxa"/>
            <w:tcBorders>
              <w:top w:val="single" w:sz="4" w:space="0" w:color="FFFFFF" w:themeColor="background1"/>
              <w:bottom w:val="single" w:sz="4" w:space="0" w:color="FFFFFF" w:themeColor="background1"/>
            </w:tcBorders>
            <w:shd w:val="clear" w:color="auto" w:fill="D9D9D9" w:themeFill="background1" w:themeFillShade="D9"/>
          </w:tcPr>
          <w:p w:rsidR="00423076" w:rsidRPr="00831C6D" w:rsidRDefault="00423076" w:rsidP="00423076">
            <w:pPr>
              <w:jc w:val="center"/>
              <w:rPr>
                <w:rFonts w:cs="Arial"/>
                <w:sz w:val="20"/>
                <w:szCs w:val="20"/>
              </w:rPr>
            </w:pPr>
            <w:r w:rsidRPr="00831C6D">
              <w:rPr>
                <w:rFonts w:cs="Arial"/>
                <w:sz w:val="20"/>
                <w:szCs w:val="20"/>
              </w:rPr>
              <w:t>Net cost</w:t>
            </w:r>
          </w:p>
        </w:tc>
        <w:tc>
          <w:tcPr>
            <w:tcW w:w="2312" w:type="dxa"/>
            <w:tcBorders>
              <w:top w:val="single" w:sz="4" w:space="0" w:color="FFFFFF" w:themeColor="background1"/>
              <w:bottom w:val="single" w:sz="4" w:space="0" w:color="FFFFFF" w:themeColor="background1"/>
            </w:tcBorders>
            <w:shd w:val="clear" w:color="auto" w:fill="D9D9D9" w:themeFill="background1" w:themeFillShade="D9"/>
          </w:tcPr>
          <w:p w:rsidR="00423076" w:rsidRPr="00831C6D" w:rsidRDefault="00423076" w:rsidP="00423076">
            <w:pPr>
              <w:jc w:val="center"/>
              <w:rPr>
                <w:rFonts w:cs="Arial"/>
                <w:sz w:val="20"/>
                <w:szCs w:val="20"/>
              </w:rPr>
            </w:pPr>
            <w:r w:rsidRPr="00831C6D">
              <w:rPr>
                <w:rFonts w:cs="Arial"/>
                <w:sz w:val="20"/>
                <w:szCs w:val="20"/>
              </w:rPr>
              <w:t>Net cost</w:t>
            </w:r>
            <w:r w:rsidR="00E106E4" w:rsidRPr="00831C6D">
              <w:rPr>
                <w:rFonts w:cs="Arial"/>
                <w:sz w:val="20"/>
                <w:szCs w:val="20"/>
              </w:rPr>
              <w:t xml:space="preserve"> to small entities</w:t>
            </w:r>
          </w:p>
        </w:tc>
        <w:tc>
          <w:tcPr>
            <w:tcW w:w="2009" w:type="dxa"/>
            <w:tcBorders>
              <w:top w:val="single" w:sz="4" w:space="0" w:color="FFFFFF" w:themeColor="background1"/>
              <w:bottom w:val="single" w:sz="4" w:space="0" w:color="FFFFFF" w:themeColor="background1"/>
            </w:tcBorders>
            <w:shd w:val="clear" w:color="auto" w:fill="D9D9D9" w:themeFill="background1" w:themeFillShade="D9"/>
          </w:tcPr>
          <w:p w:rsidR="00423076" w:rsidRPr="00831C6D" w:rsidRDefault="00423076" w:rsidP="00423076">
            <w:pPr>
              <w:jc w:val="center"/>
              <w:rPr>
                <w:rFonts w:cs="Arial"/>
                <w:sz w:val="20"/>
                <w:szCs w:val="20"/>
              </w:rPr>
            </w:pPr>
            <w:r w:rsidRPr="00831C6D">
              <w:rPr>
                <w:rFonts w:cs="Arial"/>
                <w:sz w:val="20"/>
                <w:szCs w:val="20"/>
              </w:rPr>
              <w:t>Net benefit</w:t>
            </w:r>
          </w:p>
        </w:tc>
      </w:tr>
    </w:tbl>
    <w:p w:rsidR="00F413E1" w:rsidRPr="0091276B" w:rsidRDefault="00F413E1" w:rsidP="00F413E1">
      <w:pPr>
        <w:pStyle w:val="Heading4"/>
      </w:pPr>
      <w:r w:rsidRPr="0091276B">
        <w:t>Review</w:t>
      </w:r>
    </w:p>
    <w:p w:rsidR="00F413E1" w:rsidRPr="00BD2E06" w:rsidRDefault="00986C56" w:rsidP="00F413E1">
      <w:r>
        <w:t>R</w:t>
      </w:r>
      <w:r w:rsidR="00F413E1">
        <w:t xml:space="preserve">eview of these new measures is scheduled for four years from implementation. This review will consider whether the requirements and guidance have met the objectives of establishing prudent remuneration practices, remain consistent with international better practice, and are relevant and effective in facilitating sound risk management. </w:t>
      </w:r>
    </w:p>
    <w:p w:rsidR="00F413E1" w:rsidRDefault="00F413E1" w:rsidP="00F413E1">
      <w:r>
        <w:t xml:space="preserve">As delegated legislation, prudential standards impose enforceable obligations on APRA-regulated entities. APRA monitors ongoing compliance with its prudential framework as part </w:t>
      </w:r>
      <w:r>
        <w:lastRenderedPageBreak/>
        <w:t>of its supervisory activities. APRA has a range of remedial powers available for non-compliance with a prudential standard, including issuing a direction requiring compliance, the breach of which is a criminal offence. Other actions include imposing a condition on an APRA-regulated entity’s authority to carry on its business or increasing regulatory capital requirements.</w:t>
      </w:r>
    </w:p>
    <w:p w:rsidR="00F413E1" w:rsidRDefault="00F413E1" w:rsidP="00351A0B"/>
    <w:sectPr w:rsidR="00F413E1" w:rsidSect="00A114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A21" w:rsidRDefault="00CE7A21" w:rsidP="00DF67F7">
      <w:pPr>
        <w:spacing w:after="0"/>
      </w:pPr>
      <w:r>
        <w:separator/>
      </w:r>
    </w:p>
  </w:endnote>
  <w:endnote w:type="continuationSeparator" w:id="0">
    <w:p w:rsidR="00CE7A21" w:rsidRDefault="00CE7A21" w:rsidP="00DF67F7">
      <w:pPr>
        <w:spacing w:after="0"/>
      </w:pPr>
      <w:r>
        <w:continuationSeparator/>
      </w:r>
    </w:p>
  </w:endnote>
  <w:endnote w:type="continuationNotice" w:id="1">
    <w:p w:rsidR="00CE7A21" w:rsidRDefault="00CE7A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IN OT Light">
    <w:altName w:val="MV Boli"/>
    <w:charset w:val="00"/>
    <w:family w:val="swiss"/>
    <w:pitch w:val="variable"/>
    <w:sig w:usb0="00000003" w:usb1="4000A47B" w:usb2="00000000" w:usb3="00000000" w:csb0="00000001" w:csb1="00000000"/>
  </w:font>
  <w:font w:name="DIN OT Medium">
    <w:charset w:val="00"/>
    <w:family w:val="swiss"/>
    <w:pitch w:val="variable"/>
    <w:sig w:usb0="800000EF" w:usb1="4000A47B" w:usb2="00000000" w:usb3="00000000" w:csb0="00000001" w:csb1="00000000"/>
  </w:font>
  <w:font w:name="DIN OT">
    <w:altName w:val="MV Boli"/>
    <w:charset w:val="00"/>
    <w:family w:val="swiss"/>
    <w:pitch w:val="variable"/>
    <w:sig w:usb0="00000003" w:usb1="4000A47B"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CC" w:rsidRDefault="00014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76" w:rsidRDefault="00423076">
    <w:pPr>
      <w:pStyle w:val="Footer"/>
      <w:rPr>
        <w:noProof/>
      </w:rPr>
    </w:pPr>
    <w:r w:rsidRPr="00164712">
      <w:rPr>
        <w:noProof/>
      </w:rPr>
      <mc:AlternateContent>
        <mc:Choice Requires="wps">
          <w:drawing>
            <wp:anchor distT="0" distB="0" distL="114300" distR="114300" simplePos="0" relativeHeight="251658241" behindDoc="0" locked="0" layoutInCell="1" allowOverlap="1" wp14:anchorId="21A7FF13" wp14:editId="28E5DC18">
              <wp:simplePos x="0" y="0"/>
              <wp:positionH relativeFrom="column">
                <wp:posOffset>-920750</wp:posOffset>
              </wp:positionH>
              <wp:positionV relativeFrom="paragraph">
                <wp:posOffset>-120015</wp:posOffset>
              </wp:positionV>
              <wp:extent cx="4413250"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1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076" w:rsidRPr="002D724A" w:rsidRDefault="00423076"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A7FF13" id="_x0000_t202" coordsize="21600,21600" o:spt="202" path="m,l,21600r21600,l21600,xe">
              <v:stroke joinstyle="miter"/>
              <v:path gradientshapeok="t" o:connecttype="rect"/>
            </v:shapetype>
            <v:shape id="Text Box 4" o:spid="_x0000_s1026" type="#_x0000_t202" style="position:absolute;left:0;text-align:left;margin-left:-72.5pt;margin-top:-9.45pt;width:347.5pt;height:64.5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" filled="f" stroked="f" strokeweight=".5pt">
              <v:textbox>
                <w:txbxContent>
                  <w:p w:rsidR="00423076" w:rsidRPr="002D724A" w:rsidRDefault="00423076"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v:textbox>
            </v:shape>
          </w:pict>
        </mc:Fallback>
      </mc:AlternateContent>
    </w:r>
    <w:r w:rsidRPr="00164712">
      <w:rPr>
        <w:noProof/>
      </w:rPr>
      <mc:AlternateContent>
        <mc:Choice Requires="wps">
          <w:drawing>
            <wp:anchor distT="0" distB="0" distL="114300" distR="114300" simplePos="0" relativeHeight="251658242" behindDoc="0" locked="0" layoutInCell="1" allowOverlap="1" wp14:anchorId="763FF08D" wp14:editId="540A442A">
              <wp:simplePos x="0" y="0"/>
              <wp:positionH relativeFrom="page">
                <wp:posOffset>4410710</wp:posOffset>
              </wp:positionH>
              <wp:positionV relativeFrom="paragraph">
                <wp:posOffset>-119380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076" w:rsidRPr="002D724A" w:rsidRDefault="00423076"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F419F5">
                            <w:rPr>
                              <w:rFonts w:cs="Arial"/>
                              <w:b/>
                              <w:noProof/>
                              <w:color w:val="595959" w:themeColor="text1" w:themeTint="A6"/>
                              <w:sz w:val="16"/>
                              <w:szCs w:val="16"/>
                              <w:lang w:eastAsia="en-US"/>
                            </w:rPr>
                            <w:t>3</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763FF08D" id="_x0000_t202" coordsize="21600,21600" o:spt="202" path="m,l,21600r21600,l21600,xe">
              <v:stroke joinstyle="miter"/>
              <v:path gradientshapeok="t" o:connecttype="rect"/>
            </v:shapetype>
            <v:shape id="Text Box 5" o:spid="_x0000_s1027" type="#_x0000_t202" style="position:absolute;left:0;text-align:left;margin-left:347.3pt;margin-top:-9.4pt;width:247.5pt;height:64.5pt;z-index:251658242;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H2fQIAAGk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" filled="f" stroked="f" strokeweight=".5pt">
              <v:textbox>
                <w:txbxContent>
                  <w:p w:rsidR="00423076" w:rsidRPr="002D724A" w:rsidRDefault="00423076"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F419F5">
                      <w:rPr>
                        <w:rFonts w:cs="Arial"/>
                        <w:b/>
                        <w:noProof/>
                        <w:color w:val="595959" w:themeColor="text1" w:themeTint="A6"/>
                        <w:sz w:val="16"/>
                        <w:szCs w:val="16"/>
                        <w:lang w:eastAsia="en-US"/>
                      </w:rPr>
                      <w:t>3</w:t>
                    </w:r>
                    <w:r w:rsidRPr="002D724A">
                      <w:rPr>
                        <w:rFonts w:cs="Arial"/>
                        <w:b/>
                        <w:color w:val="595959" w:themeColor="text1" w:themeTint="A6"/>
                        <w:sz w:val="16"/>
                        <w:szCs w:val="16"/>
                        <w:lang w:eastAsia="en-US"/>
                      </w:rPr>
                      <w:fldChar w:fldCharType="end"/>
                    </w:r>
                  </w:p>
                </w:txbxContent>
              </v:textbox>
              <w10:wrap anchorx="page"/>
            </v:shape>
          </w:pict>
        </mc:Fallback>
      </mc:AlternateContent>
    </w:r>
  </w:p>
  <w:p w:rsidR="00423076" w:rsidRDefault="00423076">
    <w:pPr>
      <w:pStyle w:val="Footer"/>
    </w:pPr>
    <w:r>
      <w:rPr>
        <w:noProof/>
      </w:rPr>
      <w:drawing>
        <wp:anchor distT="0" distB="0" distL="114300" distR="114300" simplePos="0" relativeHeight="251658240" behindDoc="1" locked="0" layoutInCell="1" allowOverlap="1" wp14:anchorId="45AEAEF4" wp14:editId="72740D2F">
          <wp:simplePos x="0" y="0"/>
          <wp:positionH relativeFrom="page">
            <wp:posOffset>19050</wp:posOffset>
          </wp:positionH>
          <wp:positionV relativeFrom="paragraph">
            <wp:posOffset>318770</wp:posOffset>
          </wp:positionV>
          <wp:extent cx="7543800" cy="248920"/>
          <wp:effectExtent l="0" t="0" r="0" b="0"/>
          <wp:wrapNone/>
          <wp:docPr id="18" name="Picture 18" descr="C:\Users\bxcoop\AppData\Local\Microsoft\Windows\INetCache\Content.Word\Stationary-Master-ADELA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xcoop\AppData\Local\Microsoft\Windows\INetCache\Content.Word\Stationary-Master-ADELAID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7667"/>
                  <a:stretch/>
                </pic:blipFill>
                <pic:spPr bwMode="auto">
                  <a:xfrm>
                    <a:off x="0" y="0"/>
                    <a:ext cx="7543800"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CC" w:rsidRDefault="00014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A21" w:rsidRDefault="00CE7A21" w:rsidP="00DF67F7">
      <w:pPr>
        <w:spacing w:after="0"/>
      </w:pPr>
      <w:r>
        <w:separator/>
      </w:r>
    </w:p>
  </w:footnote>
  <w:footnote w:type="continuationSeparator" w:id="0">
    <w:p w:rsidR="00CE7A21" w:rsidRDefault="00CE7A21" w:rsidP="00DF67F7">
      <w:pPr>
        <w:spacing w:after="0"/>
      </w:pPr>
      <w:r>
        <w:continuationSeparator/>
      </w:r>
    </w:p>
  </w:footnote>
  <w:footnote w:type="continuationNotice" w:id="1">
    <w:p w:rsidR="00CE7A21" w:rsidRDefault="00CE7A21">
      <w:pPr>
        <w:spacing w:after="0"/>
      </w:pPr>
    </w:p>
  </w:footnote>
  <w:footnote w:id="2">
    <w:p w:rsidR="00423076" w:rsidRPr="000F0492" w:rsidRDefault="00423076" w:rsidP="00F413E1">
      <w:pPr>
        <w:pStyle w:val="FootnoteText"/>
      </w:pPr>
      <w:r w:rsidRPr="000F0492">
        <w:rPr>
          <w:rStyle w:val="FootnoteReference"/>
        </w:rPr>
        <w:footnoteRef/>
      </w:r>
      <w:r w:rsidRPr="000F0492">
        <w:t xml:space="preserve"> </w:t>
      </w:r>
      <w:hyperlink r:id="rId1" w:history="1">
        <w:r w:rsidRPr="00F413E1">
          <w:rPr>
            <w:rStyle w:val="Hyperlink"/>
            <w:color w:val="000000"/>
            <w:sz w:val="18"/>
            <w:szCs w:val="18"/>
          </w:rPr>
          <w:t>Consultation on remuneration requirements for all APRA-regulated entities | APRA</w:t>
        </w:r>
      </w:hyperlink>
      <w:r>
        <w:rPr>
          <w:rStyle w:val="Hyperlink"/>
          <w:color w:val="000000"/>
          <w:sz w:val="18"/>
          <w:szCs w:val="18"/>
        </w:rPr>
        <w:t xml:space="preserve"> </w:t>
      </w:r>
    </w:p>
  </w:footnote>
  <w:footnote w:id="3">
    <w:p w:rsidR="00423076" w:rsidRDefault="00423076" w:rsidP="00F413E1">
      <w:pPr>
        <w:pStyle w:val="FootnoteText"/>
      </w:pPr>
      <w:r>
        <w:rPr>
          <w:rStyle w:val="FootnoteReference"/>
        </w:rPr>
        <w:footnoteRef/>
      </w:r>
      <w:r>
        <w:t xml:space="preserve"> </w:t>
      </w:r>
      <w:r w:rsidRPr="00DE2523">
        <w:rPr>
          <w:rFonts w:cs="Arial"/>
        </w:rPr>
        <w:t xml:space="preserve">This tool calculates the compliance costs of regulatory proposals on business, individuals and community organisations using an activity-based costing methodology. The tool is designed to capture the relevant costs in a structured way, including a separate assessment of upfront costs and ongoing costs. It is available at: </w:t>
      </w:r>
      <w:hyperlink r:id="rId2" w:history="1">
        <w:r w:rsidRPr="00DE2523">
          <w:rPr>
            <w:rStyle w:val="Hyperlink"/>
            <w:rFonts w:cs="Arial"/>
            <w:sz w:val="16"/>
          </w:rPr>
          <w:t>https://rbm.obpr.gov.au/home.aspx</w:t>
        </w:r>
      </w:hyperlink>
    </w:p>
  </w:footnote>
  <w:footnote w:id="4">
    <w:p w:rsidR="00423076" w:rsidRDefault="00423076" w:rsidP="005A409A">
      <w:pPr>
        <w:pStyle w:val="FootnoteText"/>
      </w:pPr>
      <w:r>
        <w:rPr>
          <w:rStyle w:val="FootnoteReference"/>
        </w:rPr>
        <w:footnoteRef/>
      </w:r>
      <w:r>
        <w:t xml:space="preserve"> Under options 2 and 3, estimates do not include additional costs associated with new regulatory reporting and disclosure requirements. These costs will be estimated separately, as proposals are developed. </w:t>
      </w:r>
    </w:p>
  </w:footnote>
  <w:footnote w:id="5">
    <w:p w:rsidR="00423076" w:rsidRDefault="00423076">
      <w:pPr>
        <w:pStyle w:val="FootnoteText"/>
      </w:pPr>
      <w:r>
        <w:rPr>
          <w:rStyle w:val="FootnoteReference"/>
        </w:rPr>
        <w:footnoteRef/>
      </w:r>
      <w:r>
        <w:t xml:space="preserve"> Under option 3, the costs for SFIs are the same as those assumed for option 2. For non-SFIs, APRA has excluded costs that would no longer be relevant to these entities and applied a lower (20 per cent) scaling factor to SFI costs. This reflects that there are regulatory savings under option 3.</w:t>
      </w:r>
    </w:p>
  </w:footnote>
  <w:footnote w:id="6">
    <w:p w:rsidR="00423076" w:rsidRPr="00E96364" w:rsidRDefault="00423076" w:rsidP="001D7902">
      <w:pPr>
        <w:pStyle w:val="FootnoteText"/>
      </w:pPr>
      <w:r w:rsidRPr="00E96364">
        <w:rPr>
          <w:rStyle w:val="FootnoteReference"/>
        </w:rPr>
        <w:footnoteRef/>
      </w:r>
      <w:r w:rsidRPr="00E96364">
        <w:t xml:space="preserve"> See </w:t>
      </w:r>
      <w:hyperlink r:id="rId3" w:history="1">
        <w:r w:rsidRPr="00986C56">
          <w:rPr>
            <w:rStyle w:val="Hyperlink"/>
            <w:color w:val="000000"/>
            <w:sz w:val="18"/>
            <w:szCs w:val="18"/>
          </w:rPr>
          <w:t>The Australian Financial System | Financial Stability Review – October 2019 | RBA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CC" w:rsidRDefault="0001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76" w:rsidRPr="00B815BC" w:rsidRDefault="00423076" w:rsidP="000A180E">
    <w:pPr>
      <w:tabs>
        <w:tab w:val="right" w:pos="9072"/>
      </w:tabs>
      <w:autoSpaceDE w:val="0"/>
      <w:autoSpaceDN w:val="0"/>
      <w:adjustRightInd w:val="0"/>
      <w:spacing w:after="0"/>
      <w:ind w:right="-46"/>
      <w:rPr>
        <w:rFonts w:cs="Arial"/>
        <w:color w:val="A6A6A6" w:themeColor="background1" w:themeShade="A6"/>
        <w:sz w:val="16"/>
        <w:szCs w:val="16"/>
        <w:lang w:eastAsia="en-US"/>
      </w:rPr>
    </w:pPr>
    <w:r w:rsidRPr="00B815BC">
      <w:rPr>
        <w:rFonts w:cs="Arial"/>
        <w:color w:val="A6A6A6" w:themeColor="background1" w:themeShade="A6"/>
        <w:sz w:val="16"/>
        <w:szCs w:val="16"/>
        <w:lang w:eastAsia="en-US"/>
      </w:rPr>
      <w:tab/>
    </w:r>
  </w:p>
  <w:p w:rsidR="00423076" w:rsidRPr="00B815BC" w:rsidRDefault="00423076" w:rsidP="000A180E">
    <w:pPr>
      <w:autoSpaceDE w:val="0"/>
      <w:autoSpaceDN w:val="0"/>
      <w:adjustRightInd w:val="0"/>
      <w:spacing w:after="0"/>
      <w:ind w:right="-46"/>
      <w:rPr>
        <w:rFonts w:cs="Arial"/>
        <w:color w:val="808080" w:themeColor="background1" w:themeShade="80"/>
        <w:sz w:val="18"/>
        <w:szCs w:val="18"/>
      </w:rPr>
    </w:pPr>
  </w:p>
  <w:p w:rsidR="00423076" w:rsidRPr="00B815BC" w:rsidRDefault="00423076" w:rsidP="00504FA2">
    <w:pPr>
      <w:pStyle w:val="Header"/>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76" w:rsidRPr="00B815BC" w:rsidRDefault="00423076" w:rsidP="00A97747">
    <w:pPr>
      <w:pStyle w:val="Header"/>
      <w:tabs>
        <w:tab w:val="left" w:pos="1843"/>
      </w:tabs>
      <w:rPr>
        <w:rFonts w:cs="Arial"/>
        <w:color w:val="000066"/>
        <w:sz w:val="16"/>
        <w:szCs w:val="16"/>
      </w:rPr>
    </w:pPr>
    <w:r>
      <w:rPr>
        <w:noProof/>
      </w:rPr>
      <w:drawing>
        <wp:anchor distT="0" distB="0" distL="114300" distR="114300" simplePos="0" relativeHeight="251658243" behindDoc="1" locked="0" layoutInCell="1" allowOverlap="1" wp14:anchorId="6BAB1CA4" wp14:editId="038D3076">
          <wp:simplePos x="0" y="0"/>
          <wp:positionH relativeFrom="column">
            <wp:posOffset>-914400</wp:posOffset>
          </wp:positionH>
          <wp:positionV relativeFrom="paragraph">
            <wp:posOffset>-476250</wp:posOffset>
          </wp:positionV>
          <wp:extent cx="7581900" cy="10723245"/>
          <wp:effectExtent l="0" t="0" r="0" b="1905"/>
          <wp:wrapNone/>
          <wp:docPr id="1" name="Picture 1" descr="Stationary-Master-V2-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onary-Master-V2-Sydn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3245"/>
                  </a:xfrm>
                  <a:prstGeom prst="rect">
                    <a:avLst/>
                  </a:prstGeom>
                  <a:noFill/>
                </pic:spPr>
              </pic:pic>
            </a:graphicData>
          </a:graphic>
          <wp14:sizeRelH relativeFrom="page">
            <wp14:pctWidth>0</wp14:pctWidth>
          </wp14:sizeRelH>
          <wp14:sizeRelV relativeFrom="page">
            <wp14:pctHeight>0</wp14:pctHeight>
          </wp14:sizeRelV>
        </wp:anchor>
      </w:drawing>
    </w:r>
  </w:p>
  <w:p w:rsidR="00423076" w:rsidRPr="00B815BC" w:rsidRDefault="00423076" w:rsidP="00504FA2">
    <w:pPr>
      <w:pStyle w:val="Header"/>
      <w:rPr>
        <w:rFonts w:cs="Arial"/>
        <w:color w:val="000066"/>
        <w:sz w:val="16"/>
        <w:szCs w:val="16"/>
      </w:rPr>
    </w:pPr>
  </w:p>
  <w:p w:rsidR="00423076" w:rsidRDefault="00423076">
    <w:pPr>
      <w:pStyle w:val="Header"/>
      <w:rPr>
        <w:rFonts w:cs="Arial"/>
      </w:rPr>
    </w:pPr>
  </w:p>
  <w:p w:rsidR="00902567" w:rsidRPr="00776EED" w:rsidRDefault="00902567" w:rsidP="00902567">
    <w:pPr>
      <w:tabs>
        <w:tab w:val="center" w:pos="4513"/>
        <w:tab w:val="right" w:pos="9026"/>
      </w:tabs>
      <w:spacing w:after="0"/>
      <w:rPr>
        <w:rFonts w:ascii="DIN OT" w:eastAsiaTheme="minorEastAsia" w:hAnsi="DIN OT" w:cstheme="minorBidi"/>
        <w:b/>
        <w:color w:val="000066"/>
        <w:sz w:val="20"/>
        <w:szCs w:val="20"/>
      </w:rPr>
    </w:pPr>
    <w:r w:rsidRPr="00776EED">
      <w:rPr>
        <w:rFonts w:ascii="DIN OT" w:eastAsiaTheme="minorEastAsia" w:hAnsi="DIN OT" w:cstheme="minorBidi"/>
        <w:b/>
        <w:color w:val="000066"/>
        <w:sz w:val="20"/>
        <w:szCs w:val="20"/>
      </w:rPr>
      <w:t>JOHN LONSDALE</w:t>
    </w:r>
  </w:p>
  <w:p w:rsidR="00902567" w:rsidRPr="00776EED" w:rsidRDefault="00902567" w:rsidP="00902567">
    <w:pPr>
      <w:tabs>
        <w:tab w:val="center" w:pos="4513"/>
        <w:tab w:val="right" w:pos="9026"/>
      </w:tabs>
      <w:spacing w:after="0"/>
      <w:rPr>
        <w:rFonts w:ascii="Century Gothic" w:eastAsiaTheme="minorEastAsia" w:hAnsi="Century Gothic" w:cstheme="minorBidi"/>
        <w:color w:val="000066"/>
        <w:sz w:val="16"/>
        <w:szCs w:val="16"/>
      </w:rPr>
    </w:pPr>
    <w:r w:rsidRPr="00776EED">
      <w:rPr>
        <w:rFonts w:ascii="Century Gothic" w:eastAsiaTheme="minorEastAsia" w:hAnsi="Century Gothic" w:cstheme="minorBidi"/>
        <w:color w:val="000066"/>
        <w:sz w:val="16"/>
        <w:szCs w:val="16"/>
      </w:rPr>
      <w:t>Deputy Chair</w:t>
    </w:r>
  </w:p>
  <w:p w:rsidR="00423076" w:rsidRPr="00B815BC" w:rsidRDefault="00423076" w:rsidP="00902567">
    <w:pPr>
      <w:pStyle w:val="Header"/>
      <w:ind w:firstLine="72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FFFFFF89"/>
    <w:multiLevelType w:val="singleLevel"/>
    <w:tmpl w:val="D9D0B9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409B1"/>
    <w:multiLevelType w:val="multilevel"/>
    <w:tmpl w:val="0C09001F"/>
    <w:numStyleLink w:val="111111"/>
  </w:abstractNum>
  <w:abstractNum w:abstractNumId="9" w15:restartNumberingAfterBreak="0">
    <w:nsid w:val="255444F2"/>
    <w:multiLevelType w:val="multilevel"/>
    <w:tmpl w:val="FE00EC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9A768E"/>
    <w:multiLevelType w:val="hybridMultilevel"/>
    <w:tmpl w:val="6D38584A"/>
    <w:lvl w:ilvl="0" w:tplc="9260D8E6">
      <w:start w:val="1"/>
      <w:numFmt w:val="decimal"/>
      <w:pStyle w:val="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1F50AC"/>
    <w:multiLevelType w:val="multilevel"/>
    <w:tmpl w:val="AC5E151C"/>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3"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76957B5F"/>
    <w:multiLevelType w:val="multilevel"/>
    <w:tmpl w:val="F40E62C6"/>
    <w:lvl w:ilvl="0">
      <w:start w:val="1"/>
      <w:numFmt w:val="decimal"/>
      <w:suff w:val="nothing"/>
      <w:lvlText w:val="Chapter %1 - "/>
      <w:lvlJc w:val="left"/>
      <w:pPr>
        <w:ind w:left="0" w:firstLine="0"/>
      </w:pPr>
      <w:rPr>
        <w:rFonts w:hint="default"/>
      </w:rPr>
    </w:lvl>
    <w:lvl w:ilvl="1">
      <w:start w:val="1"/>
      <w:numFmt w:val="decimal"/>
      <w:lvlText w:val="%1.%2"/>
      <w:lvlJc w:val="left"/>
      <w:pPr>
        <w:tabs>
          <w:tab w:val="num" w:pos="2268"/>
        </w:tabs>
        <w:ind w:left="2268" w:hanging="851"/>
      </w:pPr>
      <w:rPr>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76"/>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0"/>
  </w:num>
  <w:num w:numId="2">
    <w:abstractNumId w:val="7"/>
  </w:num>
  <w:num w:numId="3">
    <w:abstractNumId w:val="6"/>
  </w:num>
  <w:num w:numId="4">
    <w:abstractNumId w:val="11"/>
  </w:num>
  <w:num w:numId="5">
    <w:abstractNumId w:val="14"/>
  </w:num>
  <w:num w:numId="6">
    <w:abstractNumId w:val="9"/>
  </w:num>
  <w:num w:numId="7">
    <w:abstractNumId w:val="15"/>
  </w:num>
  <w:num w:numId="8">
    <w:abstractNumId w:val="10"/>
  </w:num>
  <w:num w:numId="9">
    <w:abstractNumId w:val="7"/>
  </w:num>
  <w:num w:numId="10">
    <w:abstractNumId w:val="6"/>
  </w:num>
  <w:num w:numId="11">
    <w:abstractNumId w:val="5"/>
  </w:num>
  <w:num w:numId="12">
    <w:abstractNumId w:val="13"/>
  </w:num>
  <w:num w:numId="13">
    <w:abstractNumId w:val="4"/>
  </w:num>
  <w:num w:numId="14">
    <w:abstractNumId w:val="4"/>
  </w:num>
  <w:num w:numId="15">
    <w:abstractNumId w:val="3"/>
  </w:num>
  <w:num w:numId="16">
    <w:abstractNumId w:val="3"/>
  </w:num>
  <w:num w:numId="17">
    <w:abstractNumId w:val="2"/>
  </w:num>
  <w:num w:numId="18">
    <w:abstractNumId w:val="2"/>
  </w:num>
  <w:num w:numId="19">
    <w:abstractNumId w:val="1"/>
  </w:num>
  <w:num w:numId="20">
    <w:abstractNumId w:val="1"/>
  </w:num>
  <w:num w:numId="21">
    <w:abstractNumId w:val="0"/>
  </w:num>
  <w:num w:numId="22">
    <w:abstractNumId w:val="0"/>
  </w:num>
  <w:num w:numId="23">
    <w:abstractNumId w:val="8"/>
  </w:num>
  <w:num w:numId="24">
    <w:abstractNumId w:val="9"/>
  </w:num>
  <w:num w:numId="25">
    <w:abstractNumId w:val="15"/>
  </w:num>
  <w:num w:numId="26">
    <w:abstractNumId w:val="10"/>
  </w:num>
  <w:num w:numId="27">
    <w:abstractNumId w:val="7"/>
  </w:num>
  <w:num w:numId="28">
    <w:abstractNumId w:val="6"/>
  </w:num>
  <w:num w:numId="29">
    <w:abstractNumId w:val="13"/>
  </w:num>
  <w:num w:numId="30">
    <w:abstractNumId w:val="4"/>
  </w:num>
  <w:num w:numId="31">
    <w:abstractNumId w:val="3"/>
  </w:num>
  <w:num w:numId="32">
    <w:abstractNumId w:val="2"/>
  </w:num>
  <w:num w:numId="33">
    <w:abstractNumId w:val="1"/>
  </w:num>
  <w:num w:numId="34">
    <w:abstractNumId w:val="0"/>
  </w:num>
  <w:num w:numId="35">
    <w:abstractNumId w:val="8"/>
  </w:num>
  <w:num w:numId="36">
    <w:abstractNumId w:val="9"/>
  </w:num>
  <w:num w:numId="37">
    <w:abstractNumId w:val="15"/>
  </w:num>
  <w:num w:numId="38">
    <w:abstractNumId w:val="10"/>
  </w:num>
  <w:num w:numId="39">
    <w:abstractNumId w:val="7"/>
  </w:num>
  <w:num w:numId="40">
    <w:abstractNumId w:val="6"/>
  </w:num>
  <w:num w:numId="41">
    <w:abstractNumId w:val="13"/>
  </w:num>
  <w:num w:numId="42">
    <w:abstractNumId w:val="4"/>
  </w:num>
  <w:num w:numId="43">
    <w:abstractNumId w:val="3"/>
  </w:num>
  <w:num w:numId="44">
    <w:abstractNumId w:val="2"/>
  </w:num>
  <w:num w:numId="45">
    <w:abstractNumId w:val="1"/>
  </w:num>
  <w:num w:numId="46">
    <w:abstractNumId w:val="0"/>
  </w:num>
  <w:num w:numId="47">
    <w:abstractNumId w:val="8"/>
  </w:num>
  <w:num w:numId="48">
    <w:abstractNumId w:val="1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4F"/>
    <w:rsid w:val="00014ECC"/>
    <w:rsid w:val="000157AC"/>
    <w:rsid w:val="000159FB"/>
    <w:rsid w:val="0002560C"/>
    <w:rsid w:val="000273C4"/>
    <w:rsid w:val="000309AD"/>
    <w:rsid w:val="00032754"/>
    <w:rsid w:val="0003701B"/>
    <w:rsid w:val="00040934"/>
    <w:rsid w:val="00077E2E"/>
    <w:rsid w:val="0008089F"/>
    <w:rsid w:val="000A180E"/>
    <w:rsid w:val="000A196E"/>
    <w:rsid w:val="000A619E"/>
    <w:rsid w:val="000A6D61"/>
    <w:rsid w:val="000B08E1"/>
    <w:rsid w:val="000C44E3"/>
    <w:rsid w:val="000D667C"/>
    <w:rsid w:val="000E3C45"/>
    <w:rsid w:val="001109F3"/>
    <w:rsid w:val="00116DF8"/>
    <w:rsid w:val="00120014"/>
    <w:rsid w:val="001239E3"/>
    <w:rsid w:val="001273E8"/>
    <w:rsid w:val="00143AEF"/>
    <w:rsid w:val="00156053"/>
    <w:rsid w:val="00162013"/>
    <w:rsid w:val="00164712"/>
    <w:rsid w:val="001724EE"/>
    <w:rsid w:val="00183AEF"/>
    <w:rsid w:val="00184B76"/>
    <w:rsid w:val="00185EF6"/>
    <w:rsid w:val="00193A4D"/>
    <w:rsid w:val="001D7902"/>
    <w:rsid w:val="001E0E2E"/>
    <w:rsid w:val="001E6DE8"/>
    <w:rsid w:val="002112A1"/>
    <w:rsid w:val="002257C8"/>
    <w:rsid w:val="00277D0B"/>
    <w:rsid w:val="002A4562"/>
    <w:rsid w:val="002B2FF9"/>
    <w:rsid w:val="002B6555"/>
    <w:rsid w:val="002C0030"/>
    <w:rsid w:val="002C6F35"/>
    <w:rsid w:val="002D1C27"/>
    <w:rsid w:val="002E5E63"/>
    <w:rsid w:val="002E638E"/>
    <w:rsid w:val="002F72BE"/>
    <w:rsid w:val="00314F37"/>
    <w:rsid w:val="003425B7"/>
    <w:rsid w:val="00345E76"/>
    <w:rsid w:val="0035188B"/>
    <w:rsid w:val="00351A0B"/>
    <w:rsid w:val="00351FB1"/>
    <w:rsid w:val="003526A1"/>
    <w:rsid w:val="00362230"/>
    <w:rsid w:val="0037543F"/>
    <w:rsid w:val="003765DC"/>
    <w:rsid w:val="003875BF"/>
    <w:rsid w:val="00387AE1"/>
    <w:rsid w:val="00390417"/>
    <w:rsid w:val="00396B53"/>
    <w:rsid w:val="00396D59"/>
    <w:rsid w:val="003A7951"/>
    <w:rsid w:val="003B0643"/>
    <w:rsid w:val="003C54D9"/>
    <w:rsid w:val="003D2848"/>
    <w:rsid w:val="003E592B"/>
    <w:rsid w:val="003E7912"/>
    <w:rsid w:val="003F0DDF"/>
    <w:rsid w:val="004013EA"/>
    <w:rsid w:val="004018B5"/>
    <w:rsid w:val="00404D5F"/>
    <w:rsid w:val="00413330"/>
    <w:rsid w:val="00416B43"/>
    <w:rsid w:val="00417261"/>
    <w:rsid w:val="004225DA"/>
    <w:rsid w:val="00423076"/>
    <w:rsid w:val="00450AD3"/>
    <w:rsid w:val="00464CDE"/>
    <w:rsid w:val="00465750"/>
    <w:rsid w:val="004927B4"/>
    <w:rsid w:val="00496B03"/>
    <w:rsid w:val="004974A2"/>
    <w:rsid w:val="004A548A"/>
    <w:rsid w:val="004A67BC"/>
    <w:rsid w:val="004B40B8"/>
    <w:rsid w:val="004C0370"/>
    <w:rsid w:val="004C5182"/>
    <w:rsid w:val="004F5F32"/>
    <w:rsid w:val="00500415"/>
    <w:rsid w:val="005027D8"/>
    <w:rsid w:val="00503FD5"/>
    <w:rsid w:val="00504FA2"/>
    <w:rsid w:val="00525D28"/>
    <w:rsid w:val="005310A1"/>
    <w:rsid w:val="005315E3"/>
    <w:rsid w:val="0053234F"/>
    <w:rsid w:val="0054724B"/>
    <w:rsid w:val="005474D1"/>
    <w:rsid w:val="00552DAC"/>
    <w:rsid w:val="005803BE"/>
    <w:rsid w:val="005A409A"/>
    <w:rsid w:val="005B0739"/>
    <w:rsid w:val="005B679A"/>
    <w:rsid w:val="005C0BE7"/>
    <w:rsid w:val="005D2CFE"/>
    <w:rsid w:val="005F34C6"/>
    <w:rsid w:val="005F62A6"/>
    <w:rsid w:val="00601C07"/>
    <w:rsid w:val="006102EF"/>
    <w:rsid w:val="00623711"/>
    <w:rsid w:val="00630064"/>
    <w:rsid w:val="00631381"/>
    <w:rsid w:val="00641B81"/>
    <w:rsid w:val="006708CA"/>
    <w:rsid w:val="0067425A"/>
    <w:rsid w:val="0068607B"/>
    <w:rsid w:val="00693F2B"/>
    <w:rsid w:val="006A51EB"/>
    <w:rsid w:val="006A7263"/>
    <w:rsid w:val="006B45CA"/>
    <w:rsid w:val="006B4691"/>
    <w:rsid w:val="006C0853"/>
    <w:rsid w:val="006D7414"/>
    <w:rsid w:val="006E22E8"/>
    <w:rsid w:val="006F4AD8"/>
    <w:rsid w:val="006F5599"/>
    <w:rsid w:val="007067EC"/>
    <w:rsid w:val="00723A83"/>
    <w:rsid w:val="00731562"/>
    <w:rsid w:val="0074655C"/>
    <w:rsid w:val="00747DCA"/>
    <w:rsid w:val="0076283C"/>
    <w:rsid w:val="0077051A"/>
    <w:rsid w:val="00780FB0"/>
    <w:rsid w:val="00785542"/>
    <w:rsid w:val="00795577"/>
    <w:rsid w:val="00796E22"/>
    <w:rsid w:val="007A3917"/>
    <w:rsid w:val="007A4654"/>
    <w:rsid w:val="007C4177"/>
    <w:rsid w:val="007D5465"/>
    <w:rsid w:val="007E04F0"/>
    <w:rsid w:val="007E0D0B"/>
    <w:rsid w:val="007F029D"/>
    <w:rsid w:val="007F1F6D"/>
    <w:rsid w:val="007F425C"/>
    <w:rsid w:val="00824C3C"/>
    <w:rsid w:val="00825414"/>
    <w:rsid w:val="00831C6D"/>
    <w:rsid w:val="00834F48"/>
    <w:rsid w:val="00835FF4"/>
    <w:rsid w:val="008419A6"/>
    <w:rsid w:val="00877659"/>
    <w:rsid w:val="00892E06"/>
    <w:rsid w:val="008A0AB9"/>
    <w:rsid w:val="008A1972"/>
    <w:rsid w:val="008B2639"/>
    <w:rsid w:val="008D38AF"/>
    <w:rsid w:val="00902567"/>
    <w:rsid w:val="0091202F"/>
    <w:rsid w:val="009128B3"/>
    <w:rsid w:val="00925087"/>
    <w:rsid w:val="00936CC5"/>
    <w:rsid w:val="009511EF"/>
    <w:rsid w:val="009748AA"/>
    <w:rsid w:val="00983892"/>
    <w:rsid w:val="00986C56"/>
    <w:rsid w:val="009902A9"/>
    <w:rsid w:val="009958E6"/>
    <w:rsid w:val="009B6C25"/>
    <w:rsid w:val="009C1A26"/>
    <w:rsid w:val="009C58A6"/>
    <w:rsid w:val="009C6657"/>
    <w:rsid w:val="009D288A"/>
    <w:rsid w:val="009D3D1F"/>
    <w:rsid w:val="009D5D98"/>
    <w:rsid w:val="009E5FF8"/>
    <w:rsid w:val="00A03C08"/>
    <w:rsid w:val="00A11434"/>
    <w:rsid w:val="00A13A59"/>
    <w:rsid w:val="00A20005"/>
    <w:rsid w:val="00A33CAC"/>
    <w:rsid w:val="00A372B7"/>
    <w:rsid w:val="00A51617"/>
    <w:rsid w:val="00A6678B"/>
    <w:rsid w:val="00A70BE9"/>
    <w:rsid w:val="00A76B9B"/>
    <w:rsid w:val="00A97747"/>
    <w:rsid w:val="00AA158F"/>
    <w:rsid w:val="00AC4559"/>
    <w:rsid w:val="00AC7AE3"/>
    <w:rsid w:val="00AF0B50"/>
    <w:rsid w:val="00B03282"/>
    <w:rsid w:val="00B04AA0"/>
    <w:rsid w:val="00B157D5"/>
    <w:rsid w:val="00B207DF"/>
    <w:rsid w:val="00B27AA8"/>
    <w:rsid w:val="00B42A4C"/>
    <w:rsid w:val="00B454EA"/>
    <w:rsid w:val="00B61018"/>
    <w:rsid w:val="00B635C7"/>
    <w:rsid w:val="00B815BC"/>
    <w:rsid w:val="00B819CD"/>
    <w:rsid w:val="00B84A11"/>
    <w:rsid w:val="00B867F3"/>
    <w:rsid w:val="00B8713B"/>
    <w:rsid w:val="00B97A98"/>
    <w:rsid w:val="00BA0F9F"/>
    <w:rsid w:val="00BA25A8"/>
    <w:rsid w:val="00BA2B00"/>
    <w:rsid w:val="00BC2869"/>
    <w:rsid w:val="00BC45FC"/>
    <w:rsid w:val="00BE1EE0"/>
    <w:rsid w:val="00C24160"/>
    <w:rsid w:val="00C34855"/>
    <w:rsid w:val="00C55AAD"/>
    <w:rsid w:val="00C75E02"/>
    <w:rsid w:val="00C91A96"/>
    <w:rsid w:val="00CC7D50"/>
    <w:rsid w:val="00CD0371"/>
    <w:rsid w:val="00CD77CB"/>
    <w:rsid w:val="00CE36A3"/>
    <w:rsid w:val="00CE7A21"/>
    <w:rsid w:val="00CF1404"/>
    <w:rsid w:val="00CF7FCB"/>
    <w:rsid w:val="00D132E7"/>
    <w:rsid w:val="00D257AA"/>
    <w:rsid w:val="00D26C09"/>
    <w:rsid w:val="00D44E4C"/>
    <w:rsid w:val="00D4565E"/>
    <w:rsid w:val="00D50EE8"/>
    <w:rsid w:val="00D51616"/>
    <w:rsid w:val="00D64283"/>
    <w:rsid w:val="00D670D1"/>
    <w:rsid w:val="00D931CC"/>
    <w:rsid w:val="00DB131E"/>
    <w:rsid w:val="00DB5E23"/>
    <w:rsid w:val="00DD3312"/>
    <w:rsid w:val="00DD55C2"/>
    <w:rsid w:val="00DE658F"/>
    <w:rsid w:val="00DF67F7"/>
    <w:rsid w:val="00E106E4"/>
    <w:rsid w:val="00E253D4"/>
    <w:rsid w:val="00E27D7E"/>
    <w:rsid w:val="00E323EC"/>
    <w:rsid w:val="00E408EA"/>
    <w:rsid w:val="00E40CED"/>
    <w:rsid w:val="00E4174F"/>
    <w:rsid w:val="00E5696B"/>
    <w:rsid w:val="00E72DD5"/>
    <w:rsid w:val="00E779B3"/>
    <w:rsid w:val="00E83E6B"/>
    <w:rsid w:val="00E85C54"/>
    <w:rsid w:val="00EA0E09"/>
    <w:rsid w:val="00EE12D9"/>
    <w:rsid w:val="00F04D8E"/>
    <w:rsid w:val="00F05B53"/>
    <w:rsid w:val="00F1665B"/>
    <w:rsid w:val="00F246A8"/>
    <w:rsid w:val="00F256C2"/>
    <w:rsid w:val="00F32785"/>
    <w:rsid w:val="00F36EF7"/>
    <w:rsid w:val="00F3793A"/>
    <w:rsid w:val="00F413E1"/>
    <w:rsid w:val="00F419F5"/>
    <w:rsid w:val="00F52194"/>
    <w:rsid w:val="00F568D0"/>
    <w:rsid w:val="00F60AFA"/>
    <w:rsid w:val="00F6472D"/>
    <w:rsid w:val="00F91647"/>
    <w:rsid w:val="00FB0605"/>
    <w:rsid w:val="00FB0A09"/>
    <w:rsid w:val="00FC6324"/>
    <w:rsid w:val="00FD22F8"/>
    <w:rsid w:val="00FD31D5"/>
    <w:rsid w:val="00FD77B8"/>
    <w:rsid w:val="00FE0FBF"/>
    <w:rsid w:val="00FE1E38"/>
    <w:rsid w:val="00FF4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434"/>
    <w:pPr>
      <w:spacing w:after="24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A11434"/>
    <w:pPr>
      <w:spacing w:after="360"/>
      <w:outlineLvl w:val="0"/>
    </w:pPr>
    <w:rPr>
      <w:rFonts w:cs="Arial"/>
      <w:b/>
      <w:sz w:val="32"/>
    </w:rPr>
  </w:style>
  <w:style w:type="paragraph" w:styleId="Heading2">
    <w:name w:val="heading 2"/>
    <w:basedOn w:val="Normal"/>
    <w:next w:val="Normal"/>
    <w:link w:val="Heading2Char"/>
    <w:qFormat/>
    <w:rsid w:val="00A11434"/>
    <w:pPr>
      <w:keepNext/>
      <w:outlineLvl w:val="1"/>
    </w:pPr>
    <w:rPr>
      <w:rFonts w:cs="Arial"/>
      <w:b/>
      <w:bCs/>
      <w:iCs/>
      <w:sz w:val="28"/>
      <w:szCs w:val="28"/>
    </w:rPr>
  </w:style>
  <w:style w:type="paragraph" w:styleId="Heading3">
    <w:name w:val="heading 3"/>
    <w:basedOn w:val="Normal"/>
    <w:next w:val="Normal"/>
    <w:link w:val="Heading3Char"/>
    <w:qFormat/>
    <w:rsid w:val="00A11434"/>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A11434"/>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A11434"/>
    <w:pPr>
      <w:numPr>
        <w:ilvl w:val="4"/>
      </w:numPr>
      <w:outlineLvl w:val="4"/>
    </w:pPr>
    <w:rPr>
      <w:i/>
    </w:rPr>
  </w:style>
  <w:style w:type="paragraph" w:styleId="Heading6">
    <w:name w:val="heading 6"/>
    <w:basedOn w:val="Heading5"/>
    <w:next w:val="Normal"/>
    <w:link w:val="Heading6Char"/>
    <w:uiPriority w:val="9"/>
    <w:unhideWhenUsed/>
    <w:qFormat/>
    <w:rsid w:val="00A11434"/>
    <w:pPr>
      <w:numPr>
        <w:ilvl w:val="5"/>
      </w:numPr>
      <w:outlineLvl w:val="5"/>
    </w:pPr>
    <w:rPr>
      <w:b w:val="0"/>
    </w:rPr>
  </w:style>
  <w:style w:type="paragraph" w:styleId="Heading7">
    <w:name w:val="heading 7"/>
    <w:basedOn w:val="Heading6"/>
    <w:next w:val="Normal"/>
    <w:link w:val="Heading7Char"/>
    <w:uiPriority w:val="9"/>
    <w:unhideWhenUsed/>
    <w:rsid w:val="00A1143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A1143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A1143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1434"/>
    <w:pPr>
      <w:tabs>
        <w:tab w:val="center" w:pos="4513"/>
        <w:tab w:val="right" w:pos="9026"/>
      </w:tabs>
    </w:pPr>
  </w:style>
  <w:style w:type="character" w:customStyle="1" w:styleId="HeaderChar">
    <w:name w:val="Header Char"/>
    <w:link w:val="Header"/>
    <w:rsid w:val="00A11434"/>
    <w:rPr>
      <w:rFonts w:ascii="Arial" w:eastAsia="Times New Roman" w:hAnsi="Arial" w:cs="Times New Roman"/>
      <w:szCs w:val="24"/>
    </w:rPr>
  </w:style>
  <w:style w:type="paragraph" w:styleId="Footer">
    <w:name w:val="footer"/>
    <w:basedOn w:val="Normal"/>
    <w:link w:val="FooterChar"/>
    <w:uiPriority w:val="99"/>
    <w:unhideWhenUsed/>
    <w:rsid w:val="00A11434"/>
    <w:pPr>
      <w:tabs>
        <w:tab w:val="center" w:pos="4513"/>
        <w:tab w:val="right" w:pos="9026"/>
      </w:tabs>
      <w:spacing w:after="0"/>
      <w:jc w:val="right"/>
    </w:pPr>
    <w:rPr>
      <w:sz w:val="18"/>
    </w:rPr>
  </w:style>
  <w:style w:type="character" w:customStyle="1" w:styleId="FooterChar">
    <w:name w:val="Footer Char"/>
    <w:link w:val="Footer"/>
    <w:uiPriority w:val="99"/>
    <w:rsid w:val="00A11434"/>
    <w:rPr>
      <w:rFonts w:ascii="Arial" w:eastAsia="Times New Roman" w:hAnsi="Arial" w:cs="Times New Roman"/>
      <w:sz w:val="18"/>
      <w:szCs w:val="24"/>
    </w:rPr>
  </w:style>
  <w:style w:type="character" w:styleId="Hyperlink">
    <w:name w:val="Hyperlink"/>
    <w:uiPriority w:val="99"/>
    <w:rsid w:val="00A11434"/>
    <w:rPr>
      <w:rFonts w:ascii="Arial" w:hAnsi="Arial"/>
      <w:color w:val="0000FF"/>
      <w:sz w:val="22"/>
      <w:u w:val="single"/>
    </w:rPr>
  </w:style>
  <w:style w:type="paragraph" w:customStyle="1" w:styleId="APRALogoheading">
    <w:name w:val="APRA Logo heading"/>
    <w:rsid w:val="00FD22F8"/>
    <w:pPr>
      <w:tabs>
        <w:tab w:val="center" w:pos="4513"/>
        <w:tab w:val="right" w:pos="9026"/>
      </w:tabs>
      <w:spacing w:after="120" w:line="288" w:lineRule="auto"/>
    </w:pPr>
    <w:rPr>
      <w:rFonts w:eastAsiaTheme="minorHAnsi" w:cs="Times New Roman"/>
      <w:lang w:eastAsia="en-US"/>
    </w:rPr>
  </w:style>
  <w:style w:type="paragraph" w:styleId="Title">
    <w:name w:val="Title"/>
    <w:basedOn w:val="Normal"/>
    <w:next w:val="Normal"/>
    <w:link w:val="TitleChar"/>
    <w:uiPriority w:val="10"/>
    <w:qFormat/>
    <w:rsid w:val="00A11434"/>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A11434"/>
    <w:rPr>
      <w:rFonts w:ascii="Arial" w:eastAsiaTheme="majorEastAsia" w:hAnsi="Arial" w:cstheme="majorBidi"/>
      <w:b/>
      <w:caps/>
      <w:spacing w:val="5"/>
      <w:kern w:val="28"/>
      <w:sz w:val="40"/>
      <w:szCs w:val="52"/>
    </w:rPr>
  </w:style>
  <w:style w:type="paragraph" w:styleId="NoSpacing">
    <w:name w:val="No Spacing"/>
    <w:uiPriority w:val="1"/>
    <w:rsid w:val="00A11434"/>
    <w:pPr>
      <w:spacing w:after="120" w:line="240" w:lineRule="auto"/>
    </w:pPr>
    <w:rPr>
      <w:rFonts w:ascii="Arial" w:eastAsia="Times New Roman" w:hAnsi="Arial" w:cs="Times New Roman"/>
      <w:lang w:eastAsia="en-US"/>
    </w:rPr>
  </w:style>
  <w:style w:type="character" w:customStyle="1" w:styleId="Heading1Char">
    <w:name w:val="Heading 1 Char"/>
    <w:basedOn w:val="DefaultParagraphFont"/>
    <w:link w:val="Heading1"/>
    <w:rsid w:val="00A11434"/>
    <w:rPr>
      <w:rFonts w:ascii="Arial" w:eastAsia="Times New Roman" w:hAnsi="Arial" w:cs="Arial"/>
      <w:b/>
      <w:sz w:val="32"/>
      <w:szCs w:val="24"/>
    </w:rPr>
  </w:style>
  <w:style w:type="character" w:customStyle="1" w:styleId="Heading2Char">
    <w:name w:val="Heading 2 Char"/>
    <w:basedOn w:val="DefaultParagraphFont"/>
    <w:link w:val="Heading2"/>
    <w:rsid w:val="00A11434"/>
    <w:rPr>
      <w:rFonts w:ascii="Arial" w:eastAsia="Times New Roman" w:hAnsi="Arial" w:cs="Arial"/>
      <w:b/>
      <w:bCs/>
      <w:iCs/>
      <w:sz w:val="28"/>
      <w:szCs w:val="28"/>
    </w:rPr>
  </w:style>
  <w:style w:type="character" w:customStyle="1" w:styleId="Heading3Char">
    <w:name w:val="Heading 3 Char"/>
    <w:basedOn w:val="DefaultParagraphFont"/>
    <w:link w:val="Heading3"/>
    <w:rsid w:val="00A11434"/>
    <w:rPr>
      <w:rFonts w:ascii="Arial" w:eastAsia="Times New Roman" w:hAnsi="Arial" w:cs="Arial"/>
      <w:b/>
      <w:bCs/>
      <w:i/>
      <w:sz w:val="24"/>
      <w:szCs w:val="26"/>
    </w:rPr>
  </w:style>
  <w:style w:type="character" w:styleId="Emphasis">
    <w:name w:val="Emphasis"/>
    <w:uiPriority w:val="20"/>
    <w:rsid w:val="00A11434"/>
    <w:rPr>
      <w:rFonts w:ascii="Arial" w:hAnsi="Arial"/>
      <w:i/>
      <w:iCs/>
      <w:sz w:val="22"/>
    </w:rPr>
  </w:style>
  <w:style w:type="paragraph" w:customStyle="1" w:styleId="Dotpoint1">
    <w:name w:val="Dot point 1"/>
    <w:basedOn w:val="Normal"/>
    <w:link w:val="Dotpoint1Char"/>
    <w:rsid w:val="00DE658F"/>
  </w:style>
  <w:style w:type="paragraph" w:customStyle="1" w:styleId="Dotpoint2">
    <w:name w:val="Dot point 2"/>
    <w:basedOn w:val="Dotpoint1"/>
    <w:link w:val="Dotpoint2Char"/>
    <w:rsid w:val="00351FB1"/>
  </w:style>
  <w:style w:type="character" w:customStyle="1" w:styleId="Dotpoint1Char">
    <w:name w:val="Dot point 1 Char"/>
    <w:basedOn w:val="DefaultParagraphFont"/>
    <w:link w:val="Dotpoint1"/>
    <w:rsid w:val="00DE658F"/>
    <w:rPr>
      <w:rFonts w:ascii="Trebuchet MS" w:hAnsi="Trebuchet MS"/>
    </w:rPr>
  </w:style>
  <w:style w:type="paragraph" w:customStyle="1" w:styleId="Dotpoint3">
    <w:name w:val="Dot point 3"/>
    <w:basedOn w:val="Dotpoint1"/>
    <w:link w:val="Dotpoint3Char"/>
    <w:rsid w:val="00DE658F"/>
  </w:style>
  <w:style w:type="character" w:customStyle="1" w:styleId="Dotpoint2Char">
    <w:name w:val="Dot point 2 Char"/>
    <w:basedOn w:val="DefaultParagraphFont"/>
    <w:link w:val="Dotpoint2"/>
    <w:rsid w:val="00351FB1"/>
    <w:rPr>
      <w:rFonts w:ascii="Trebuchet MS" w:hAnsi="Trebuchet MS"/>
    </w:rPr>
  </w:style>
  <w:style w:type="paragraph" w:customStyle="1" w:styleId="Tabletext">
    <w:name w:val="Table text"/>
    <w:basedOn w:val="Normal"/>
    <w:link w:val="TabletextChar"/>
    <w:qFormat/>
    <w:rsid w:val="00A11434"/>
    <w:pPr>
      <w:spacing w:before="60" w:after="60"/>
    </w:pPr>
    <w:rPr>
      <w:rFonts w:cs="Arial"/>
    </w:rPr>
  </w:style>
  <w:style w:type="character" w:customStyle="1" w:styleId="Dotpoint3Char">
    <w:name w:val="Dot point 3 Char"/>
    <w:basedOn w:val="Dotpoint1Char"/>
    <w:link w:val="Dotpoint3"/>
    <w:rsid w:val="00DE658F"/>
    <w:rPr>
      <w:rFonts w:ascii="Trebuchet MS" w:hAnsi="Trebuchet MS"/>
    </w:rPr>
  </w:style>
  <w:style w:type="table" w:styleId="TableGrid">
    <w:name w:val="Table Grid"/>
    <w:basedOn w:val="TableNormal"/>
    <w:uiPriority w:val="59"/>
    <w:rsid w:val="00A11434"/>
    <w:pPr>
      <w:spacing w:after="120" w:line="240" w:lineRule="auto"/>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11434"/>
    <w:rPr>
      <w:rFonts w:ascii="Arial" w:eastAsia="Times New Roman" w:hAnsi="Arial" w:cs="Arial"/>
      <w:szCs w:val="24"/>
    </w:rPr>
  </w:style>
  <w:style w:type="paragraph" w:styleId="FootnoteText">
    <w:name w:val="footnote text"/>
    <w:aliases w:val=" Char,Char"/>
    <w:basedOn w:val="Normal"/>
    <w:link w:val="FootnoteTextChar"/>
    <w:uiPriority w:val="99"/>
    <w:unhideWhenUsed/>
    <w:rsid w:val="00A11434"/>
    <w:rPr>
      <w:sz w:val="18"/>
    </w:rPr>
  </w:style>
  <w:style w:type="character" w:customStyle="1" w:styleId="FootnoteTextChar">
    <w:name w:val="Footnote Text Char"/>
    <w:aliases w:val=" Char Char,Char Char"/>
    <w:link w:val="FootnoteText"/>
    <w:uiPriority w:val="99"/>
    <w:rsid w:val="00A11434"/>
    <w:rPr>
      <w:rFonts w:ascii="Arial" w:eastAsia="Times New Roman" w:hAnsi="Arial" w:cs="Times New Roman"/>
      <w:sz w:val="18"/>
      <w:szCs w:val="24"/>
    </w:rPr>
  </w:style>
  <w:style w:type="character" w:styleId="FootnoteReference">
    <w:name w:val="footnote reference"/>
    <w:uiPriority w:val="99"/>
    <w:unhideWhenUsed/>
    <w:qFormat/>
    <w:rsid w:val="00A11434"/>
    <w:rPr>
      <w:rFonts w:ascii="Arial" w:hAnsi="Arial"/>
      <w:i w:val="0"/>
      <w:color w:val="595959" w:themeColor="text1" w:themeTint="A6"/>
      <w:sz w:val="18"/>
      <w:vertAlign w:val="superscript"/>
    </w:rPr>
  </w:style>
  <w:style w:type="paragraph" w:customStyle="1" w:styleId="Footnotes">
    <w:name w:val="Footnotes"/>
    <w:basedOn w:val="FootnoteText"/>
    <w:link w:val="FootnotesChar"/>
    <w:qFormat/>
    <w:rsid w:val="003D2848"/>
    <w:pPr>
      <w:tabs>
        <w:tab w:val="left" w:pos="425"/>
      </w:tabs>
      <w:spacing w:after="120"/>
      <w:ind w:left="113" w:hanging="113"/>
    </w:pPr>
    <w:rPr>
      <w:szCs w:val="20"/>
    </w:rPr>
  </w:style>
  <w:style w:type="character" w:customStyle="1" w:styleId="Heading4Char">
    <w:name w:val="Heading 4 Char"/>
    <w:link w:val="Heading4"/>
    <w:uiPriority w:val="9"/>
    <w:rsid w:val="00A11434"/>
    <w:rPr>
      <w:rFonts w:ascii="Arial" w:eastAsia="Times New Roman" w:hAnsi="Arial" w:cs="Arial"/>
      <w:b/>
      <w:iCs/>
      <w:szCs w:val="26"/>
    </w:rPr>
  </w:style>
  <w:style w:type="character" w:customStyle="1" w:styleId="FootnotesChar">
    <w:name w:val="Footnotes Char"/>
    <w:basedOn w:val="FootnoteTextChar"/>
    <w:link w:val="Footnotes"/>
    <w:rsid w:val="003D2848"/>
    <w:rPr>
      <w:rFonts w:ascii="Arial" w:eastAsia="Times New Roman" w:hAnsi="Arial" w:cs="Times New Roman"/>
      <w:sz w:val="18"/>
      <w:szCs w:val="20"/>
    </w:rPr>
  </w:style>
  <w:style w:type="paragraph" w:styleId="IntenseQuote">
    <w:name w:val="Intense Quote"/>
    <w:basedOn w:val="Normal"/>
    <w:next w:val="Normal"/>
    <w:link w:val="IntenseQuoteChar"/>
    <w:uiPriority w:val="30"/>
    <w:rsid w:val="004018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18B5"/>
    <w:rPr>
      <w:rFonts w:ascii="Trebuchet MS" w:hAnsi="Trebuchet MS"/>
      <w:i/>
      <w:iCs/>
      <w:color w:val="4F81BD" w:themeColor="accent1"/>
    </w:rPr>
  </w:style>
  <w:style w:type="paragraph" w:customStyle="1" w:styleId="Number1">
    <w:name w:val="Number 1"/>
    <w:basedOn w:val="Normal"/>
    <w:link w:val="Number1Char"/>
    <w:rsid w:val="00693F2B"/>
    <w:pPr>
      <w:numPr>
        <w:numId w:val="4"/>
      </w:numPr>
      <w:ind w:left="425" w:hanging="425"/>
    </w:pPr>
  </w:style>
  <w:style w:type="paragraph" w:styleId="BalloonText">
    <w:name w:val="Balloon Text"/>
    <w:basedOn w:val="Normal"/>
    <w:link w:val="BalloonTextChar"/>
    <w:uiPriority w:val="99"/>
    <w:semiHidden/>
    <w:unhideWhenUsed/>
    <w:rsid w:val="00A11434"/>
    <w:pPr>
      <w:spacing w:after="0"/>
    </w:pPr>
    <w:rPr>
      <w:rFonts w:cs="Tahoma"/>
      <w:sz w:val="16"/>
      <w:szCs w:val="16"/>
    </w:rPr>
  </w:style>
  <w:style w:type="character" w:customStyle="1" w:styleId="Number1Char">
    <w:name w:val="Number 1 Char"/>
    <w:basedOn w:val="DefaultParagraphFont"/>
    <w:link w:val="Number1"/>
    <w:rsid w:val="00693F2B"/>
    <w:rPr>
      <w:rFonts w:ascii="Trebuchet MS" w:hAnsi="Trebuchet MS"/>
    </w:rPr>
  </w:style>
  <w:style w:type="character" w:customStyle="1" w:styleId="BalloonTextChar">
    <w:name w:val="Balloon Text Char"/>
    <w:basedOn w:val="DefaultParagraphFont"/>
    <w:link w:val="BalloonText"/>
    <w:uiPriority w:val="99"/>
    <w:semiHidden/>
    <w:rsid w:val="00A11434"/>
    <w:rPr>
      <w:rFonts w:ascii="Arial" w:eastAsia="Times New Roman" w:hAnsi="Arial" w:cs="Tahoma"/>
      <w:sz w:val="16"/>
      <w:szCs w:val="16"/>
    </w:rPr>
  </w:style>
  <w:style w:type="numbering" w:styleId="111111">
    <w:name w:val="Outline List 2"/>
    <w:basedOn w:val="NoList"/>
    <w:uiPriority w:val="99"/>
    <w:semiHidden/>
    <w:unhideWhenUsed/>
    <w:rsid w:val="00A11434"/>
    <w:pPr>
      <w:numPr>
        <w:numId w:val="5"/>
      </w:numPr>
    </w:pPr>
  </w:style>
  <w:style w:type="paragraph" w:customStyle="1" w:styleId="APRASignature">
    <w:name w:val="APRA Signature"/>
    <w:basedOn w:val="Normal"/>
    <w:link w:val="APRASignatureChar"/>
    <w:rsid w:val="00A11434"/>
    <w:pPr>
      <w:spacing w:after="0"/>
    </w:pPr>
    <w:rPr>
      <w:i/>
    </w:rPr>
  </w:style>
  <w:style w:type="character" w:customStyle="1" w:styleId="APRASignatureChar">
    <w:name w:val="APRA Signature Char"/>
    <w:basedOn w:val="DefaultParagraphFont"/>
    <w:link w:val="APRASignature"/>
    <w:rsid w:val="00A11434"/>
    <w:rPr>
      <w:rFonts w:ascii="Arial" w:eastAsia="Times New Roman" w:hAnsi="Arial" w:cs="Times New Roman"/>
      <w:i/>
      <w:szCs w:val="24"/>
    </w:rPr>
  </w:style>
  <w:style w:type="table" w:customStyle="1" w:styleId="APRAWorkingPaperTable">
    <w:name w:val="APRA Working Paper Table"/>
    <w:basedOn w:val="TableNormal"/>
    <w:uiPriority w:val="99"/>
    <w:rsid w:val="00A11434"/>
    <w:pPr>
      <w:spacing w:after="0" w:line="240" w:lineRule="auto"/>
    </w:pPr>
    <w:rPr>
      <w:rFonts w:ascii="Arial" w:eastAsia="Times New Roman" w:hAnsi="Arial" w:cs="Times New Roman"/>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A114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A11434"/>
  </w:style>
  <w:style w:type="character" w:customStyle="1" w:styleId="BodyTextChar">
    <w:name w:val="Body Text Char"/>
    <w:basedOn w:val="DefaultParagraphFont"/>
    <w:link w:val="BodyText"/>
    <w:uiPriority w:val="99"/>
    <w:semiHidden/>
    <w:rsid w:val="00A11434"/>
    <w:rPr>
      <w:rFonts w:ascii="Arial" w:eastAsia="Times New Roman" w:hAnsi="Arial" w:cs="Times New Roman"/>
      <w:szCs w:val="24"/>
    </w:rPr>
  </w:style>
  <w:style w:type="character" w:styleId="BookTitle">
    <w:name w:val="Book Title"/>
    <w:basedOn w:val="DefaultParagraphFont"/>
    <w:uiPriority w:val="33"/>
    <w:rsid w:val="00A11434"/>
    <w:rPr>
      <w:b/>
      <w:bCs/>
      <w:i/>
      <w:iCs/>
      <w:spacing w:val="5"/>
    </w:rPr>
  </w:style>
  <w:style w:type="paragraph" w:customStyle="1" w:styleId="Bullet">
    <w:name w:val="Bullet"/>
    <w:basedOn w:val="Normal"/>
    <w:link w:val="BulletChar"/>
    <w:rsid w:val="00A11434"/>
    <w:pPr>
      <w:numPr>
        <w:numId w:val="37"/>
      </w:numPr>
      <w:tabs>
        <w:tab w:val="left" w:pos="1935"/>
      </w:tabs>
      <w:spacing w:before="120"/>
    </w:pPr>
    <w:rPr>
      <w:sz w:val="24"/>
    </w:rPr>
  </w:style>
  <w:style w:type="character" w:customStyle="1" w:styleId="BulletChar">
    <w:name w:val="Bullet Char"/>
    <w:link w:val="Bullet"/>
    <w:rsid w:val="00A11434"/>
    <w:rPr>
      <w:rFonts w:ascii="Arial" w:eastAsia="Times New Roman" w:hAnsi="Arial" w:cs="Times New Roman"/>
      <w:sz w:val="24"/>
      <w:szCs w:val="24"/>
    </w:rPr>
  </w:style>
  <w:style w:type="paragraph" w:customStyle="1" w:styleId="Bullet10">
    <w:name w:val="Bullet 1"/>
    <w:basedOn w:val="Normal"/>
    <w:link w:val="Bullet1Char"/>
    <w:rsid w:val="00A11434"/>
    <w:pPr>
      <w:tabs>
        <w:tab w:val="left" w:pos="426"/>
      </w:tabs>
    </w:pPr>
    <w:rPr>
      <w:rFonts w:cs="Arial"/>
      <w:color w:val="000000"/>
      <w:szCs w:val="22"/>
    </w:rPr>
  </w:style>
  <w:style w:type="character" w:customStyle="1" w:styleId="Bullet1Char">
    <w:name w:val="Bullet 1 Char"/>
    <w:basedOn w:val="DefaultParagraphFont"/>
    <w:link w:val="Bullet10"/>
    <w:rsid w:val="00A11434"/>
    <w:rPr>
      <w:rFonts w:ascii="Arial" w:eastAsia="Times New Roman" w:hAnsi="Arial" w:cs="Arial"/>
      <w:color w:val="000000"/>
    </w:rPr>
  </w:style>
  <w:style w:type="paragraph" w:customStyle="1" w:styleId="BULLET1">
    <w:name w:val="BULLET 1"/>
    <w:basedOn w:val="Normal"/>
    <w:link w:val="BULLET1Char0"/>
    <w:qFormat/>
    <w:rsid w:val="00A11434"/>
    <w:pPr>
      <w:numPr>
        <w:numId w:val="38"/>
      </w:numPr>
    </w:pPr>
    <w:rPr>
      <w:rFonts w:eastAsiaTheme="minorEastAsia" w:cstheme="minorBidi"/>
      <w:szCs w:val="22"/>
    </w:rPr>
  </w:style>
  <w:style w:type="character" w:customStyle="1" w:styleId="BULLET1Char0">
    <w:name w:val="BULLET 1 Char"/>
    <w:basedOn w:val="DefaultParagraphFont"/>
    <w:link w:val="BULLET1"/>
    <w:rsid w:val="00A11434"/>
    <w:rPr>
      <w:rFonts w:ascii="Arial" w:hAnsi="Arial"/>
    </w:rPr>
  </w:style>
  <w:style w:type="paragraph" w:customStyle="1" w:styleId="Bullet20">
    <w:name w:val="Bullet 2"/>
    <w:basedOn w:val="Normal"/>
    <w:link w:val="Bullet2Char"/>
    <w:rsid w:val="00A11434"/>
    <w:pPr>
      <w:spacing w:before="240"/>
    </w:pPr>
    <w:rPr>
      <w:rFonts w:cs="Arial"/>
      <w:color w:val="000000"/>
      <w:szCs w:val="22"/>
    </w:rPr>
  </w:style>
  <w:style w:type="character" w:customStyle="1" w:styleId="Bullet2Char">
    <w:name w:val="Bullet 2 Char"/>
    <w:basedOn w:val="DefaultParagraphFont"/>
    <w:link w:val="Bullet20"/>
    <w:rsid w:val="00A11434"/>
    <w:rPr>
      <w:rFonts w:ascii="Arial" w:eastAsia="Times New Roman" w:hAnsi="Arial" w:cs="Arial"/>
      <w:color w:val="000000"/>
    </w:rPr>
  </w:style>
  <w:style w:type="paragraph" w:customStyle="1" w:styleId="BULLET2">
    <w:name w:val="BULLET 2"/>
    <w:basedOn w:val="BULLET1"/>
    <w:link w:val="BULLET2Char0"/>
    <w:qFormat/>
    <w:rsid w:val="00A11434"/>
    <w:pPr>
      <w:numPr>
        <w:numId w:val="39"/>
      </w:numPr>
    </w:pPr>
  </w:style>
  <w:style w:type="character" w:customStyle="1" w:styleId="BULLET2Char0">
    <w:name w:val="BULLET 2 Char"/>
    <w:basedOn w:val="DefaultParagraphFont"/>
    <w:link w:val="BULLET2"/>
    <w:rsid w:val="00A11434"/>
    <w:rPr>
      <w:rFonts w:ascii="Arial" w:hAnsi="Arial"/>
    </w:rPr>
  </w:style>
  <w:style w:type="paragraph" w:customStyle="1" w:styleId="Bullet30">
    <w:name w:val="Bullet 3"/>
    <w:basedOn w:val="Normal"/>
    <w:link w:val="Bullet3Char"/>
    <w:rsid w:val="00A11434"/>
    <w:rPr>
      <w:rFonts w:cs="Arial"/>
      <w:color w:val="000000"/>
    </w:rPr>
  </w:style>
  <w:style w:type="character" w:customStyle="1" w:styleId="Bullet3Char">
    <w:name w:val="Bullet 3 Char"/>
    <w:basedOn w:val="Bullet1Char"/>
    <w:link w:val="Bullet30"/>
    <w:rsid w:val="00A11434"/>
    <w:rPr>
      <w:rFonts w:ascii="Arial" w:eastAsia="Times New Roman" w:hAnsi="Arial" w:cs="Arial"/>
      <w:color w:val="000000"/>
      <w:szCs w:val="24"/>
    </w:rPr>
  </w:style>
  <w:style w:type="paragraph" w:customStyle="1" w:styleId="BULLET3">
    <w:name w:val="BULLET 3"/>
    <w:basedOn w:val="BULLET1"/>
    <w:link w:val="BULLET3Char0"/>
    <w:qFormat/>
    <w:rsid w:val="009C58A6"/>
    <w:pPr>
      <w:numPr>
        <w:numId w:val="40"/>
      </w:numPr>
      <w:ind w:left="1208" w:hanging="357"/>
    </w:pPr>
  </w:style>
  <w:style w:type="character" w:customStyle="1" w:styleId="BULLET3Char0">
    <w:name w:val="BULLET 3 Char"/>
    <w:basedOn w:val="BULLET1Char0"/>
    <w:link w:val="BULLET3"/>
    <w:rsid w:val="009C58A6"/>
    <w:rPr>
      <w:rFonts w:ascii="Arial" w:hAnsi="Arial"/>
    </w:rPr>
  </w:style>
  <w:style w:type="table" w:styleId="ColorfulGrid">
    <w:name w:val="Colorful Grid"/>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A1143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A11434"/>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A11434"/>
    <w:rPr>
      <w:color w:val="800080" w:themeColor="followedHyperlink"/>
      <w:u w:val="single"/>
    </w:rPr>
  </w:style>
  <w:style w:type="table" w:styleId="GridTable1Light">
    <w:name w:val="Grid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5Char">
    <w:name w:val="Heading 5 Char"/>
    <w:link w:val="Heading5"/>
    <w:uiPriority w:val="9"/>
    <w:rsid w:val="00A11434"/>
    <w:rPr>
      <w:rFonts w:ascii="Arial" w:eastAsia="Times New Roman" w:hAnsi="Arial" w:cs="Arial"/>
      <w:b/>
      <w:i/>
      <w:iCs/>
      <w:szCs w:val="26"/>
    </w:rPr>
  </w:style>
  <w:style w:type="character" w:customStyle="1" w:styleId="Heading6Char">
    <w:name w:val="Heading 6 Char"/>
    <w:link w:val="Heading6"/>
    <w:uiPriority w:val="9"/>
    <w:rsid w:val="00A11434"/>
    <w:rPr>
      <w:rFonts w:ascii="Arial" w:eastAsia="Times New Roman" w:hAnsi="Arial" w:cs="Arial"/>
      <w:i/>
      <w:iCs/>
      <w:szCs w:val="26"/>
    </w:rPr>
  </w:style>
  <w:style w:type="character" w:customStyle="1" w:styleId="Heading7Char">
    <w:name w:val="Heading 7 Char"/>
    <w:link w:val="Heading7"/>
    <w:uiPriority w:val="9"/>
    <w:rsid w:val="00A11434"/>
    <w:rPr>
      <w:rFonts w:ascii="Arial" w:eastAsia="Times New Roman" w:hAnsi="Arial" w:cs="Arial"/>
      <w:b/>
      <w:iCs/>
      <w:color w:val="404040"/>
    </w:rPr>
  </w:style>
  <w:style w:type="character" w:customStyle="1" w:styleId="Heading8Char">
    <w:name w:val="Heading 8 Char"/>
    <w:basedOn w:val="DefaultParagraphFont"/>
    <w:link w:val="Heading8"/>
    <w:uiPriority w:val="9"/>
    <w:rsid w:val="00A1143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11434"/>
    <w:rPr>
      <w:rFonts w:ascii="Arial" w:eastAsiaTheme="majorEastAsia" w:hAnsi="Arial" w:cstheme="majorBidi"/>
      <w:i/>
      <w:iCs/>
      <w:color w:val="404040" w:themeColor="text1" w:themeTint="BF"/>
      <w:sz w:val="20"/>
      <w:szCs w:val="20"/>
    </w:rPr>
  </w:style>
  <w:style w:type="paragraph" w:styleId="Index1">
    <w:name w:val="index 1"/>
    <w:basedOn w:val="Normal"/>
    <w:next w:val="Normal"/>
    <w:autoRedefine/>
    <w:uiPriority w:val="99"/>
    <w:semiHidden/>
    <w:unhideWhenUsed/>
    <w:rsid w:val="00A11434"/>
    <w:pPr>
      <w:spacing w:after="0"/>
      <w:ind w:left="220" w:hanging="220"/>
    </w:pPr>
  </w:style>
  <w:style w:type="paragraph" w:styleId="IndexHeading">
    <w:name w:val="index heading"/>
    <w:basedOn w:val="Normal"/>
    <w:next w:val="Index1"/>
    <w:uiPriority w:val="99"/>
    <w:semiHidden/>
    <w:unhideWhenUsed/>
    <w:rsid w:val="00A11434"/>
    <w:rPr>
      <w:rFonts w:eastAsiaTheme="majorEastAsia" w:cstheme="majorBidi"/>
      <w:b/>
      <w:bCs/>
    </w:rPr>
  </w:style>
  <w:style w:type="character" w:styleId="IntenseEmphasis">
    <w:name w:val="Intense Emphasis"/>
    <w:uiPriority w:val="21"/>
    <w:rsid w:val="00A11434"/>
    <w:rPr>
      <w:rFonts w:ascii="Trebuchet MS" w:hAnsi="Trebuchet MS"/>
      <w:b/>
      <w:bCs/>
      <w:i/>
      <w:iCs/>
      <w:color w:val="000000" w:themeColor="text1"/>
      <w:sz w:val="22"/>
    </w:rPr>
  </w:style>
  <w:style w:type="table" w:styleId="LightGrid">
    <w:name w:val="Light Grid"/>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11434"/>
    <w:pPr>
      <w:spacing w:after="0" w:line="240" w:lineRule="auto"/>
    </w:pPr>
    <w:rPr>
      <w:rFonts w:ascii="Arial" w:eastAsia="Times New Roman" w:hAnsi="Arial" w:cs="Times New Roman"/>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A11434"/>
    <w:pPr>
      <w:ind w:left="283" w:hanging="283"/>
      <w:contextualSpacing/>
    </w:pPr>
  </w:style>
  <w:style w:type="paragraph" w:styleId="List2">
    <w:name w:val="List 2"/>
    <w:basedOn w:val="Normal"/>
    <w:uiPriority w:val="99"/>
    <w:unhideWhenUsed/>
    <w:rsid w:val="00A11434"/>
    <w:pPr>
      <w:ind w:left="566" w:hanging="283"/>
      <w:contextualSpacing/>
    </w:pPr>
  </w:style>
  <w:style w:type="paragraph" w:styleId="List3">
    <w:name w:val="List 3"/>
    <w:basedOn w:val="Normal"/>
    <w:uiPriority w:val="99"/>
    <w:unhideWhenUsed/>
    <w:rsid w:val="00A11434"/>
    <w:pPr>
      <w:ind w:left="849" w:hanging="283"/>
      <w:contextualSpacing/>
    </w:pPr>
  </w:style>
  <w:style w:type="paragraph" w:styleId="List4">
    <w:name w:val="List 4"/>
    <w:basedOn w:val="Normal"/>
    <w:uiPriority w:val="99"/>
    <w:unhideWhenUsed/>
    <w:rsid w:val="00A11434"/>
    <w:pPr>
      <w:ind w:left="1132" w:hanging="283"/>
      <w:contextualSpacing/>
    </w:pPr>
  </w:style>
  <w:style w:type="paragraph" w:styleId="ListBullet">
    <w:name w:val="List Bullet"/>
    <w:basedOn w:val="List"/>
    <w:uiPriority w:val="12"/>
    <w:unhideWhenUsed/>
    <w:qFormat/>
    <w:rsid w:val="00A11434"/>
    <w:pPr>
      <w:numPr>
        <w:numId w:val="41"/>
      </w:numPr>
      <w:contextualSpacing w:val="0"/>
    </w:pPr>
  </w:style>
  <w:style w:type="paragraph" w:styleId="ListNumber">
    <w:name w:val="List Number"/>
    <w:basedOn w:val="Normal"/>
    <w:uiPriority w:val="99"/>
    <w:unhideWhenUsed/>
    <w:rsid w:val="00A11434"/>
    <w:pPr>
      <w:numPr>
        <w:numId w:val="42"/>
      </w:numPr>
      <w:contextualSpacing/>
    </w:pPr>
  </w:style>
  <w:style w:type="paragraph" w:styleId="ListNumber2">
    <w:name w:val="List Number 2"/>
    <w:basedOn w:val="Normal"/>
    <w:uiPriority w:val="99"/>
    <w:unhideWhenUsed/>
    <w:rsid w:val="00A11434"/>
    <w:pPr>
      <w:numPr>
        <w:numId w:val="43"/>
      </w:numPr>
      <w:contextualSpacing/>
    </w:pPr>
  </w:style>
  <w:style w:type="paragraph" w:styleId="ListNumber3">
    <w:name w:val="List Number 3"/>
    <w:basedOn w:val="Normal"/>
    <w:link w:val="ListNumber3Char"/>
    <w:uiPriority w:val="99"/>
    <w:unhideWhenUsed/>
    <w:rsid w:val="00A11434"/>
    <w:pPr>
      <w:numPr>
        <w:numId w:val="44"/>
      </w:numPr>
      <w:contextualSpacing/>
    </w:pPr>
  </w:style>
  <w:style w:type="character" w:customStyle="1" w:styleId="ListNumber3Char">
    <w:name w:val="List Number 3 Char"/>
    <w:basedOn w:val="DefaultParagraphFont"/>
    <w:link w:val="ListNumber3"/>
    <w:uiPriority w:val="99"/>
    <w:rsid w:val="00A11434"/>
    <w:rPr>
      <w:rFonts w:ascii="Arial" w:eastAsia="Times New Roman" w:hAnsi="Arial" w:cs="Times New Roman"/>
      <w:szCs w:val="24"/>
    </w:rPr>
  </w:style>
  <w:style w:type="paragraph" w:styleId="ListNumber4">
    <w:name w:val="List Number 4"/>
    <w:basedOn w:val="Normal"/>
    <w:uiPriority w:val="99"/>
    <w:semiHidden/>
    <w:unhideWhenUsed/>
    <w:rsid w:val="00A11434"/>
    <w:pPr>
      <w:numPr>
        <w:numId w:val="45"/>
      </w:numPr>
      <w:contextualSpacing/>
    </w:pPr>
  </w:style>
  <w:style w:type="paragraph" w:styleId="ListNumber5">
    <w:name w:val="List Number 5"/>
    <w:basedOn w:val="Normal"/>
    <w:uiPriority w:val="99"/>
    <w:semiHidden/>
    <w:unhideWhenUsed/>
    <w:rsid w:val="00A11434"/>
    <w:pPr>
      <w:numPr>
        <w:numId w:val="46"/>
      </w:numPr>
      <w:contextualSpacing/>
    </w:pPr>
  </w:style>
  <w:style w:type="paragraph" w:styleId="ListParagraph">
    <w:name w:val="List Paragraph"/>
    <w:basedOn w:val="Normal"/>
    <w:link w:val="ListParagraphChar"/>
    <w:uiPriority w:val="34"/>
    <w:qFormat/>
    <w:rsid w:val="00A11434"/>
    <w:pPr>
      <w:ind w:left="720"/>
      <w:contextualSpacing/>
    </w:pPr>
  </w:style>
  <w:style w:type="table" w:styleId="ListTable1Light">
    <w:name w:val="List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114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A11434"/>
    <w:rPr>
      <w:rFonts w:ascii="Arial" w:eastAsia="Times New Roman" w:hAnsi="Arial" w:cs="Times New Roman"/>
      <w:sz w:val="20"/>
      <w:szCs w:val="20"/>
    </w:rPr>
  </w:style>
  <w:style w:type="table" w:styleId="MediumGrid1">
    <w:name w:val="Medium Grid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114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A11434"/>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A1143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A11434"/>
    <w:rPr>
      <w:rFonts w:ascii="Arial" w:eastAsia="Times New Roman" w:hAnsi="Arial" w:cs="Arial"/>
      <w:b/>
      <w:i/>
      <w:iCs w:val="0"/>
      <w:szCs w:val="26"/>
    </w:rPr>
  </w:style>
  <w:style w:type="paragraph" w:customStyle="1" w:styleId="Non-numberedchapterheading">
    <w:name w:val="Non-numbered chapter heading"/>
    <w:basedOn w:val="Heading5"/>
    <w:link w:val="Non-numberedchapterheadingChar"/>
    <w:rsid w:val="00A1143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A11434"/>
    <w:rPr>
      <w:rFonts w:ascii="Arial" w:eastAsia="Times New Roman" w:hAnsi="Arial" w:cs="Arial"/>
      <w:b/>
      <w:i/>
      <w:iCs w:val="0"/>
      <w:szCs w:val="26"/>
    </w:rPr>
  </w:style>
  <w:style w:type="paragraph" w:styleId="NormalWeb">
    <w:name w:val="Normal (Web)"/>
    <w:basedOn w:val="Normal"/>
    <w:uiPriority w:val="99"/>
    <w:semiHidden/>
    <w:unhideWhenUsed/>
    <w:rsid w:val="00A11434"/>
    <w:rPr>
      <w:sz w:val="24"/>
    </w:rPr>
  </w:style>
  <w:style w:type="paragraph" w:customStyle="1" w:styleId="NumberedList">
    <w:name w:val="Numbered List"/>
    <w:basedOn w:val="ListNumber3"/>
    <w:link w:val="NumberedListChar"/>
    <w:rsid w:val="00A11434"/>
    <w:pPr>
      <w:numPr>
        <w:numId w:val="47"/>
      </w:numPr>
    </w:pPr>
  </w:style>
  <w:style w:type="character" w:customStyle="1" w:styleId="NumberedListChar">
    <w:name w:val="Numbered List Char"/>
    <w:basedOn w:val="ListNumber3Char"/>
    <w:link w:val="NumberedList"/>
    <w:rsid w:val="00A11434"/>
    <w:rPr>
      <w:rFonts w:ascii="Arial" w:eastAsia="Times New Roman" w:hAnsi="Arial" w:cs="Times New Roman"/>
      <w:szCs w:val="24"/>
    </w:rPr>
  </w:style>
  <w:style w:type="character" w:styleId="PlaceholderText">
    <w:name w:val="Placeholder Text"/>
    <w:basedOn w:val="DefaultParagraphFont"/>
    <w:uiPriority w:val="99"/>
    <w:semiHidden/>
    <w:rsid w:val="00A11434"/>
    <w:rPr>
      <w:color w:val="808080"/>
    </w:rPr>
  </w:style>
  <w:style w:type="table" w:styleId="PlainTable1">
    <w:name w:val="Plain Table 1"/>
    <w:basedOn w:val="TableNormal"/>
    <w:uiPriority w:val="41"/>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1434"/>
    <w:pPr>
      <w:spacing w:after="0" w:line="240" w:lineRule="auto"/>
    </w:pPr>
    <w:rPr>
      <w:rFonts w:ascii="Arial" w:eastAsia="Times New Roman" w:hAnsi="Arial" w:cs="Times New Roman"/>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11434"/>
    <w:pPr>
      <w:spacing w:after="0"/>
    </w:pPr>
    <w:rPr>
      <w:sz w:val="21"/>
      <w:szCs w:val="21"/>
    </w:rPr>
  </w:style>
  <w:style w:type="character" w:customStyle="1" w:styleId="PlainTextChar">
    <w:name w:val="Plain Text Char"/>
    <w:basedOn w:val="DefaultParagraphFont"/>
    <w:link w:val="PlainText"/>
    <w:uiPriority w:val="99"/>
    <w:semiHidden/>
    <w:rsid w:val="00A11434"/>
    <w:rPr>
      <w:rFonts w:ascii="Arial" w:eastAsia="Times New Roman" w:hAnsi="Arial" w:cs="Times New Roman"/>
      <w:sz w:val="21"/>
      <w:szCs w:val="21"/>
    </w:rPr>
  </w:style>
  <w:style w:type="paragraph" w:styleId="Quote">
    <w:name w:val="Quote"/>
    <w:basedOn w:val="Normal"/>
    <w:next w:val="Normal"/>
    <w:link w:val="QuoteChar"/>
    <w:uiPriority w:val="29"/>
    <w:qFormat/>
    <w:rsid w:val="00A11434"/>
    <w:rPr>
      <w:i/>
      <w:iCs/>
      <w:color w:val="000000"/>
    </w:rPr>
  </w:style>
  <w:style w:type="character" w:customStyle="1" w:styleId="QuoteChar">
    <w:name w:val="Quote Char"/>
    <w:link w:val="Quote"/>
    <w:uiPriority w:val="29"/>
    <w:rsid w:val="00A11434"/>
    <w:rPr>
      <w:rFonts w:ascii="Arial" w:eastAsia="Times New Roman" w:hAnsi="Arial" w:cs="Times New Roman"/>
      <w:i/>
      <w:iCs/>
      <w:color w:val="000000"/>
      <w:szCs w:val="24"/>
    </w:rPr>
  </w:style>
  <w:style w:type="character" w:styleId="Strong">
    <w:name w:val="Strong"/>
    <w:uiPriority w:val="22"/>
    <w:rsid w:val="00A11434"/>
    <w:rPr>
      <w:rFonts w:ascii="Arial" w:hAnsi="Arial"/>
      <w:b/>
      <w:bCs/>
      <w:sz w:val="22"/>
    </w:rPr>
  </w:style>
  <w:style w:type="paragraph" w:styleId="Subtitle">
    <w:name w:val="Subtitle"/>
    <w:basedOn w:val="Normal"/>
    <w:next w:val="Normal"/>
    <w:link w:val="SubtitleChar"/>
    <w:uiPriority w:val="11"/>
    <w:rsid w:val="00A11434"/>
    <w:pPr>
      <w:numPr>
        <w:ilvl w:val="1"/>
      </w:numPr>
    </w:pPr>
    <w:rPr>
      <w:rFonts w:eastAsiaTheme="majorEastAsia" w:cstheme="majorBidi"/>
      <w:i/>
      <w:iCs/>
      <w:spacing w:val="15"/>
    </w:rPr>
  </w:style>
  <w:style w:type="character" w:customStyle="1" w:styleId="SubtitleChar">
    <w:name w:val="Subtitle Char"/>
    <w:link w:val="Subtitle"/>
    <w:uiPriority w:val="11"/>
    <w:rsid w:val="00A11434"/>
    <w:rPr>
      <w:rFonts w:ascii="Arial" w:eastAsiaTheme="majorEastAsia" w:hAnsi="Arial" w:cstheme="majorBidi"/>
      <w:i/>
      <w:iCs/>
      <w:spacing w:val="15"/>
      <w:szCs w:val="24"/>
    </w:rPr>
  </w:style>
  <w:style w:type="character" w:styleId="SubtleEmphasis">
    <w:name w:val="Subtle Emphasis"/>
    <w:basedOn w:val="DefaultParagraphFont"/>
    <w:uiPriority w:val="19"/>
    <w:rsid w:val="00A11434"/>
    <w:rPr>
      <w:i/>
      <w:iCs/>
      <w:color w:val="808080" w:themeColor="text1" w:themeTint="7F"/>
    </w:rPr>
  </w:style>
  <w:style w:type="table" w:styleId="Table3Deffects1">
    <w:name w:val="Table 3D effects 1"/>
    <w:basedOn w:val="TableNormal"/>
    <w:uiPriority w:val="99"/>
    <w:semiHidden/>
    <w:unhideWhenUsed/>
    <w:rsid w:val="00A11434"/>
    <w:pPr>
      <w:spacing w:after="240" w:line="240" w:lineRule="auto"/>
      <w:jc w:val="both"/>
    </w:pPr>
    <w:rPr>
      <w:rFonts w:ascii="Arial" w:eastAsia="Times New Roman" w:hAnsi="Arial" w:cs="Times New Roma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11434"/>
    <w:pPr>
      <w:spacing w:after="240" w:line="240" w:lineRule="auto"/>
      <w:jc w:val="both"/>
    </w:pPr>
    <w:rPr>
      <w:rFonts w:ascii="Arial" w:eastAsia="Times New Roman" w:hAnsi="Arial" w:cs="Times New Roman"/>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11434"/>
    <w:pPr>
      <w:spacing w:after="240" w:line="240" w:lineRule="auto"/>
      <w:jc w:val="both"/>
    </w:pPr>
    <w:rPr>
      <w:rFonts w:ascii="Arial" w:eastAsia="Times New Roman" w:hAnsi="Arial" w:cs="Times New Roman"/>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A1143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A11434"/>
    <w:pPr>
      <w:keepNext/>
      <w:widowControl w:val="0"/>
      <w:spacing w:before="60" w:after="60"/>
    </w:pPr>
    <w:rPr>
      <w:rFonts w:cstheme="minorBidi"/>
      <w:b/>
      <w:sz w:val="20"/>
    </w:rPr>
  </w:style>
  <w:style w:type="table" w:styleId="TableColumns1">
    <w:name w:val="Table Columns 1"/>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11434"/>
    <w:pPr>
      <w:spacing w:after="0" w:line="240" w:lineRule="auto"/>
    </w:pPr>
    <w:rPr>
      <w:rFonts w:ascii="Arial" w:eastAsia="Times New Roman" w:hAnsi="Arial"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A11434"/>
    <w:pPr>
      <w:keepNext/>
      <w:widowControl w:val="0"/>
      <w:spacing w:before="120"/>
    </w:pPr>
    <w:rPr>
      <w:b/>
      <w:i/>
      <w:sz w:val="20"/>
    </w:rPr>
  </w:style>
  <w:style w:type="table" w:styleId="TableSimple1">
    <w:name w:val="Table Simple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11434"/>
    <w:pPr>
      <w:spacing w:before="120"/>
    </w:pPr>
    <w:rPr>
      <w:rFonts w:eastAsiaTheme="majorEastAsia" w:cstheme="majorBidi"/>
      <w:b/>
      <w:bCs/>
      <w:sz w:val="28"/>
    </w:rPr>
  </w:style>
  <w:style w:type="paragraph" w:styleId="TOC1">
    <w:name w:val="toc 1"/>
    <w:basedOn w:val="Normal"/>
    <w:next w:val="Normal"/>
    <w:autoRedefine/>
    <w:uiPriority w:val="39"/>
    <w:unhideWhenUsed/>
    <w:qFormat/>
    <w:rsid w:val="00A11434"/>
    <w:pPr>
      <w:tabs>
        <w:tab w:val="right" w:leader="dot" w:pos="9016"/>
      </w:tabs>
    </w:pPr>
    <w:rPr>
      <w:b/>
      <w:noProof/>
      <w:sz w:val="28"/>
    </w:rPr>
  </w:style>
  <w:style w:type="paragraph" w:styleId="TOC2">
    <w:name w:val="toc 2"/>
    <w:basedOn w:val="Normal"/>
    <w:next w:val="Normal"/>
    <w:autoRedefine/>
    <w:uiPriority w:val="39"/>
    <w:unhideWhenUsed/>
    <w:qFormat/>
    <w:rsid w:val="00A11434"/>
    <w:pPr>
      <w:ind w:left="220"/>
    </w:pPr>
    <w:rPr>
      <w:sz w:val="24"/>
    </w:rPr>
  </w:style>
  <w:style w:type="paragraph" w:styleId="TOC3">
    <w:name w:val="toc 3"/>
    <w:basedOn w:val="Normal"/>
    <w:next w:val="Normal"/>
    <w:autoRedefine/>
    <w:uiPriority w:val="39"/>
    <w:unhideWhenUsed/>
    <w:qFormat/>
    <w:rsid w:val="00A11434"/>
    <w:pPr>
      <w:ind w:left="440"/>
    </w:pPr>
  </w:style>
  <w:style w:type="paragraph" w:styleId="TOC4">
    <w:name w:val="toc 4"/>
    <w:basedOn w:val="Normal"/>
    <w:next w:val="Normal"/>
    <w:autoRedefine/>
    <w:uiPriority w:val="39"/>
    <w:unhideWhenUsed/>
    <w:rsid w:val="00A11434"/>
    <w:pPr>
      <w:ind w:left="660"/>
    </w:pPr>
  </w:style>
  <w:style w:type="paragraph" w:styleId="TOCHeading">
    <w:name w:val="TOC Heading"/>
    <w:basedOn w:val="Heading1"/>
    <w:next w:val="Normal"/>
    <w:uiPriority w:val="39"/>
    <w:unhideWhenUsed/>
    <w:qFormat/>
    <w:rsid w:val="00A11434"/>
    <w:pPr>
      <w:spacing w:after="0"/>
      <w:outlineLvl w:val="9"/>
    </w:pPr>
    <w:rPr>
      <w:szCs w:val="28"/>
    </w:rPr>
  </w:style>
  <w:style w:type="paragraph" w:customStyle="1" w:styleId="LetterHeadingCAPS">
    <w:name w:val="Letter Heading CAPS"/>
    <w:basedOn w:val="Normal"/>
    <w:link w:val="LetterHeadingCAPSChar"/>
    <w:rsid w:val="00A11434"/>
    <w:rPr>
      <w:b/>
      <w:lang w:val="en-US"/>
    </w:rPr>
  </w:style>
  <w:style w:type="character" w:customStyle="1" w:styleId="LetterHeadingCAPSChar">
    <w:name w:val="Letter Heading CAPS Char"/>
    <w:basedOn w:val="DefaultParagraphFont"/>
    <w:link w:val="LetterHeadingCAPS"/>
    <w:rsid w:val="00A11434"/>
    <w:rPr>
      <w:rFonts w:ascii="Arial" w:eastAsia="Times New Roman" w:hAnsi="Arial" w:cs="Times New Roman"/>
      <w:b/>
      <w:szCs w:val="24"/>
      <w:lang w:val="en-US"/>
    </w:rPr>
  </w:style>
  <w:style w:type="paragraph" w:customStyle="1" w:styleId="LetterCAPS">
    <w:name w:val="Letter CAPS"/>
    <w:basedOn w:val="LetterHeadingCAPS"/>
    <w:link w:val="LetterCAPSChar"/>
    <w:rsid w:val="00A11434"/>
  </w:style>
  <w:style w:type="character" w:customStyle="1" w:styleId="LetterCAPSChar">
    <w:name w:val="Letter CAPS Char"/>
    <w:basedOn w:val="LetterHeadingCAPSChar"/>
    <w:link w:val="LetterCAPS"/>
    <w:rsid w:val="00A11434"/>
    <w:rPr>
      <w:rFonts w:ascii="Arial" w:eastAsia="Times New Roman" w:hAnsi="Arial" w:cs="Times New Roman"/>
      <w:b/>
      <w:szCs w:val="24"/>
      <w:lang w:val="en-US"/>
    </w:rPr>
  </w:style>
  <w:style w:type="paragraph" w:customStyle="1" w:styleId="LetterTitleCAPS">
    <w:name w:val="Letter Title CAPS"/>
    <w:basedOn w:val="Title"/>
    <w:link w:val="LetterTitleCAPSChar"/>
    <w:autoRedefine/>
    <w:rsid w:val="00A11434"/>
  </w:style>
  <w:style w:type="character" w:customStyle="1" w:styleId="LetterTitleCAPSChar">
    <w:name w:val="Letter Title CAPS Char"/>
    <w:basedOn w:val="TitleChar"/>
    <w:link w:val="LetterTitleCAPS"/>
    <w:rsid w:val="00A11434"/>
    <w:rPr>
      <w:rFonts w:ascii="Arial" w:eastAsiaTheme="majorEastAsia" w:hAnsi="Arial" w:cstheme="majorBidi"/>
      <w:b/>
      <w:caps/>
      <w:spacing w:val="5"/>
      <w:kern w:val="28"/>
      <w:sz w:val="40"/>
      <w:szCs w:val="52"/>
    </w:rPr>
  </w:style>
  <w:style w:type="paragraph" w:customStyle="1" w:styleId="LetterCAPSTitle">
    <w:name w:val="Letter CAPS Title"/>
    <w:basedOn w:val="Normal"/>
    <w:link w:val="LetterCAPSTitleChar"/>
    <w:qFormat/>
    <w:rsid w:val="00A11434"/>
    <w:rPr>
      <w:b/>
      <w:caps/>
      <w:szCs w:val="22"/>
    </w:rPr>
  </w:style>
  <w:style w:type="character" w:customStyle="1" w:styleId="LetterCAPSTitleChar">
    <w:name w:val="Letter CAPS Title Char"/>
    <w:basedOn w:val="DefaultParagraphFont"/>
    <w:link w:val="LetterCAPSTitle"/>
    <w:rsid w:val="00A11434"/>
    <w:rPr>
      <w:rFonts w:ascii="Arial" w:eastAsia="Times New Roman" w:hAnsi="Arial" w:cs="Times New Roman"/>
      <w:b/>
      <w:caps/>
    </w:rPr>
  </w:style>
  <w:style w:type="character" w:styleId="CommentReference">
    <w:name w:val="annotation reference"/>
    <w:basedOn w:val="DefaultParagraphFont"/>
    <w:uiPriority w:val="99"/>
    <w:semiHidden/>
    <w:unhideWhenUsed/>
    <w:rsid w:val="00A11434"/>
    <w:rPr>
      <w:sz w:val="16"/>
      <w:szCs w:val="16"/>
    </w:rPr>
  </w:style>
  <w:style w:type="paragraph" w:styleId="CommentText">
    <w:name w:val="annotation text"/>
    <w:basedOn w:val="Normal"/>
    <w:link w:val="CommentTextChar"/>
    <w:uiPriority w:val="99"/>
    <w:semiHidden/>
    <w:unhideWhenUsed/>
    <w:rsid w:val="00A11434"/>
    <w:rPr>
      <w:sz w:val="20"/>
      <w:szCs w:val="20"/>
    </w:rPr>
  </w:style>
  <w:style w:type="character" w:customStyle="1" w:styleId="CommentTextChar">
    <w:name w:val="Comment Text Char"/>
    <w:basedOn w:val="DefaultParagraphFont"/>
    <w:link w:val="CommentText"/>
    <w:uiPriority w:val="99"/>
    <w:semiHidden/>
    <w:rsid w:val="00A11434"/>
    <w:rPr>
      <w:rFonts w:ascii="Arial" w:eastAsia="Times New Roman" w:hAnsi="Arial" w:cs="Times New Roman"/>
      <w:sz w:val="20"/>
      <w:szCs w:val="20"/>
    </w:rPr>
  </w:style>
  <w:style w:type="paragraph" w:customStyle="1" w:styleId="SecurityClassification">
    <w:name w:val="Security Classification"/>
    <w:basedOn w:val="Normal"/>
    <w:link w:val="SecurityClassificationChar"/>
    <w:rsid w:val="00A11434"/>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A11434"/>
    <w:rPr>
      <w:rFonts w:ascii="Arial" w:eastAsia="Times New Roman" w:hAnsi="Arial" w:cs="Arial"/>
      <w:b/>
      <w:color w:val="FF0000"/>
      <w:sz w:val="24"/>
      <w:szCs w:val="24"/>
    </w:rPr>
  </w:style>
  <w:style w:type="paragraph" w:customStyle="1" w:styleId="APRANORMAL">
    <w:name w:val="APRA NORMAL"/>
    <w:basedOn w:val="Normal"/>
    <w:link w:val="APRANORMALChar"/>
    <w:qFormat/>
    <w:rsid w:val="00A372B7"/>
    <w:pPr>
      <w:jc w:val="left"/>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A372B7"/>
    <w:rPr>
      <w:rFonts w:ascii="DIN OT Light" w:eastAsiaTheme="minorHAnsi" w:hAnsi="DIN OT Light" w:cs="Times New Roman"/>
      <w:lang w:val="en-GB" w:eastAsia="en-US"/>
    </w:rPr>
  </w:style>
  <w:style w:type="paragraph" w:styleId="CommentSubject">
    <w:name w:val="annotation subject"/>
    <w:basedOn w:val="CommentText"/>
    <w:next w:val="CommentText"/>
    <w:link w:val="CommentSubjectChar"/>
    <w:uiPriority w:val="99"/>
    <w:semiHidden/>
    <w:unhideWhenUsed/>
    <w:rsid w:val="009511EF"/>
    <w:rPr>
      <w:b/>
      <w:bCs/>
    </w:rPr>
  </w:style>
  <w:style w:type="character" w:customStyle="1" w:styleId="CommentSubjectChar">
    <w:name w:val="Comment Subject Char"/>
    <w:basedOn w:val="CommentTextChar"/>
    <w:link w:val="CommentSubject"/>
    <w:uiPriority w:val="99"/>
    <w:semiHidden/>
    <w:rsid w:val="009511EF"/>
    <w:rPr>
      <w:rFonts w:ascii="Arial" w:eastAsia="Times New Roman" w:hAnsi="Arial" w:cs="Times New Roman"/>
      <w:b/>
      <w:bCs/>
      <w:sz w:val="20"/>
      <w:szCs w:val="20"/>
    </w:rPr>
  </w:style>
  <w:style w:type="paragraph" w:customStyle="1" w:styleId="Heading2Numbers">
    <w:name w:val="Heading 2 Numbers"/>
    <w:basedOn w:val="Heading2"/>
    <w:next w:val="Normal"/>
    <w:uiPriority w:val="9"/>
    <w:qFormat/>
    <w:rsid w:val="00F413E1"/>
    <w:pPr>
      <w:keepLines/>
      <w:tabs>
        <w:tab w:val="num" w:pos="2268"/>
      </w:tabs>
      <w:spacing w:before="320"/>
      <w:ind w:left="851" w:hanging="851"/>
      <w:jc w:val="left"/>
    </w:pPr>
    <w:rPr>
      <w:rFonts w:ascii="DIN OT Medium" w:eastAsiaTheme="majorEastAsia" w:hAnsi="DIN OT Medium" w:cstheme="majorBidi"/>
      <w:b w:val="0"/>
      <w:bCs w:val="0"/>
      <w:iCs w:val="0"/>
      <w:color w:val="1F497D" w:themeColor="text2"/>
      <w:sz w:val="30"/>
      <w:szCs w:val="26"/>
      <w:lang w:eastAsia="en-US"/>
    </w:rPr>
  </w:style>
  <w:style w:type="character" w:customStyle="1" w:styleId="ListParagraphChar">
    <w:name w:val="List Paragraph Char"/>
    <w:basedOn w:val="DefaultParagraphFont"/>
    <w:link w:val="ListParagraph"/>
    <w:uiPriority w:val="34"/>
    <w:rsid w:val="00F413E1"/>
    <w:rPr>
      <w:rFonts w:ascii="Arial" w:eastAsia="Times New Roman" w:hAnsi="Arial" w:cs="Times New Roman"/>
      <w:szCs w:val="24"/>
    </w:rPr>
  </w:style>
  <w:style w:type="paragraph" w:styleId="Revision">
    <w:name w:val="Revision"/>
    <w:hidden/>
    <w:uiPriority w:val="99"/>
    <w:semiHidden/>
    <w:rsid w:val="00D51616"/>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9314">
      <w:bodyDiv w:val="1"/>
      <w:marLeft w:val="0"/>
      <w:marRight w:val="0"/>
      <w:marTop w:val="0"/>
      <w:marBottom w:val="0"/>
      <w:divBdr>
        <w:top w:val="none" w:sz="0" w:space="0" w:color="auto"/>
        <w:left w:val="none" w:sz="0" w:space="0" w:color="auto"/>
        <w:bottom w:val="none" w:sz="0" w:space="0" w:color="auto"/>
        <w:right w:val="none" w:sz="0" w:space="0" w:color="auto"/>
      </w:divBdr>
    </w:div>
    <w:div w:id="623923462">
      <w:bodyDiv w:val="1"/>
      <w:marLeft w:val="0"/>
      <w:marRight w:val="0"/>
      <w:marTop w:val="0"/>
      <w:marBottom w:val="0"/>
      <w:divBdr>
        <w:top w:val="none" w:sz="0" w:space="0" w:color="auto"/>
        <w:left w:val="none" w:sz="0" w:space="0" w:color="auto"/>
        <w:bottom w:val="none" w:sz="0" w:space="0" w:color="auto"/>
        <w:right w:val="none" w:sz="0" w:space="0" w:color="auto"/>
      </w:divBdr>
    </w:div>
    <w:div w:id="686055813">
      <w:bodyDiv w:val="1"/>
      <w:marLeft w:val="0"/>
      <w:marRight w:val="0"/>
      <w:marTop w:val="0"/>
      <w:marBottom w:val="0"/>
      <w:divBdr>
        <w:top w:val="none" w:sz="0" w:space="0" w:color="auto"/>
        <w:left w:val="none" w:sz="0" w:space="0" w:color="auto"/>
        <w:bottom w:val="none" w:sz="0" w:space="0" w:color="auto"/>
        <w:right w:val="none" w:sz="0" w:space="0" w:color="auto"/>
      </w:divBdr>
    </w:div>
    <w:div w:id="744380546">
      <w:bodyDiv w:val="1"/>
      <w:marLeft w:val="0"/>
      <w:marRight w:val="0"/>
      <w:marTop w:val="0"/>
      <w:marBottom w:val="0"/>
      <w:divBdr>
        <w:top w:val="none" w:sz="0" w:space="0" w:color="auto"/>
        <w:left w:val="none" w:sz="0" w:space="0" w:color="auto"/>
        <w:bottom w:val="none" w:sz="0" w:space="0" w:color="auto"/>
        <w:right w:val="none" w:sz="0" w:space="0" w:color="auto"/>
      </w:divBdr>
    </w:div>
    <w:div w:id="1229269924">
      <w:bodyDiv w:val="1"/>
      <w:marLeft w:val="0"/>
      <w:marRight w:val="0"/>
      <w:marTop w:val="0"/>
      <w:marBottom w:val="0"/>
      <w:divBdr>
        <w:top w:val="none" w:sz="0" w:space="0" w:color="auto"/>
        <w:left w:val="none" w:sz="0" w:space="0" w:color="auto"/>
        <w:bottom w:val="none" w:sz="0" w:space="0" w:color="auto"/>
        <w:right w:val="none" w:sz="0" w:space="0" w:color="auto"/>
      </w:divBdr>
    </w:div>
    <w:div w:id="151488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rba.gov.au/publications/fsr/2019/oct/australian-financial-system.html" TargetMode="External"/><Relationship Id="rId2" Type="http://schemas.openxmlformats.org/officeDocument/2006/relationships/hyperlink" Target="https://rbm.obpr.gov.au/home.aspx" TargetMode="External"/><Relationship Id="rId1" Type="http://schemas.openxmlformats.org/officeDocument/2006/relationships/hyperlink" Target="https://www.apra.gov.au/consultation-on-remuneration-requirements-for-all-apra-regulated-entit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2021-08-31T04:37:00Z</dcterms:created>
  <dcterms:modified xsi:type="dcterms:W3CDTF">2021-08-31T04:38:00Z</dcterms:modified>
  <cp:category/>
</cp:coreProperties>
</file>