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D1CD8" w14:textId="77777777" w:rsidR="00B35C0C" w:rsidRPr="0014261E" w:rsidRDefault="009D24CA" w:rsidP="00974D68">
      <w:pPr>
        <w:pStyle w:val="Title"/>
        <w:rPr>
          <w:sz w:val="36"/>
          <w:szCs w:val="36"/>
        </w:rPr>
      </w:pPr>
      <w:bookmarkStart w:id="0" w:name="_Toc19023741"/>
      <w:bookmarkStart w:id="1" w:name="_Toc19107846"/>
      <w:r w:rsidRPr="0014261E">
        <w:rPr>
          <w:sz w:val="36"/>
          <w:szCs w:val="36"/>
        </w:rPr>
        <w:t>Fuel</w:t>
      </w:r>
      <w:r w:rsidR="00974D68" w:rsidRPr="0014261E">
        <w:rPr>
          <w:sz w:val="36"/>
          <w:szCs w:val="36"/>
        </w:rPr>
        <w:t xml:space="preserve"> Security RIS</w:t>
      </w:r>
      <w:bookmarkEnd w:id="0"/>
      <w:bookmarkEnd w:id="1"/>
      <w:r w:rsidR="00A720C5" w:rsidRPr="0014261E">
        <w:rPr>
          <w:sz w:val="36"/>
          <w:szCs w:val="36"/>
        </w:rPr>
        <w:t xml:space="preserve"> – Addendum in relation to Fuel Securi</w:t>
      </w:r>
      <w:r w:rsidR="00E12E92" w:rsidRPr="0014261E">
        <w:rPr>
          <w:sz w:val="36"/>
          <w:szCs w:val="36"/>
        </w:rPr>
        <w:t>ty Services Payment (FSSP) Rule</w:t>
      </w:r>
      <w:r w:rsidR="0014261E" w:rsidRPr="0014261E">
        <w:rPr>
          <w:sz w:val="36"/>
          <w:szCs w:val="36"/>
        </w:rPr>
        <w:t xml:space="preserve"> and Petroleum and Other Fuels Reporting (POFR) Amendment FSSP Rule</w:t>
      </w:r>
    </w:p>
    <w:p w14:paraId="29584D02" w14:textId="77777777" w:rsidR="00491E4E" w:rsidRDefault="00491E4E" w:rsidP="00491E4E">
      <w:pPr>
        <w:pStyle w:val="Heading4"/>
      </w:pPr>
      <w:r>
        <w:t>Outline</w:t>
      </w:r>
    </w:p>
    <w:p w14:paraId="3B8F0498" w14:textId="77777777" w:rsidR="007C57B3" w:rsidRDefault="00491E4E" w:rsidP="00153C15">
      <w:r>
        <w:t xml:space="preserve">On </w:t>
      </w:r>
      <w:r w:rsidR="00C43E97">
        <w:t>26 May 2021</w:t>
      </w:r>
      <w:r>
        <w:t>, the Government published a Regulation Impact Statement (RIS)</w:t>
      </w:r>
      <w:r w:rsidR="00F35237">
        <w:t xml:space="preserve"> attached</w:t>
      </w:r>
      <w:r>
        <w:t xml:space="preserve"> </w:t>
      </w:r>
      <w:r w:rsidR="00BA2207">
        <w:t>to</w:t>
      </w:r>
      <w:r>
        <w:t xml:space="preserve"> the </w:t>
      </w:r>
      <w:r w:rsidRPr="00D17EC6">
        <w:rPr>
          <w:i/>
        </w:rPr>
        <w:t xml:space="preserve">Fuel Security </w:t>
      </w:r>
      <w:r w:rsidR="00D17EC6" w:rsidRPr="00D17EC6">
        <w:rPr>
          <w:i/>
        </w:rPr>
        <w:t xml:space="preserve">Act </w:t>
      </w:r>
      <w:r w:rsidRPr="00D17EC6">
        <w:rPr>
          <w:i/>
        </w:rPr>
        <w:t>2021</w:t>
      </w:r>
      <w:r w:rsidR="004C5B13">
        <w:t xml:space="preserve"> </w:t>
      </w:r>
      <w:r w:rsidR="00D17EC6">
        <w:t>(the Act</w:t>
      </w:r>
      <w:r w:rsidR="003478F2">
        <w:t>)</w:t>
      </w:r>
      <w:r>
        <w:t xml:space="preserve">. This RIS addendum provides additional information and analysis </w:t>
      </w:r>
      <w:r w:rsidR="00DD3EBD">
        <w:t xml:space="preserve">on </w:t>
      </w:r>
      <w:r w:rsidR="001110BA">
        <w:t xml:space="preserve">one measure of </w:t>
      </w:r>
      <w:r>
        <w:t xml:space="preserve">the </w:t>
      </w:r>
      <w:r w:rsidR="00D17EC6">
        <w:t>Act</w:t>
      </w:r>
      <w:r w:rsidR="001110BA">
        <w:t xml:space="preserve">, the </w:t>
      </w:r>
      <w:r>
        <w:t>Fuel Security Services Payment (FSSP).</w:t>
      </w:r>
      <w:r w:rsidR="00A13174">
        <w:t xml:space="preserve"> </w:t>
      </w:r>
      <w:r w:rsidR="00731563">
        <w:t xml:space="preserve">The addendum addresses the </w:t>
      </w:r>
      <w:r w:rsidR="007C57B3">
        <w:t xml:space="preserve">estimated </w:t>
      </w:r>
      <w:r w:rsidR="00282315">
        <w:t xml:space="preserve">regulatory </w:t>
      </w:r>
      <w:r w:rsidR="00731563">
        <w:t>costs and benefits associa</w:t>
      </w:r>
      <w:r w:rsidR="00282315">
        <w:t xml:space="preserve">ted </w:t>
      </w:r>
      <w:r w:rsidR="00A54966">
        <w:t>with the FSSP</w:t>
      </w:r>
      <w:r w:rsidR="007C57B3">
        <w:t xml:space="preserve"> to affected entities. </w:t>
      </w:r>
    </w:p>
    <w:p w14:paraId="78B00C4A" w14:textId="77777777" w:rsidR="00491E4E" w:rsidRDefault="00206FC3" w:rsidP="00153C15">
      <w:r>
        <w:t>T</w:t>
      </w:r>
      <w:r w:rsidR="007C57B3">
        <w:t xml:space="preserve">his addendum notes that </w:t>
      </w:r>
      <w:r w:rsidR="00CD03EC">
        <w:t xml:space="preserve">the </w:t>
      </w:r>
      <w:r w:rsidR="007C57B3">
        <w:t xml:space="preserve">regulatory </w:t>
      </w:r>
      <w:r w:rsidR="00CD03EC">
        <w:t xml:space="preserve">costs </w:t>
      </w:r>
      <w:r w:rsidR="007C57B3">
        <w:t>will</w:t>
      </w:r>
      <w:r w:rsidR="00CD03EC">
        <w:t xml:space="preserve"> be min</w:t>
      </w:r>
      <w:r w:rsidR="007C57B3">
        <w:t>or</w:t>
      </w:r>
      <w:r w:rsidR="00CD03EC">
        <w:t xml:space="preserve"> </w:t>
      </w:r>
      <w:r w:rsidR="007C57B3">
        <w:t xml:space="preserve">in comparison </w:t>
      </w:r>
      <w:r w:rsidR="00CD03EC">
        <w:t xml:space="preserve">to the </w:t>
      </w:r>
      <w:r w:rsidR="007C57B3">
        <w:t xml:space="preserve">financial support and </w:t>
      </w:r>
      <w:r w:rsidR="00CD03EC">
        <w:t>benefit</w:t>
      </w:r>
      <w:r w:rsidR="007C57B3">
        <w:t>s</w:t>
      </w:r>
      <w:r w:rsidR="00CD03EC">
        <w:t xml:space="preserve"> </w:t>
      </w:r>
      <w:r w:rsidR="007C57B3">
        <w:t xml:space="preserve">that will be received by </w:t>
      </w:r>
      <w:r w:rsidR="00CD03EC">
        <w:t xml:space="preserve">affected entities. </w:t>
      </w:r>
      <w:r w:rsidR="00282315">
        <w:t xml:space="preserve">  </w:t>
      </w:r>
    </w:p>
    <w:p w14:paraId="14D46141" w14:textId="77777777" w:rsidR="007C57B3" w:rsidRPr="007C57B3" w:rsidRDefault="007C57B3" w:rsidP="005338E4">
      <w:pPr>
        <w:spacing w:after="40"/>
        <w:rPr>
          <w:u w:val="single"/>
        </w:rPr>
      </w:pPr>
      <w:r w:rsidRPr="007C57B3">
        <w:rPr>
          <w:u w:val="single"/>
        </w:rPr>
        <w:t>About the FSSP</w:t>
      </w:r>
    </w:p>
    <w:p w14:paraId="32A3C385" w14:textId="000B9FE6" w:rsidR="007C57B3" w:rsidRDefault="00EF778A" w:rsidP="00153C15">
      <w:r w:rsidRPr="00EF778A">
        <w:t>The Government’s FSSP</w:t>
      </w:r>
      <w:r w:rsidR="001110BA">
        <w:t xml:space="preserve"> </w:t>
      </w:r>
      <w:r w:rsidR="007C57B3">
        <w:t xml:space="preserve">measure </w:t>
      </w:r>
      <w:r w:rsidR="001110BA">
        <w:t>intends</w:t>
      </w:r>
      <w:r w:rsidRPr="00EF778A">
        <w:t xml:space="preserve"> to </w:t>
      </w:r>
      <w:r w:rsidR="001110BA">
        <w:t xml:space="preserve">support and </w:t>
      </w:r>
      <w:r w:rsidRPr="00EF778A">
        <w:t xml:space="preserve">maintain an onshore, sovereign refining capability </w:t>
      </w:r>
      <w:r w:rsidR="001110BA">
        <w:t xml:space="preserve">by providing a </w:t>
      </w:r>
      <w:r w:rsidR="00137746">
        <w:t xml:space="preserve">capped </w:t>
      </w:r>
      <w:r w:rsidR="001110BA">
        <w:t>production payment to refineries on a cent per litre basis</w:t>
      </w:r>
      <w:r w:rsidR="00206FC3">
        <w:t xml:space="preserve"> sufficient to ensure they do not make a loss</w:t>
      </w:r>
      <w:r w:rsidR="00A818A9" w:rsidRPr="00A818A9">
        <w:t xml:space="preserve"> </w:t>
      </w:r>
      <w:r w:rsidR="00A818A9" w:rsidRPr="00EF778A">
        <w:t>for primary transport fuels (petrol, diesel and jet fuel)</w:t>
      </w:r>
      <w:r w:rsidR="001110BA">
        <w:t xml:space="preserve">. </w:t>
      </w:r>
      <w:r w:rsidR="007C57B3">
        <w:t xml:space="preserve"> Payments would not be made to refiners during times when they are making a profit. </w:t>
      </w:r>
    </w:p>
    <w:p w14:paraId="4F90950A" w14:textId="77777777" w:rsidR="00EF778A" w:rsidRDefault="001110BA" w:rsidP="00153C15">
      <w:r>
        <w:t>Th</w:t>
      </w:r>
      <w:r w:rsidR="007C57B3">
        <w:t>e FSSP r</w:t>
      </w:r>
      <w:r w:rsidR="00EF778A" w:rsidRPr="00EF778A">
        <w:t>ecogni</w:t>
      </w:r>
      <w:r w:rsidR="007C57B3">
        <w:t>ses</w:t>
      </w:r>
      <w:r w:rsidR="00EF778A" w:rsidRPr="00EF778A">
        <w:t xml:space="preserve"> the </w:t>
      </w:r>
      <w:r>
        <w:t xml:space="preserve">critical role refineries play </w:t>
      </w:r>
      <w:r w:rsidR="00EF778A" w:rsidRPr="00EF778A">
        <w:t>to Australia</w:t>
      </w:r>
      <w:r>
        <w:t>’s fuel security framework</w:t>
      </w:r>
      <w:r w:rsidR="00EF778A" w:rsidRPr="00EF778A">
        <w:t xml:space="preserve">. Other </w:t>
      </w:r>
      <w:r>
        <w:t xml:space="preserve">important </w:t>
      </w:r>
      <w:r w:rsidR="00EF778A" w:rsidRPr="00EF778A">
        <w:t xml:space="preserve">benefits </w:t>
      </w:r>
      <w:r>
        <w:t xml:space="preserve">achieved through the </w:t>
      </w:r>
      <w:r w:rsidR="00EF778A" w:rsidRPr="00EF778A">
        <w:t>FSSP include retain</w:t>
      </w:r>
      <w:r w:rsidR="00F22BBC">
        <w:t>ing jobs in the refinery sector</w:t>
      </w:r>
      <w:r w:rsidR="00EF778A" w:rsidRPr="00EF778A">
        <w:t xml:space="preserve"> and maintaining support for both upstream and downstream sectors</w:t>
      </w:r>
      <w:r w:rsidR="00A13174">
        <w:t>,</w:t>
      </w:r>
      <w:r>
        <w:t xml:space="preserve"> such as </w:t>
      </w:r>
      <w:r w:rsidR="00A13174">
        <w:t xml:space="preserve">the agricultural </w:t>
      </w:r>
      <w:r w:rsidR="00E62177">
        <w:t>industry and the petrochemical industry.</w:t>
      </w:r>
    </w:p>
    <w:p w14:paraId="78B284A9" w14:textId="39CABDF1" w:rsidR="009B7023" w:rsidRDefault="00EF778A" w:rsidP="00153C15">
      <w:r w:rsidRPr="00EF778A">
        <w:t>In return</w:t>
      </w:r>
      <w:r w:rsidR="007C57B3">
        <w:t xml:space="preserve"> for funding support</w:t>
      </w:r>
      <w:r w:rsidR="00CD0524">
        <w:t xml:space="preserve">, </w:t>
      </w:r>
      <w:r w:rsidR="007C57B3">
        <w:t xml:space="preserve">refiners will make a </w:t>
      </w:r>
      <w:r w:rsidRPr="00EF778A">
        <w:t xml:space="preserve">commitment to continue </w:t>
      </w:r>
      <w:r w:rsidR="00CD0524">
        <w:t>refining</w:t>
      </w:r>
      <w:r w:rsidRPr="00EF778A">
        <w:t xml:space="preserve"> until at least 30 June 2027</w:t>
      </w:r>
      <w:r w:rsidR="00A818A9">
        <w:t>,</w:t>
      </w:r>
      <w:r w:rsidRPr="00EF778A">
        <w:t xml:space="preserve"> wi</w:t>
      </w:r>
      <w:r w:rsidR="007C57B3">
        <w:t xml:space="preserve">th an option to extend to 2030. </w:t>
      </w:r>
    </w:p>
    <w:p w14:paraId="7398340A" w14:textId="31E5A5A3" w:rsidR="00EF778A" w:rsidRDefault="009B7023" w:rsidP="00153C15">
      <w:r>
        <w:t>T</w:t>
      </w:r>
      <w:r w:rsidR="00EF778A" w:rsidRPr="00EF778A">
        <w:t>h</w:t>
      </w:r>
      <w:r>
        <w:t>e</w:t>
      </w:r>
      <w:r w:rsidR="00EF778A" w:rsidRPr="00EF778A">
        <w:t xml:space="preserve"> </w:t>
      </w:r>
      <w:r>
        <w:t>FSSP will</w:t>
      </w:r>
      <w:r w:rsidR="00EF778A" w:rsidRPr="00EF778A">
        <w:t xml:space="preserve"> be </w:t>
      </w:r>
      <w:r w:rsidR="00A818A9">
        <w:t>variable</w:t>
      </w:r>
      <w:r w:rsidR="00A818A9" w:rsidRPr="00EF778A">
        <w:t xml:space="preserve"> </w:t>
      </w:r>
      <w:r w:rsidR="00EF778A" w:rsidRPr="00EF778A">
        <w:t>and tied to external market conditions, switching on and off to provide support only when refinery margins are poor.</w:t>
      </w:r>
    </w:p>
    <w:p w14:paraId="31114C29" w14:textId="77777777" w:rsidR="00974D68" w:rsidRDefault="00714CA1" w:rsidP="00974D68">
      <w:pPr>
        <w:pStyle w:val="Heading4"/>
      </w:pPr>
      <w:r>
        <w:t>Requirements</w:t>
      </w:r>
      <w:r w:rsidR="00C43E97">
        <w:t xml:space="preserve"> for applicants receiving </w:t>
      </w:r>
      <w:r w:rsidR="00A720C5">
        <w:t>FSSP</w:t>
      </w:r>
    </w:p>
    <w:p w14:paraId="7FA3835A" w14:textId="5F287E66" w:rsidR="009B7023" w:rsidRPr="009B7023" w:rsidRDefault="009B7023" w:rsidP="00974D68">
      <w:r>
        <w:t xml:space="preserve">The FSSP poses limited ongoing regulatory impost on affected entities. Importantly, it is a voluntary scheme whereby refiners may apply to be included, and in doing so accept the regulatory impost associated under the </w:t>
      </w:r>
      <w:r w:rsidR="009F1EC4" w:rsidRPr="009F1EC4">
        <w:t>Act</w:t>
      </w:r>
      <w:r w:rsidRPr="009F1EC4">
        <w:t xml:space="preserve"> </w:t>
      </w:r>
      <w:r>
        <w:t>and the Fuel Security (Fuel Security Services Payment) Rule 2021</w:t>
      </w:r>
      <w:r w:rsidR="007A04B7">
        <w:t xml:space="preserve"> (the Rule</w:t>
      </w:r>
      <w:r w:rsidR="00137746">
        <w:t>)</w:t>
      </w:r>
      <w:r>
        <w:t>. The anticipated regulatory impost is detailed below.</w:t>
      </w:r>
    </w:p>
    <w:p w14:paraId="3EF31852" w14:textId="77777777" w:rsidR="00A720C5" w:rsidRPr="00A720C5" w:rsidRDefault="00A720C5" w:rsidP="005338E4">
      <w:pPr>
        <w:spacing w:after="40"/>
        <w:rPr>
          <w:u w:val="single"/>
        </w:rPr>
      </w:pPr>
      <w:r w:rsidRPr="00A720C5">
        <w:rPr>
          <w:u w:val="single"/>
        </w:rPr>
        <w:t>Applications</w:t>
      </w:r>
    </w:p>
    <w:p w14:paraId="0EF8C8C0" w14:textId="18F2ED48" w:rsidR="00246B64" w:rsidRDefault="00246B64" w:rsidP="00974D68">
      <w:r>
        <w:t xml:space="preserve">Eligible FSSP </w:t>
      </w:r>
      <w:r w:rsidR="001110BA">
        <w:t xml:space="preserve">industry </w:t>
      </w:r>
      <w:r>
        <w:t>participants will</w:t>
      </w:r>
      <w:r w:rsidR="00A720C5">
        <w:t xml:space="preserve"> be required </w:t>
      </w:r>
      <w:r>
        <w:t xml:space="preserve">to </w:t>
      </w:r>
      <w:r w:rsidR="00137746">
        <w:t xml:space="preserve">make </w:t>
      </w:r>
      <w:r>
        <w:t xml:space="preserve">a one-off application </w:t>
      </w:r>
      <w:r w:rsidR="00553FA2">
        <w:t xml:space="preserve">to </w:t>
      </w:r>
      <w:r w:rsidR="00137746">
        <w:t xml:space="preserve">be approved by the relevant Minister to </w:t>
      </w:r>
      <w:r w:rsidR="00553FA2">
        <w:t>re</w:t>
      </w:r>
      <w:r w:rsidR="00477445">
        <w:t xml:space="preserve">ceive the </w:t>
      </w:r>
      <w:r w:rsidR="00CD0524">
        <w:t>support</w:t>
      </w:r>
      <w:r w:rsidR="00477445">
        <w:t>. Applica</w:t>
      </w:r>
      <w:r w:rsidR="00CD0524">
        <w:t>nts</w:t>
      </w:r>
      <w:r w:rsidR="00477445">
        <w:t xml:space="preserve"> </w:t>
      </w:r>
      <w:r w:rsidR="00137746">
        <w:t xml:space="preserve">will have to </w:t>
      </w:r>
      <w:r w:rsidR="00477445">
        <w:t>adhere</w:t>
      </w:r>
      <w:r w:rsidR="004C5B13">
        <w:t xml:space="preserve"> to certain </w:t>
      </w:r>
      <w:r w:rsidR="004F1CCC">
        <w:t>criteria</w:t>
      </w:r>
      <w:r w:rsidR="004C5B13">
        <w:t xml:space="preserve"> </w:t>
      </w:r>
      <w:r w:rsidR="009509C7">
        <w:t xml:space="preserve">prescribed by the </w:t>
      </w:r>
      <w:r w:rsidR="00A152D9">
        <w:t xml:space="preserve">Act </w:t>
      </w:r>
      <w:r w:rsidR="009509C7">
        <w:t xml:space="preserve">and the </w:t>
      </w:r>
      <w:r w:rsidR="008405AE">
        <w:t>Rule</w:t>
      </w:r>
      <w:r w:rsidR="00477445">
        <w:t>, including</w:t>
      </w:r>
      <w:r w:rsidR="00010F9A">
        <w:t xml:space="preserve"> </w:t>
      </w:r>
      <w:r w:rsidR="001110BA">
        <w:t xml:space="preserve">but not limited to </w:t>
      </w:r>
      <w:r w:rsidR="004C5B13">
        <w:t xml:space="preserve">providing </w:t>
      </w:r>
      <w:r w:rsidR="009B7023">
        <w:t>basic business details of the entity</w:t>
      </w:r>
      <w:r w:rsidR="00A96C07">
        <w:t>,</w:t>
      </w:r>
      <w:r w:rsidR="004C5B13">
        <w:t xml:space="preserve"> </w:t>
      </w:r>
      <w:r w:rsidR="00901C5E">
        <w:t xml:space="preserve">historical </w:t>
      </w:r>
      <w:r w:rsidR="001110BA">
        <w:t xml:space="preserve">data on </w:t>
      </w:r>
      <w:r w:rsidR="00010F9A">
        <w:t xml:space="preserve">refining </w:t>
      </w:r>
      <w:r w:rsidR="00901C5E">
        <w:t>of FSSP fuel</w:t>
      </w:r>
      <w:r w:rsidR="001110BA">
        <w:t>s</w:t>
      </w:r>
      <w:r w:rsidR="00477445">
        <w:t xml:space="preserve">, </w:t>
      </w:r>
      <w:r w:rsidR="00B466C7">
        <w:t xml:space="preserve">and </w:t>
      </w:r>
      <w:r w:rsidR="00351475">
        <w:t xml:space="preserve">either </w:t>
      </w:r>
      <w:r w:rsidR="009509C7">
        <w:t>a security</w:t>
      </w:r>
      <w:r w:rsidR="00B466C7">
        <w:t xml:space="preserve"> from their parent companies</w:t>
      </w:r>
      <w:r w:rsidR="00206FC3">
        <w:t xml:space="preserve"> or a bank guarantee</w:t>
      </w:r>
      <w:r w:rsidR="003F26C8">
        <w:t xml:space="preserve"> </w:t>
      </w:r>
      <w:r w:rsidR="009509C7">
        <w:t xml:space="preserve">in relation to the </w:t>
      </w:r>
      <w:r w:rsidR="009B7023">
        <w:t xml:space="preserve">commitment to </w:t>
      </w:r>
      <w:r w:rsidR="009509C7">
        <w:t>fulfil</w:t>
      </w:r>
      <w:r w:rsidR="009B7023">
        <w:t xml:space="preserve"> </w:t>
      </w:r>
      <w:r w:rsidR="009509C7">
        <w:t>repayment obligation</w:t>
      </w:r>
      <w:r w:rsidR="001110BA">
        <w:t xml:space="preserve">s under the </w:t>
      </w:r>
      <w:r w:rsidR="00A152D9">
        <w:t>Act</w:t>
      </w:r>
      <w:r w:rsidR="00B466C7">
        <w:t>.</w:t>
      </w:r>
    </w:p>
    <w:p w14:paraId="793A21BF" w14:textId="77777777" w:rsidR="009B7023" w:rsidRDefault="009B7023" w:rsidP="00974D68">
      <w:pPr>
        <w:rPr>
          <w:u w:val="single"/>
        </w:rPr>
      </w:pPr>
    </w:p>
    <w:p w14:paraId="462D9ED6" w14:textId="77777777" w:rsidR="001B4DB4" w:rsidRDefault="001B4DB4" w:rsidP="00974D68">
      <w:pPr>
        <w:rPr>
          <w:u w:val="single"/>
        </w:rPr>
      </w:pPr>
    </w:p>
    <w:p w14:paraId="5F335AB9" w14:textId="77777777" w:rsidR="00A720C5" w:rsidRPr="00A720C5" w:rsidRDefault="00A720C5" w:rsidP="005338E4">
      <w:pPr>
        <w:spacing w:after="40"/>
        <w:rPr>
          <w:u w:val="single"/>
        </w:rPr>
      </w:pPr>
      <w:r>
        <w:rPr>
          <w:u w:val="single"/>
        </w:rPr>
        <w:t>Re</w:t>
      </w:r>
      <w:r w:rsidRPr="00A720C5">
        <w:rPr>
          <w:u w:val="single"/>
        </w:rPr>
        <w:t>porting</w:t>
      </w:r>
      <w:r>
        <w:rPr>
          <w:u w:val="single"/>
        </w:rPr>
        <w:t xml:space="preserve"> and payments</w:t>
      </w:r>
    </w:p>
    <w:p w14:paraId="502C4306" w14:textId="77777777" w:rsidR="009B7023" w:rsidRDefault="009B7023" w:rsidP="00974D68">
      <w:r>
        <w:t>If</w:t>
      </w:r>
      <w:r w:rsidR="003E384B">
        <w:t xml:space="preserve"> </w:t>
      </w:r>
      <w:r w:rsidR="001110BA">
        <w:t>approved</w:t>
      </w:r>
      <w:r w:rsidR="003E384B">
        <w:t>, r</w:t>
      </w:r>
      <w:r w:rsidR="001110BA">
        <w:t>efiner</w:t>
      </w:r>
      <w:r w:rsidR="00E423A7">
        <w:t xml:space="preserve">s will be required to report production volumes of FSSP fuels to receive </w:t>
      </w:r>
      <w:r w:rsidR="00CD0524">
        <w:t xml:space="preserve">a </w:t>
      </w:r>
      <w:r>
        <w:t xml:space="preserve">quarterly </w:t>
      </w:r>
      <w:r w:rsidR="005D64CC">
        <w:t>payment</w:t>
      </w:r>
      <w:r>
        <w:t xml:space="preserve"> (subject to profit margins)</w:t>
      </w:r>
      <w:r w:rsidR="00E423A7">
        <w:t xml:space="preserve">. The report must be </w:t>
      </w:r>
      <w:r w:rsidR="00CD0524">
        <w:t xml:space="preserve">provided </w:t>
      </w:r>
      <w:r w:rsidR="00E423A7">
        <w:t xml:space="preserve">to the Secretary </w:t>
      </w:r>
      <w:r w:rsidR="00137746">
        <w:t xml:space="preserve">shortly </w:t>
      </w:r>
      <w:r w:rsidR="00E423A7">
        <w:t>after th</w:t>
      </w:r>
      <w:r w:rsidR="002C2D2A">
        <w:t>e end of each quarter</w:t>
      </w:r>
      <w:r w:rsidR="00E423A7">
        <w:t xml:space="preserve">. </w:t>
      </w:r>
    </w:p>
    <w:p w14:paraId="4D141286" w14:textId="77777777" w:rsidR="00E423A7" w:rsidRDefault="00E423A7" w:rsidP="00974D68">
      <w:r>
        <w:t xml:space="preserve">Given </w:t>
      </w:r>
      <w:r w:rsidR="003E384B">
        <w:t>refiners</w:t>
      </w:r>
      <w:r>
        <w:t xml:space="preserve"> </w:t>
      </w:r>
      <w:r w:rsidR="00CD0524">
        <w:t>can leverage</w:t>
      </w:r>
      <w:r>
        <w:t xml:space="preserve"> </w:t>
      </w:r>
      <w:r w:rsidR="003E384B">
        <w:t xml:space="preserve">monthly </w:t>
      </w:r>
      <w:r>
        <w:t xml:space="preserve">production data </w:t>
      </w:r>
      <w:r w:rsidR="003E384B">
        <w:t>they</w:t>
      </w:r>
      <w:r w:rsidR="00A720C5">
        <w:t xml:space="preserve"> </w:t>
      </w:r>
      <w:r w:rsidR="00CD0524">
        <w:t xml:space="preserve">currently </w:t>
      </w:r>
      <w:r w:rsidR="003E384B">
        <w:t xml:space="preserve">report </w:t>
      </w:r>
      <w:r>
        <w:t xml:space="preserve">under the </w:t>
      </w:r>
      <w:r w:rsidRPr="00E85FFC">
        <w:rPr>
          <w:i/>
        </w:rPr>
        <w:t>Petroleum and Other Fuels Reporting Act 2017</w:t>
      </w:r>
      <w:r>
        <w:t xml:space="preserve"> (POFR Act)</w:t>
      </w:r>
      <w:r w:rsidR="002C2D2A">
        <w:t xml:space="preserve"> to </w:t>
      </w:r>
      <w:r w:rsidR="005D64CC">
        <w:t>prepare</w:t>
      </w:r>
      <w:r w:rsidR="002C2D2A">
        <w:t xml:space="preserve"> </w:t>
      </w:r>
      <w:r w:rsidR="003A76BF">
        <w:t>the FSSP</w:t>
      </w:r>
      <w:r w:rsidR="002C2D2A">
        <w:t xml:space="preserve"> quarterly report, </w:t>
      </w:r>
      <w:r w:rsidR="003A76BF">
        <w:t xml:space="preserve">the </w:t>
      </w:r>
      <w:r w:rsidR="002C2D2A">
        <w:t>additional reporting burden is expected to be minimal.</w:t>
      </w:r>
      <w:r>
        <w:t xml:space="preserve"> </w:t>
      </w:r>
    </w:p>
    <w:p w14:paraId="16177440" w14:textId="35716E2D" w:rsidR="003A518D" w:rsidRDefault="00D1175A" w:rsidP="00B466C7">
      <w:r>
        <w:t xml:space="preserve">Approved </w:t>
      </w:r>
      <w:r w:rsidR="00B466C7">
        <w:t xml:space="preserve">FSSP </w:t>
      </w:r>
      <w:r>
        <w:t>participants</w:t>
      </w:r>
      <w:r w:rsidR="00B466C7">
        <w:t xml:space="preserve"> will be paid quarterly in arrears. The </w:t>
      </w:r>
      <w:r w:rsidR="005D64CC">
        <w:t xml:space="preserve">FSSP </w:t>
      </w:r>
      <w:r w:rsidR="00B466C7">
        <w:t>payment rate will be calculated</w:t>
      </w:r>
      <w:r w:rsidR="009B7023">
        <w:t xml:space="preserve"> by the Department of Industry, Science</w:t>
      </w:r>
      <w:r w:rsidR="00F57F84">
        <w:t>,</w:t>
      </w:r>
      <w:r w:rsidR="009B7023">
        <w:t xml:space="preserve"> Energy and Re</w:t>
      </w:r>
      <w:r w:rsidR="00F57F84">
        <w:t>sourc</w:t>
      </w:r>
      <w:r w:rsidR="009B7023">
        <w:t>es</w:t>
      </w:r>
      <w:r w:rsidR="00351475">
        <w:t>,</w:t>
      </w:r>
      <w:r w:rsidR="009B7023">
        <w:t xml:space="preserve"> </w:t>
      </w:r>
      <w:r w:rsidR="00351475">
        <w:t xml:space="preserve">in accordance with the method prescribed by the </w:t>
      </w:r>
      <w:r w:rsidR="008405AE">
        <w:t>Rule</w:t>
      </w:r>
      <w:r w:rsidR="00351475">
        <w:t xml:space="preserve">, </w:t>
      </w:r>
      <w:r w:rsidR="00B466C7">
        <w:t>at the end of each quarter</w:t>
      </w:r>
      <w:r w:rsidR="00351475">
        <w:t>. The rate will</w:t>
      </w:r>
      <w:r w:rsidR="003E384B">
        <w:t xml:space="preserve"> applied to </w:t>
      </w:r>
      <w:r w:rsidR="00B466C7">
        <w:t>the prod</w:t>
      </w:r>
      <w:r w:rsidR="003E384B">
        <w:t xml:space="preserve">uction volumes of FSSP fuels the refiner </w:t>
      </w:r>
      <w:r w:rsidR="00B466C7">
        <w:t>produce</w:t>
      </w:r>
      <w:r w:rsidR="003E384B">
        <w:t>d</w:t>
      </w:r>
      <w:r w:rsidR="00137746">
        <w:t xml:space="preserve"> during that period</w:t>
      </w:r>
      <w:r w:rsidR="00B466C7">
        <w:t>.</w:t>
      </w:r>
    </w:p>
    <w:p w14:paraId="1CD37F5D" w14:textId="77777777" w:rsidR="00EC4637" w:rsidRDefault="00E423A7" w:rsidP="00974D68">
      <w:r>
        <w:t xml:space="preserve">Additionally, </w:t>
      </w:r>
      <w:r w:rsidR="00D1175A">
        <w:t xml:space="preserve">it is intended that </w:t>
      </w:r>
      <w:r w:rsidR="003E384B">
        <w:t xml:space="preserve">refiners will be required to submit </w:t>
      </w:r>
      <w:r>
        <w:t>an audit report</w:t>
      </w:r>
      <w:r w:rsidR="00EC4637">
        <w:t xml:space="preserve"> </w:t>
      </w:r>
      <w:r w:rsidR="003A76BF">
        <w:t xml:space="preserve">by 30 September 2022 </w:t>
      </w:r>
      <w:r>
        <w:t xml:space="preserve">for </w:t>
      </w:r>
      <w:r w:rsidR="00EC4637">
        <w:t xml:space="preserve">the first </w:t>
      </w:r>
      <w:r>
        <w:t>fina</w:t>
      </w:r>
      <w:r w:rsidR="00EC4637">
        <w:t>ncial year</w:t>
      </w:r>
      <w:r w:rsidR="002C2D2A">
        <w:t xml:space="preserve"> </w:t>
      </w:r>
      <w:r w:rsidR="003A76BF">
        <w:t>of payments (</w:t>
      </w:r>
      <w:r w:rsidR="00EC4637">
        <w:t>starting 1 July 2021</w:t>
      </w:r>
      <w:r w:rsidR="003A76BF">
        <w:t>)</w:t>
      </w:r>
      <w:r w:rsidR="00EC4637">
        <w:t xml:space="preserve">. Subsequent audit reports </w:t>
      </w:r>
      <w:r w:rsidR="009678A1">
        <w:t xml:space="preserve">may be required </w:t>
      </w:r>
      <w:r w:rsidR="00EC4637">
        <w:t xml:space="preserve">if </w:t>
      </w:r>
      <w:r w:rsidR="005D64CC">
        <w:t xml:space="preserve">there are concerns about the accuracy of data </w:t>
      </w:r>
      <w:r w:rsidR="00EC4637" w:rsidRPr="00E443D0">
        <w:t>reported under the POFR Act.</w:t>
      </w:r>
      <w:r w:rsidR="00EC4637">
        <w:t xml:space="preserve"> </w:t>
      </w:r>
    </w:p>
    <w:p w14:paraId="78C9CA87" w14:textId="77777777" w:rsidR="00E423A7" w:rsidRDefault="00E423A7" w:rsidP="00974D68">
      <w:r w:rsidRPr="00647CDD">
        <w:t xml:space="preserve">A registered greenhouse and energy auditor must prepare the audit report in accordance with the requirements for reasonable assurance engagements under the </w:t>
      </w:r>
      <w:r w:rsidR="00011206" w:rsidRPr="00011206">
        <w:rPr>
          <w:i/>
        </w:rPr>
        <w:t>National Greenhouse and Energy Reporting (Audit) Determination 2009</w:t>
      </w:r>
      <w:r w:rsidR="00EF64D4">
        <w:t>.</w:t>
      </w:r>
    </w:p>
    <w:p w14:paraId="706BA2A3" w14:textId="77777777" w:rsidR="00974D68" w:rsidRDefault="003A76BF" w:rsidP="00974D68">
      <w:pPr>
        <w:pStyle w:val="Heading4"/>
      </w:pPr>
      <w:r>
        <w:t>N</w:t>
      </w:r>
      <w:r w:rsidR="00974D68">
        <w:t xml:space="preserve">umber of </w:t>
      </w:r>
      <w:r w:rsidR="002013C5">
        <w:t>entities</w:t>
      </w:r>
      <w:r w:rsidR="00974D68">
        <w:t xml:space="preserve"> that would benefit from the</w:t>
      </w:r>
      <w:r w:rsidR="00C02290">
        <w:t xml:space="preserve"> FSSP</w:t>
      </w:r>
    </w:p>
    <w:p w14:paraId="6C4B4252" w14:textId="1045F216" w:rsidR="00974D68" w:rsidRDefault="002278D1" w:rsidP="00974D68">
      <w:r>
        <w:t xml:space="preserve">Under </w:t>
      </w:r>
      <w:r w:rsidR="00137746">
        <w:t xml:space="preserve">eligibility </w:t>
      </w:r>
      <w:r>
        <w:t>arrangements it is likely o</w:t>
      </w:r>
      <w:r w:rsidR="002C718A">
        <w:t>nly</w:t>
      </w:r>
      <w:r w:rsidR="007468E8">
        <w:t xml:space="preserve"> the</w:t>
      </w:r>
      <w:r w:rsidR="002C718A">
        <w:t xml:space="preserve"> tw</w:t>
      </w:r>
      <w:r w:rsidR="00AA5D04">
        <w:t xml:space="preserve">o </w:t>
      </w:r>
      <w:r w:rsidR="007468E8">
        <w:t xml:space="preserve">major oil </w:t>
      </w:r>
      <w:r w:rsidR="00AA5D04">
        <w:t xml:space="preserve">refineries will be eligible for the FSSP. However, the </w:t>
      </w:r>
      <w:r w:rsidR="001B4DB4">
        <w:t xml:space="preserve">Act </w:t>
      </w:r>
      <w:r w:rsidR="003478F2" w:rsidRPr="003478F2">
        <w:t>allow</w:t>
      </w:r>
      <w:r>
        <w:t>s</w:t>
      </w:r>
      <w:r w:rsidR="003478F2" w:rsidRPr="003478F2">
        <w:t xml:space="preserve"> new market entrants to </w:t>
      </w:r>
      <w:r w:rsidR="00647CDD">
        <w:t>receive the FSSP</w:t>
      </w:r>
      <w:r w:rsidR="00FC33C5">
        <w:t xml:space="preserve">, if criteria </w:t>
      </w:r>
      <w:r>
        <w:t>under the</w:t>
      </w:r>
      <w:r w:rsidR="008405AE">
        <w:t xml:space="preserve"> Rule</w:t>
      </w:r>
      <w:r w:rsidR="00447505">
        <w:t xml:space="preserve"> </w:t>
      </w:r>
      <w:r w:rsidR="00FC33C5">
        <w:t>are</w:t>
      </w:r>
      <w:r w:rsidR="003478F2" w:rsidRPr="003478F2">
        <w:t xml:space="preserve"> met.</w:t>
      </w:r>
    </w:p>
    <w:p w14:paraId="1E3C2E6A" w14:textId="77777777" w:rsidR="00282315" w:rsidRDefault="007468E8" w:rsidP="00974D68">
      <w:r>
        <w:t>The two major oil refineries, Ampol and Viva Energy</w:t>
      </w:r>
      <w:r w:rsidR="00647CDD">
        <w:t>,</w:t>
      </w:r>
      <w:r>
        <w:t xml:space="preserve"> </w:t>
      </w:r>
      <w:r w:rsidR="00F0746B">
        <w:t xml:space="preserve">currently </w:t>
      </w:r>
      <w:r>
        <w:t>employ</w:t>
      </w:r>
      <w:r w:rsidR="003478F2">
        <w:t xml:space="preserve"> </w:t>
      </w:r>
      <w:r w:rsidR="00B56353">
        <w:t>an estimated</w:t>
      </w:r>
      <w:r w:rsidR="00647CDD">
        <w:t xml:space="preserve"> </w:t>
      </w:r>
      <w:r w:rsidR="003478F2">
        <w:t xml:space="preserve">1,250 workers. These jobs will </w:t>
      </w:r>
      <w:r w:rsidR="002278D1">
        <w:t xml:space="preserve">benefit from additional security </w:t>
      </w:r>
      <w:r w:rsidR="003478F2">
        <w:t>as a result of the FSSP.</w:t>
      </w:r>
      <w:r>
        <w:t xml:space="preserve"> </w:t>
      </w:r>
    </w:p>
    <w:p w14:paraId="05CD5E45" w14:textId="64A92D1B" w:rsidR="007468E8" w:rsidRDefault="00991425" w:rsidP="00974D68">
      <w:r>
        <w:t xml:space="preserve">In addition, the FSSP will support jobs directly and indirectly in the petrochemical industry. For example, </w:t>
      </w:r>
      <w:r w:rsidR="00731563">
        <w:t xml:space="preserve">the </w:t>
      </w:r>
      <w:r>
        <w:t xml:space="preserve">LyondellBasell polypropylene plant, which </w:t>
      </w:r>
      <w:r w:rsidR="00C868EC">
        <w:t xml:space="preserve">relies </w:t>
      </w:r>
      <w:r>
        <w:t>on Geelong’s Viva ref</w:t>
      </w:r>
      <w:r w:rsidR="00731563">
        <w:t>inery, employs approximately</w:t>
      </w:r>
      <w:r>
        <w:t xml:space="preserve"> 2,055 Australians directly and indirectly.</w:t>
      </w:r>
      <w:r w:rsidR="00282315">
        <w:t xml:space="preserve"> </w:t>
      </w:r>
    </w:p>
    <w:p w14:paraId="32A634AA" w14:textId="77777777" w:rsidR="00974D68" w:rsidRDefault="00974D68" w:rsidP="00974D68">
      <w:pPr>
        <w:pStyle w:val="Heading4"/>
      </w:pPr>
      <w:r>
        <w:t xml:space="preserve">Obligations that would be placed on participating refineries </w:t>
      </w:r>
    </w:p>
    <w:p w14:paraId="2D3F2F0E" w14:textId="77777777" w:rsidR="00553FA2" w:rsidRDefault="00137746" w:rsidP="00974D68">
      <w:r>
        <w:t>The primary ongoing obligation of the scheme requires a</w:t>
      </w:r>
      <w:r w:rsidR="002278D1">
        <w:t xml:space="preserve">pproved FSSP participants </w:t>
      </w:r>
      <w:r>
        <w:t>to</w:t>
      </w:r>
      <w:r w:rsidR="002322B1">
        <w:t xml:space="preserve"> </w:t>
      </w:r>
      <w:r w:rsidR="00DD35CE">
        <w:t xml:space="preserve">commit </w:t>
      </w:r>
      <w:r w:rsidR="002278D1">
        <w:t xml:space="preserve">to </w:t>
      </w:r>
      <w:r w:rsidR="00553FA2">
        <w:t>repay</w:t>
      </w:r>
      <w:r w:rsidR="00DD35CE">
        <w:t xml:space="preserve">ing </w:t>
      </w:r>
      <w:r w:rsidR="00553FA2" w:rsidRPr="00E15ECC">
        <w:t>amounts received if the refinery ceases refining FSSP fuels before the end of their commitment period.</w:t>
      </w:r>
      <w:r w:rsidR="00D43D1F">
        <w:t xml:space="preserve"> Only under </w:t>
      </w:r>
      <w:r w:rsidR="00B56353">
        <w:t>very limited</w:t>
      </w:r>
      <w:r w:rsidR="00096DA5">
        <w:t xml:space="preserve"> </w:t>
      </w:r>
      <w:r>
        <w:t>circumstances</w:t>
      </w:r>
      <w:r w:rsidR="004A0A44">
        <w:t xml:space="preserve">, that have caused </w:t>
      </w:r>
      <w:r w:rsidR="00D43D1F">
        <w:t xml:space="preserve">refineries </w:t>
      </w:r>
      <w:r w:rsidR="004A0A44">
        <w:t>to be operationally or commercially unviable</w:t>
      </w:r>
      <w:r w:rsidR="006A07D5">
        <w:t xml:space="preserve"> </w:t>
      </w:r>
      <w:bookmarkStart w:id="2" w:name="_GoBack"/>
      <w:bookmarkEnd w:id="2"/>
      <w:r w:rsidR="006A07D5">
        <w:t>for a continued period</w:t>
      </w:r>
      <w:r w:rsidR="004A0A44">
        <w:t xml:space="preserve">, refiners will </w:t>
      </w:r>
      <w:r w:rsidR="00D43D1F">
        <w:t>not be required to repay amounts received.</w:t>
      </w:r>
      <w:r w:rsidR="00DD35CE">
        <w:t xml:space="preserve"> </w:t>
      </w:r>
    </w:p>
    <w:p w14:paraId="6BFD08FF" w14:textId="77777777" w:rsidR="002322B1" w:rsidRDefault="002322B1" w:rsidP="00974D68">
      <w:r>
        <w:t>There would be some administration impost on refineries associated with repayments, but only in the</w:t>
      </w:r>
      <w:r w:rsidR="00137746">
        <w:t xml:space="preserve">se unlikely </w:t>
      </w:r>
      <w:r>
        <w:t xml:space="preserve">circumstances as </w:t>
      </w:r>
      <w:r w:rsidR="00137746">
        <w:t>noted</w:t>
      </w:r>
      <w:r>
        <w:t xml:space="preserve"> above.</w:t>
      </w:r>
    </w:p>
    <w:p w14:paraId="654F0177" w14:textId="77777777" w:rsidR="00F35237" w:rsidRDefault="00F35237" w:rsidP="00F35237">
      <w:pPr>
        <w:pStyle w:val="Heading4"/>
      </w:pPr>
      <w:r>
        <w:t>A</w:t>
      </w:r>
      <w:r w:rsidR="004C5B13">
        <w:t xml:space="preserve">nticipated participation costs </w:t>
      </w:r>
      <w:r w:rsidR="00B56353">
        <w:t xml:space="preserve">and benefits </w:t>
      </w:r>
    </w:p>
    <w:p w14:paraId="22F8228D" w14:textId="77777777" w:rsidR="00AC6DD1" w:rsidRDefault="00AC6DD1" w:rsidP="00344389">
      <w:r>
        <w:t>Regulatory and administrative c</w:t>
      </w:r>
      <w:r w:rsidR="00A0543C">
        <w:t xml:space="preserve">osts </w:t>
      </w:r>
      <w:r>
        <w:t xml:space="preserve">for participants are expected to be minimal. The benefits in the form of payments </w:t>
      </w:r>
      <w:r w:rsidR="00B56353">
        <w:t xml:space="preserve">when they are needed, </w:t>
      </w:r>
      <w:r>
        <w:t xml:space="preserve">would significantly outweigh </w:t>
      </w:r>
      <w:r w:rsidR="002322B1">
        <w:t xml:space="preserve">the </w:t>
      </w:r>
      <w:r w:rsidR="00B56353">
        <w:t>regulatory impost</w:t>
      </w:r>
      <w:r w:rsidR="00344389">
        <w:t xml:space="preserve">. </w:t>
      </w:r>
    </w:p>
    <w:p w14:paraId="2452396A" w14:textId="77777777" w:rsidR="00344389" w:rsidRDefault="00A0543C" w:rsidP="00344389">
      <w:r>
        <w:t xml:space="preserve">To reduce the regulatory burden, FSSP production information will be </w:t>
      </w:r>
      <w:r w:rsidR="00AC6DD1">
        <w:t xml:space="preserve">based on data </w:t>
      </w:r>
      <w:r>
        <w:t xml:space="preserve">refiners are </w:t>
      </w:r>
      <w:r w:rsidR="00AC6DD1">
        <w:t xml:space="preserve">already </w:t>
      </w:r>
      <w:r>
        <w:t xml:space="preserve">required to submit under </w:t>
      </w:r>
      <w:r w:rsidR="00CE2573">
        <w:t xml:space="preserve">the </w:t>
      </w:r>
      <w:r>
        <w:t xml:space="preserve">POFR </w:t>
      </w:r>
      <w:r w:rsidR="00CE2573">
        <w:t>Act</w:t>
      </w:r>
      <w:r>
        <w:t xml:space="preserve">, </w:t>
      </w:r>
      <w:r w:rsidR="00CE2573">
        <w:t>as well as the</w:t>
      </w:r>
      <w:r>
        <w:t xml:space="preserve"> </w:t>
      </w:r>
      <w:r w:rsidR="0059284E">
        <w:t xml:space="preserve">additional </w:t>
      </w:r>
      <w:r>
        <w:t>quarterly production report</w:t>
      </w:r>
      <w:r w:rsidR="002322B1">
        <w:t xml:space="preserve"> based on the same or similar information</w:t>
      </w:r>
      <w:r>
        <w:t>.</w:t>
      </w:r>
    </w:p>
    <w:p w14:paraId="3AF9F6FC" w14:textId="77777777" w:rsidR="00FE0067" w:rsidRPr="00344389" w:rsidRDefault="00FE0067" w:rsidP="00344389"/>
    <w:p w14:paraId="01716836" w14:textId="77777777" w:rsidR="004C5B13" w:rsidRPr="004C5B13" w:rsidRDefault="004C5B13" w:rsidP="001B4DB4">
      <w:pPr>
        <w:pStyle w:val="Heading6"/>
      </w:pPr>
      <w:r>
        <w:t>One</w:t>
      </w:r>
      <w:r w:rsidR="007F1EAE">
        <w:t>-</w:t>
      </w:r>
      <w:r>
        <w:t xml:space="preserve">off costs </w:t>
      </w:r>
    </w:p>
    <w:p w14:paraId="76B784C7" w14:textId="77777777" w:rsidR="004C5B13" w:rsidRPr="004C5B13" w:rsidRDefault="004C5B13" w:rsidP="00253E16">
      <w:pPr>
        <w:spacing w:after="40"/>
      </w:pPr>
      <w:r w:rsidRPr="00B91C2A">
        <w:rPr>
          <w:i/>
        </w:rPr>
        <w:t>Applications for the FSSP</w:t>
      </w:r>
      <w:r w:rsidR="00AC6DD1">
        <w:rPr>
          <w:i/>
        </w:rPr>
        <w:t xml:space="preserve"> (anticipated costs)</w:t>
      </w:r>
      <w:r w:rsidRPr="004C5B13">
        <w:t>:</w:t>
      </w:r>
    </w:p>
    <w:p w14:paraId="796DCA17" w14:textId="77777777" w:rsidR="004C5B13" w:rsidRDefault="00744479" w:rsidP="002322B1">
      <w:pPr>
        <w:pStyle w:val="ListParagraph"/>
        <w:numPr>
          <w:ilvl w:val="0"/>
          <w:numId w:val="18"/>
        </w:numPr>
        <w:spacing w:after="120"/>
        <w:ind w:left="714" w:hanging="357"/>
      </w:pPr>
      <w:r>
        <w:t>T</w:t>
      </w:r>
      <w:r w:rsidR="004C5B13" w:rsidRPr="003A108D">
        <w:t xml:space="preserve">he application will </w:t>
      </w:r>
      <w:r w:rsidR="00137746">
        <w:t xml:space="preserve">likely </w:t>
      </w:r>
      <w:r w:rsidR="004C5B13" w:rsidRPr="003A108D">
        <w:t>take one</w:t>
      </w:r>
      <w:r w:rsidR="00AC6DD1">
        <w:t xml:space="preserve"> to two</w:t>
      </w:r>
      <w:r w:rsidR="004C5B13" w:rsidRPr="003A108D">
        <w:t xml:space="preserve"> </w:t>
      </w:r>
      <w:r w:rsidR="00AC6DD1">
        <w:t xml:space="preserve">people </w:t>
      </w:r>
      <w:r w:rsidR="00B56353">
        <w:t xml:space="preserve">up to </w:t>
      </w:r>
      <w:r w:rsidR="004C5B13">
        <w:t xml:space="preserve">one week </w:t>
      </w:r>
      <w:r w:rsidR="004C5B13" w:rsidRPr="003A108D">
        <w:t>(full time) to write the application</w:t>
      </w:r>
      <w:r w:rsidR="002322B1">
        <w:t xml:space="preserve"> and collate supporting materials</w:t>
      </w:r>
      <w:r w:rsidR="00D57AA7">
        <w:t>, including</w:t>
      </w:r>
      <w:r w:rsidR="003755EE">
        <w:t xml:space="preserve"> quality assurance and</w:t>
      </w:r>
      <w:r w:rsidR="00D57AA7">
        <w:t xml:space="preserve"> legal checks</w:t>
      </w:r>
      <w:r w:rsidR="002322B1">
        <w:t xml:space="preserve">. Two eligible </w:t>
      </w:r>
      <w:r w:rsidR="00E16496">
        <w:t xml:space="preserve">refiners will make applications </w:t>
      </w:r>
      <w:r w:rsidR="004C5B13">
        <w:t>(</w:t>
      </w:r>
      <w:r w:rsidR="002322B1">
        <w:t>total up to 140</w:t>
      </w:r>
      <w:r w:rsidR="004C5B13">
        <w:t xml:space="preserve"> hours)</w:t>
      </w:r>
      <w:r w:rsidR="002322B1">
        <w:t>.</w:t>
      </w:r>
    </w:p>
    <w:p w14:paraId="03EECD38" w14:textId="77777777" w:rsidR="004C5B13" w:rsidRDefault="002322B1" w:rsidP="004C5B13">
      <w:pPr>
        <w:pStyle w:val="ListParagraph"/>
        <w:numPr>
          <w:ilvl w:val="0"/>
          <w:numId w:val="18"/>
        </w:numPr>
        <w:spacing w:after="120"/>
        <w:ind w:left="714" w:hanging="357"/>
      </w:pPr>
      <w:r>
        <w:t>S</w:t>
      </w:r>
      <w:r w:rsidR="00901C5E">
        <w:t xml:space="preserve">enior executive </w:t>
      </w:r>
      <w:r>
        <w:t xml:space="preserve">clearances </w:t>
      </w:r>
      <w:r w:rsidR="00901C5E">
        <w:t xml:space="preserve">for </w:t>
      </w:r>
      <w:r w:rsidR="009877C7">
        <w:t>the application</w:t>
      </w:r>
      <w:r>
        <w:t xml:space="preserve"> within each organisation</w:t>
      </w:r>
      <w:r w:rsidR="00FC33C5">
        <w:t>,</w:t>
      </w:r>
      <w:r w:rsidR="009877C7">
        <w:t xml:space="preserve"> </w:t>
      </w:r>
      <w:r w:rsidR="00901C5E">
        <w:t xml:space="preserve">will take around half a day each </w:t>
      </w:r>
      <w:r w:rsidR="00D57AA7">
        <w:t xml:space="preserve">x2 entities </w:t>
      </w:r>
      <w:r w:rsidR="00901C5E">
        <w:t>(</w:t>
      </w:r>
      <w:r>
        <w:t>total up to 8</w:t>
      </w:r>
      <w:r w:rsidR="00901C5E">
        <w:t xml:space="preserve"> hours)</w:t>
      </w:r>
      <w:r w:rsidR="00D57AA7">
        <w:t>.</w:t>
      </w:r>
    </w:p>
    <w:p w14:paraId="7B43905E" w14:textId="77777777" w:rsidR="00E33550" w:rsidRPr="00BE6437" w:rsidRDefault="00E33550" w:rsidP="00901C5E">
      <w:pPr>
        <w:spacing w:after="120"/>
      </w:pPr>
      <w:r w:rsidRPr="00BE6437">
        <w:t xml:space="preserve">Total anticipated costs – approximately </w:t>
      </w:r>
      <w:r w:rsidRPr="00160DB9">
        <w:t>$</w:t>
      </w:r>
      <w:r w:rsidR="000A6F12" w:rsidRPr="00160DB9">
        <w:t>11,</w:t>
      </w:r>
      <w:r w:rsidR="002049FE" w:rsidRPr="00160DB9">
        <w:t>000</w:t>
      </w:r>
      <w:r w:rsidR="00160DB9">
        <w:t>.</w:t>
      </w:r>
      <w:r w:rsidR="00160DB9">
        <w:rPr>
          <w:rStyle w:val="FootnoteReference"/>
        </w:rPr>
        <w:footnoteReference w:id="2"/>
      </w:r>
    </w:p>
    <w:p w14:paraId="6A065ABC" w14:textId="77777777" w:rsidR="006842AC" w:rsidRDefault="006842AC" w:rsidP="006842AC">
      <w:pPr>
        <w:spacing w:after="40"/>
      </w:pPr>
      <w:r w:rsidRPr="00B91C2A">
        <w:rPr>
          <w:i/>
        </w:rPr>
        <w:t>Audit reports</w:t>
      </w:r>
      <w:r>
        <w:t>:</w:t>
      </w:r>
    </w:p>
    <w:p w14:paraId="10D3D06A" w14:textId="77777777" w:rsidR="006842AC" w:rsidRDefault="006842AC" w:rsidP="006842AC">
      <w:pPr>
        <w:pStyle w:val="ListParagraph"/>
        <w:numPr>
          <w:ilvl w:val="0"/>
          <w:numId w:val="18"/>
        </w:numPr>
      </w:pPr>
      <w:r>
        <w:t>Procuring and requesting an auditor</w:t>
      </w:r>
      <w:r w:rsidR="002049FE">
        <w:t xml:space="preserve"> will take approximately one full day</w:t>
      </w:r>
      <w:r>
        <w:t xml:space="preserve"> </w:t>
      </w:r>
      <w:r w:rsidR="00D57AA7">
        <w:t xml:space="preserve">x2 entities </w:t>
      </w:r>
      <w:r>
        <w:t>(</w:t>
      </w:r>
      <w:r w:rsidR="00D57AA7">
        <w:t>15</w:t>
      </w:r>
      <w:r w:rsidRPr="006A4404">
        <w:t xml:space="preserve"> hours</w:t>
      </w:r>
      <w:r>
        <w:t>)</w:t>
      </w:r>
    </w:p>
    <w:p w14:paraId="28EF3E7D" w14:textId="77777777" w:rsidR="006842AC" w:rsidRDefault="006842AC" w:rsidP="006842AC">
      <w:pPr>
        <w:pStyle w:val="ListParagraph"/>
        <w:numPr>
          <w:ilvl w:val="0"/>
          <w:numId w:val="18"/>
        </w:numPr>
      </w:pPr>
      <w:r>
        <w:t xml:space="preserve">Estimated </w:t>
      </w:r>
      <w:r w:rsidR="005A5387">
        <w:t xml:space="preserve">average registered greenhouse energy </w:t>
      </w:r>
      <w:r>
        <w:t xml:space="preserve">auditor fees </w:t>
      </w:r>
      <w:r w:rsidR="00D57AA7">
        <w:t xml:space="preserve">x2 entities </w:t>
      </w:r>
      <w:r w:rsidRPr="005A5387">
        <w:t>($</w:t>
      </w:r>
      <w:r w:rsidR="005A5387" w:rsidRPr="005A5387">
        <w:t>55</w:t>
      </w:r>
      <w:r w:rsidRPr="005A5387">
        <w:t>,000)</w:t>
      </w:r>
    </w:p>
    <w:p w14:paraId="7D3CFBED" w14:textId="77777777" w:rsidR="006842AC" w:rsidRDefault="006842AC" w:rsidP="006842AC">
      <w:pPr>
        <w:pStyle w:val="ListParagraph"/>
        <w:numPr>
          <w:ilvl w:val="0"/>
          <w:numId w:val="18"/>
        </w:numPr>
      </w:pPr>
      <w:r>
        <w:t>Clearance timeframes</w:t>
      </w:r>
      <w:r w:rsidR="00FC33C5">
        <w:t xml:space="preserve">, </w:t>
      </w:r>
      <w:r>
        <w:t xml:space="preserve">including through senior executive to verify the audit report </w:t>
      </w:r>
      <w:r w:rsidR="00D57AA7">
        <w:t xml:space="preserve">would be up to one full day x2 entities </w:t>
      </w:r>
      <w:r>
        <w:t>(</w:t>
      </w:r>
      <w:r w:rsidR="00D57AA7">
        <w:t>15</w:t>
      </w:r>
      <w:r w:rsidRPr="006A4404">
        <w:t xml:space="preserve"> hours)</w:t>
      </w:r>
      <w:r>
        <w:t xml:space="preserve"> </w:t>
      </w:r>
    </w:p>
    <w:p w14:paraId="2799ADFB" w14:textId="77777777" w:rsidR="00E33550" w:rsidRPr="00BE6437" w:rsidRDefault="00E33550" w:rsidP="00BE6437">
      <w:pPr>
        <w:spacing w:after="120"/>
      </w:pPr>
      <w:r w:rsidRPr="00BE6437">
        <w:t xml:space="preserve">Total anticipated costs – approximately </w:t>
      </w:r>
      <w:r w:rsidRPr="00160DB9">
        <w:t>$</w:t>
      </w:r>
      <w:r w:rsidR="000A6F12" w:rsidRPr="00160DB9">
        <w:t>112,000</w:t>
      </w:r>
      <w:r w:rsidR="00160DB9" w:rsidRPr="00160DB9">
        <w:t>.</w:t>
      </w:r>
      <w:r w:rsidR="00160DB9" w:rsidRPr="00160DB9">
        <w:rPr>
          <w:rStyle w:val="FootnoteReference"/>
        </w:rPr>
        <w:t xml:space="preserve"> </w:t>
      </w:r>
      <w:r w:rsidR="00160DB9">
        <w:rPr>
          <w:rStyle w:val="FootnoteReference"/>
        </w:rPr>
        <w:footnoteReference w:id="3"/>
      </w:r>
    </w:p>
    <w:p w14:paraId="4DB44BD3" w14:textId="77777777" w:rsidR="004C5B13" w:rsidRPr="00690CC4" w:rsidRDefault="004C5B13" w:rsidP="001B4DB4">
      <w:pPr>
        <w:pStyle w:val="Heading6"/>
      </w:pPr>
      <w:r>
        <w:t>Ongoing costs</w:t>
      </w:r>
    </w:p>
    <w:p w14:paraId="18CDCF19" w14:textId="77777777" w:rsidR="00253E16" w:rsidRDefault="00253E16" w:rsidP="00190A1C">
      <w:pPr>
        <w:spacing w:after="40"/>
      </w:pPr>
      <w:r w:rsidRPr="00B91C2A">
        <w:rPr>
          <w:i/>
        </w:rPr>
        <w:t>Quarterly reports</w:t>
      </w:r>
      <w:r>
        <w:t>:</w:t>
      </w:r>
    </w:p>
    <w:p w14:paraId="2A8EA5B6" w14:textId="77777777" w:rsidR="00253E16" w:rsidRDefault="00253E16" w:rsidP="00E55DDA">
      <w:pPr>
        <w:pStyle w:val="ListParagraph"/>
        <w:numPr>
          <w:ilvl w:val="0"/>
          <w:numId w:val="18"/>
        </w:numPr>
      </w:pPr>
      <w:r>
        <w:t>Assuming the</w:t>
      </w:r>
      <w:r w:rsidR="009D5DB9">
        <w:t xml:space="preserve"> quarterly</w:t>
      </w:r>
      <w:r>
        <w:t xml:space="preserve"> reports</w:t>
      </w:r>
      <w:r w:rsidR="009D5DB9">
        <w:t xml:space="preserve"> of FSSP production volumes</w:t>
      </w:r>
      <w:r>
        <w:t xml:space="preserve"> will take one person one day</w:t>
      </w:r>
      <w:r w:rsidR="00B56353">
        <w:t xml:space="preserve">, </w:t>
      </w:r>
      <w:r>
        <w:t xml:space="preserve">to write up the quarterly report </w:t>
      </w:r>
      <w:r w:rsidR="00D57AA7">
        <w:t xml:space="preserve">x2 entities </w:t>
      </w:r>
      <w:r>
        <w:t>(</w:t>
      </w:r>
      <w:r w:rsidR="00B56353">
        <w:t>15</w:t>
      </w:r>
      <w:r>
        <w:t xml:space="preserve"> hours)</w:t>
      </w:r>
    </w:p>
    <w:p w14:paraId="3D77F05D" w14:textId="77777777" w:rsidR="009D5DB9" w:rsidRDefault="009D5DB9" w:rsidP="00E55DDA">
      <w:pPr>
        <w:pStyle w:val="ListParagraph"/>
        <w:numPr>
          <w:ilvl w:val="0"/>
          <w:numId w:val="18"/>
        </w:numPr>
        <w:spacing w:after="120"/>
        <w:ind w:left="714" w:hanging="357"/>
      </w:pPr>
      <w:r>
        <w:t>Clearance timeframes</w:t>
      </w:r>
      <w:r w:rsidR="00FC33C5">
        <w:t>,</w:t>
      </w:r>
      <w:r>
        <w:t xml:space="preserve"> including through</w:t>
      </w:r>
      <w:r w:rsidR="00FC33C5">
        <w:t xml:space="preserve"> senior executive for reporting, </w:t>
      </w:r>
      <w:r>
        <w:t xml:space="preserve">will take around half a day </w:t>
      </w:r>
      <w:r w:rsidR="00D57AA7">
        <w:t>x2 entities</w:t>
      </w:r>
      <w:r w:rsidR="00B56353">
        <w:t xml:space="preserve"> (8</w:t>
      </w:r>
      <w:r>
        <w:t xml:space="preserve"> hours)</w:t>
      </w:r>
    </w:p>
    <w:p w14:paraId="3D4CF0EF" w14:textId="77777777" w:rsidR="00253E16" w:rsidRDefault="009877C7" w:rsidP="00E55DDA">
      <w:pPr>
        <w:pStyle w:val="ListParagraph"/>
        <w:numPr>
          <w:ilvl w:val="0"/>
          <w:numId w:val="18"/>
        </w:numPr>
      </w:pPr>
      <w:r>
        <w:t>Over the commitment period</w:t>
      </w:r>
      <w:r w:rsidR="00EC663E">
        <w:t xml:space="preserve"> and including option to extend (9 years)</w:t>
      </w:r>
    </w:p>
    <w:p w14:paraId="4BC3CFCC" w14:textId="77777777" w:rsidR="00E33550" w:rsidRDefault="00E33550" w:rsidP="00760721">
      <w:pPr>
        <w:spacing w:after="120"/>
      </w:pPr>
      <w:r w:rsidRPr="00BE6437">
        <w:t>Total anticipat</w:t>
      </w:r>
      <w:r w:rsidR="000A6F12" w:rsidRPr="00BE6437">
        <w:t xml:space="preserve">ed costs – approximately </w:t>
      </w:r>
      <w:r w:rsidR="000A6F12" w:rsidRPr="00160DB9">
        <w:t>$</w:t>
      </w:r>
      <w:r w:rsidR="007A2A27" w:rsidRPr="00160DB9">
        <w:t>6</w:t>
      </w:r>
      <w:r w:rsidR="000A6F12" w:rsidRPr="00160DB9">
        <w:t>0,000</w:t>
      </w:r>
      <w:r w:rsidR="00160DB9">
        <w:t>.</w:t>
      </w:r>
      <w:r w:rsidR="00160DB9">
        <w:rPr>
          <w:rStyle w:val="FootnoteReference"/>
        </w:rPr>
        <w:footnoteReference w:id="4"/>
      </w:r>
    </w:p>
    <w:p w14:paraId="3207B02F" w14:textId="77777777" w:rsidR="004354F9" w:rsidRDefault="00D57AA7" w:rsidP="001B4DB4">
      <w:pPr>
        <w:pStyle w:val="Heading6"/>
      </w:pPr>
      <w:r>
        <w:t xml:space="preserve">Other costs </w:t>
      </w:r>
    </w:p>
    <w:p w14:paraId="6BFEC434" w14:textId="77777777" w:rsidR="004354F9" w:rsidRPr="004354F9" w:rsidRDefault="004354F9" w:rsidP="00760721">
      <w:pPr>
        <w:spacing w:after="120"/>
        <w:rPr>
          <w:i/>
        </w:rPr>
      </w:pPr>
      <w:r>
        <w:t xml:space="preserve">Other costs are expected to be minimal given the infrequency </w:t>
      </w:r>
      <w:r w:rsidR="0042528E">
        <w:t xml:space="preserve">and </w:t>
      </w:r>
      <w:r w:rsidR="003755EE">
        <w:t>improbability</w:t>
      </w:r>
      <w:r w:rsidR="0042528E">
        <w:t xml:space="preserve"> of these circumstances occurring</w:t>
      </w:r>
      <w:r w:rsidR="00D57AA7">
        <w:t xml:space="preserve"> and as such have not been estimated</w:t>
      </w:r>
      <w:r w:rsidR="0042528E">
        <w:t xml:space="preserve">. </w:t>
      </w:r>
      <w:r w:rsidR="00D57AA7">
        <w:t xml:space="preserve">These would include matters such as making an </w:t>
      </w:r>
      <w:r w:rsidR="00D57AA7" w:rsidRPr="00D57AA7">
        <w:t>a</w:t>
      </w:r>
      <w:r w:rsidRPr="00D57AA7">
        <w:t>pplication to vary</w:t>
      </w:r>
      <w:r w:rsidR="00D57AA7" w:rsidRPr="00D57AA7">
        <w:t xml:space="preserve"> </w:t>
      </w:r>
      <w:r w:rsidR="00D57AA7">
        <w:t xml:space="preserve">a </w:t>
      </w:r>
      <w:r w:rsidR="00D57AA7" w:rsidRPr="00D57AA7">
        <w:t>commitment period</w:t>
      </w:r>
      <w:r w:rsidR="00D57AA7">
        <w:t>, or exercising a right to extend a commitment period.</w:t>
      </w:r>
    </w:p>
    <w:p w14:paraId="27B9E385" w14:textId="77777777" w:rsidR="00595C33" w:rsidRDefault="001728F9" w:rsidP="001B4DB4">
      <w:pPr>
        <w:pStyle w:val="Heading6"/>
        <w:spacing w:before="0"/>
      </w:pPr>
      <w:r>
        <w:t>Benefits to refiners</w:t>
      </w:r>
    </w:p>
    <w:p w14:paraId="215A3D0F" w14:textId="49345CB2" w:rsidR="00991425" w:rsidRPr="00282315" w:rsidRDefault="00FF54A3" w:rsidP="00A67D9F">
      <w:pPr>
        <w:rPr>
          <w:rFonts w:eastAsiaTheme="majorEastAsia" w:cstheme="minorHAnsi"/>
        </w:rPr>
      </w:pPr>
      <w:r>
        <w:rPr>
          <w:rFonts w:eastAsiaTheme="majorEastAsia" w:cstheme="minorHAnsi"/>
        </w:rPr>
        <w:t>Combined, the a</w:t>
      </w:r>
      <w:r w:rsidR="003C1AA3">
        <w:rPr>
          <w:rFonts w:eastAsiaTheme="majorEastAsia" w:cstheme="minorHAnsi"/>
        </w:rPr>
        <w:t xml:space="preserve">pproved FSSP </w:t>
      </w:r>
      <w:r w:rsidR="00B56353">
        <w:rPr>
          <w:rFonts w:eastAsiaTheme="majorEastAsia" w:cstheme="minorHAnsi"/>
        </w:rPr>
        <w:t xml:space="preserve">participants may </w:t>
      </w:r>
      <w:r w:rsidR="003C1AA3">
        <w:rPr>
          <w:rFonts w:eastAsiaTheme="majorEastAsia" w:cstheme="minorHAnsi"/>
        </w:rPr>
        <w:t>receive up</w:t>
      </w:r>
      <w:r w:rsidR="00731563" w:rsidRPr="00282315">
        <w:rPr>
          <w:rFonts w:eastAsiaTheme="majorEastAsia" w:cstheme="minorHAnsi"/>
        </w:rPr>
        <w:t xml:space="preserve"> to</w:t>
      </w:r>
      <w:r w:rsidR="00B56353">
        <w:rPr>
          <w:rFonts w:eastAsiaTheme="majorEastAsia" w:cstheme="minorHAnsi"/>
        </w:rPr>
        <w:t xml:space="preserve"> the full</w:t>
      </w:r>
      <w:r w:rsidR="00731563" w:rsidRPr="00282315">
        <w:rPr>
          <w:rFonts w:eastAsiaTheme="majorEastAsia" w:cstheme="minorHAnsi"/>
        </w:rPr>
        <w:t xml:space="preserve"> $2.047 billion</w:t>
      </w:r>
      <w:r w:rsidR="003C1AA3">
        <w:rPr>
          <w:rFonts w:eastAsiaTheme="majorEastAsia" w:cstheme="minorHAnsi"/>
        </w:rPr>
        <w:t xml:space="preserve"> in appropriated fund</w:t>
      </w:r>
      <w:r w:rsidR="00B56353">
        <w:rPr>
          <w:rFonts w:eastAsiaTheme="majorEastAsia" w:cstheme="minorHAnsi"/>
        </w:rPr>
        <w:t xml:space="preserve">ing </w:t>
      </w:r>
      <w:r w:rsidR="003755EE">
        <w:rPr>
          <w:rFonts w:eastAsiaTheme="majorEastAsia" w:cstheme="minorHAnsi"/>
        </w:rPr>
        <w:t xml:space="preserve">during any loss-making periods from </w:t>
      </w:r>
      <w:r w:rsidR="00B56353">
        <w:rPr>
          <w:rFonts w:eastAsiaTheme="majorEastAsia" w:cstheme="minorHAnsi"/>
        </w:rPr>
        <w:t xml:space="preserve">1 July 2021 </w:t>
      </w:r>
      <w:r w:rsidR="003755EE">
        <w:rPr>
          <w:rFonts w:eastAsiaTheme="majorEastAsia" w:cstheme="minorHAnsi"/>
        </w:rPr>
        <w:t>to</w:t>
      </w:r>
      <w:r w:rsidR="00B56353">
        <w:rPr>
          <w:rFonts w:eastAsiaTheme="majorEastAsia" w:cstheme="minorHAnsi"/>
        </w:rPr>
        <w:t xml:space="preserve"> 30 June 2030 </w:t>
      </w:r>
      <w:r w:rsidR="003755EE">
        <w:rPr>
          <w:rFonts w:eastAsiaTheme="majorEastAsia" w:cstheme="minorHAnsi"/>
        </w:rPr>
        <w:t>(</w:t>
      </w:r>
      <w:r w:rsidR="00B56353">
        <w:rPr>
          <w:rFonts w:eastAsiaTheme="majorEastAsia" w:cstheme="minorHAnsi"/>
        </w:rPr>
        <w:t>should the option to</w:t>
      </w:r>
      <w:r w:rsidR="0097566B">
        <w:rPr>
          <w:rFonts w:eastAsiaTheme="majorEastAsia" w:cstheme="minorHAnsi"/>
        </w:rPr>
        <w:t xml:space="preserve"> extend</w:t>
      </w:r>
      <w:r w:rsidR="00B56353">
        <w:rPr>
          <w:rFonts w:eastAsiaTheme="majorEastAsia" w:cstheme="minorHAnsi"/>
        </w:rPr>
        <w:t xml:space="preserve"> </w:t>
      </w:r>
      <w:r w:rsidR="003755EE">
        <w:rPr>
          <w:rFonts w:eastAsiaTheme="majorEastAsia" w:cstheme="minorHAnsi"/>
        </w:rPr>
        <w:t>get</w:t>
      </w:r>
      <w:r w:rsidR="00B56353">
        <w:rPr>
          <w:rFonts w:eastAsiaTheme="majorEastAsia" w:cstheme="minorHAnsi"/>
        </w:rPr>
        <w:t xml:space="preserve"> exercised</w:t>
      </w:r>
      <w:r w:rsidR="003755EE">
        <w:rPr>
          <w:rFonts w:eastAsiaTheme="majorEastAsia" w:cstheme="minorHAnsi"/>
        </w:rPr>
        <w:t>)</w:t>
      </w:r>
      <w:r w:rsidR="006A07D5">
        <w:rPr>
          <w:rFonts w:eastAsiaTheme="majorEastAsia" w:cstheme="minorHAnsi"/>
        </w:rPr>
        <w:t>, although receiving this full amount is very unlikely.</w:t>
      </w:r>
      <w:r w:rsidR="0097566B">
        <w:rPr>
          <w:rFonts w:eastAsiaTheme="majorEastAsia" w:cstheme="minorHAnsi"/>
        </w:rPr>
        <w:t xml:space="preserve"> </w:t>
      </w:r>
    </w:p>
    <w:p w14:paraId="1DE536D4" w14:textId="77777777" w:rsidR="00E33550" w:rsidRPr="00F547D6" w:rsidRDefault="0071270E" w:rsidP="00725397">
      <w:pPr>
        <w:pStyle w:val="Heading4"/>
      </w:pPr>
      <w:r>
        <w:t>Regulation impact summary</w:t>
      </w:r>
    </w:p>
    <w:p w14:paraId="7D751657" w14:textId="77777777" w:rsidR="005338E4" w:rsidRDefault="0063588D" w:rsidP="00A67D9F">
      <w:pPr>
        <w:rPr>
          <w:rFonts w:eastAsiaTheme="majorEastAsia" w:cstheme="minorHAnsi"/>
        </w:rPr>
      </w:pPr>
      <w:r w:rsidRPr="00282315">
        <w:rPr>
          <w:rFonts w:eastAsiaTheme="majorEastAsia" w:cstheme="minorHAnsi"/>
        </w:rPr>
        <w:t xml:space="preserve">The FSSP provides a </w:t>
      </w:r>
      <w:r w:rsidR="00B56353">
        <w:rPr>
          <w:rFonts w:eastAsiaTheme="majorEastAsia" w:cstheme="minorHAnsi"/>
        </w:rPr>
        <w:t xml:space="preserve">significant </w:t>
      </w:r>
      <w:r w:rsidRPr="00282315">
        <w:rPr>
          <w:rFonts w:eastAsiaTheme="majorEastAsia" w:cstheme="minorHAnsi"/>
        </w:rPr>
        <w:t xml:space="preserve">positive </w:t>
      </w:r>
      <w:r w:rsidR="00B56353">
        <w:rPr>
          <w:rFonts w:eastAsiaTheme="majorEastAsia" w:cstheme="minorHAnsi"/>
        </w:rPr>
        <w:t xml:space="preserve">financial </w:t>
      </w:r>
      <w:r w:rsidR="003660A8">
        <w:rPr>
          <w:rFonts w:eastAsiaTheme="majorEastAsia" w:cstheme="minorHAnsi"/>
        </w:rPr>
        <w:t xml:space="preserve">impact to refiners which far outweighs the minor regulatory impost. </w:t>
      </w:r>
      <w:r w:rsidR="000D0D28" w:rsidRPr="00282315">
        <w:rPr>
          <w:rFonts w:eastAsiaTheme="majorEastAsia" w:cstheme="minorHAnsi"/>
        </w:rPr>
        <w:t xml:space="preserve"> </w:t>
      </w:r>
    </w:p>
    <w:p w14:paraId="0FE6F1B5" w14:textId="77777777" w:rsidR="00B41288" w:rsidRPr="00D12A37" w:rsidRDefault="006B4826" w:rsidP="00A67D9F">
      <w:pPr>
        <w:rPr>
          <w:rFonts w:eastAsiaTheme="majorEastAsia" w:cstheme="minorHAnsi"/>
        </w:rPr>
      </w:pPr>
      <w:r w:rsidRPr="00282315">
        <w:rPr>
          <w:rFonts w:eastAsiaTheme="majorEastAsia" w:cstheme="minorHAnsi"/>
        </w:rPr>
        <w:t xml:space="preserve">The total </w:t>
      </w:r>
      <w:r w:rsidR="002349A3">
        <w:rPr>
          <w:rFonts w:eastAsiaTheme="majorEastAsia" w:cstheme="minorHAnsi"/>
        </w:rPr>
        <w:t>regulatory burden</w:t>
      </w:r>
      <w:r w:rsidRPr="00282315">
        <w:rPr>
          <w:rFonts w:eastAsiaTheme="majorEastAsia" w:cstheme="minorHAnsi"/>
        </w:rPr>
        <w:t xml:space="preserve"> of the FSSP </w:t>
      </w:r>
      <w:r w:rsidR="003660A8">
        <w:rPr>
          <w:rFonts w:eastAsiaTheme="majorEastAsia" w:cstheme="minorHAnsi"/>
        </w:rPr>
        <w:t xml:space="preserve">is expected to be less than </w:t>
      </w:r>
      <w:r w:rsidR="003660A8" w:rsidRPr="00160DB9">
        <w:rPr>
          <w:rFonts w:eastAsiaTheme="majorEastAsia" w:cstheme="minorHAnsi"/>
        </w:rPr>
        <w:t>$200,000</w:t>
      </w:r>
      <w:r w:rsidR="003660A8">
        <w:rPr>
          <w:rFonts w:eastAsiaTheme="majorEastAsia" w:cstheme="minorHAnsi"/>
        </w:rPr>
        <w:t xml:space="preserve"> </w:t>
      </w:r>
      <w:r w:rsidR="00FF54A3">
        <w:rPr>
          <w:rFonts w:eastAsiaTheme="majorEastAsia" w:cstheme="minorHAnsi"/>
        </w:rPr>
        <w:t xml:space="preserve">per eligible </w:t>
      </w:r>
      <w:r w:rsidR="003660A8">
        <w:rPr>
          <w:rFonts w:eastAsiaTheme="majorEastAsia" w:cstheme="minorHAnsi"/>
        </w:rPr>
        <w:t>entit</w:t>
      </w:r>
      <w:r w:rsidR="00FF54A3">
        <w:rPr>
          <w:rFonts w:eastAsiaTheme="majorEastAsia" w:cstheme="minorHAnsi"/>
        </w:rPr>
        <w:t>y</w:t>
      </w:r>
      <w:r w:rsidR="000A6F12" w:rsidRPr="00282315">
        <w:rPr>
          <w:rFonts w:eastAsiaTheme="majorEastAsia" w:cstheme="minorHAnsi"/>
        </w:rPr>
        <w:t xml:space="preserve"> </w:t>
      </w:r>
      <w:r w:rsidR="00B41288" w:rsidRPr="00282315">
        <w:rPr>
          <w:rFonts w:eastAsiaTheme="majorEastAsia" w:cstheme="minorHAnsi"/>
        </w:rPr>
        <w:t xml:space="preserve">over the next </w:t>
      </w:r>
      <w:r w:rsidR="007A2A27">
        <w:rPr>
          <w:rFonts w:eastAsiaTheme="majorEastAsia" w:cstheme="minorHAnsi"/>
        </w:rPr>
        <w:t>nine years</w:t>
      </w:r>
      <w:r w:rsidR="00B41288" w:rsidRPr="00282315">
        <w:rPr>
          <w:rFonts w:eastAsiaTheme="majorEastAsia" w:cstheme="minorHAnsi"/>
        </w:rPr>
        <w:t>.</w:t>
      </w:r>
      <w:r w:rsidR="00160DB9">
        <w:rPr>
          <w:rStyle w:val="FootnoteReference"/>
          <w:rFonts w:eastAsiaTheme="majorEastAsia" w:cstheme="minorHAnsi"/>
        </w:rPr>
        <w:footnoteReference w:id="5"/>
      </w:r>
      <w:r w:rsidR="00B41288" w:rsidRPr="00282315">
        <w:rPr>
          <w:rFonts w:eastAsiaTheme="majorEastAsia" w:cstheme="minorHAnsi"/>
        </w:rPr>
        <w:t xml:space="preserve"> </w:t>
      </w:r>
      <w:r w:rsidR="003660A8">
        <w:rPr>
          <w:rFonts w:eastAsiaTheme="majorEastAsia" w:cstheme="minorHAnsi"/>
        </w:rPr>
        <w:t>While t</w:t>
      </w:r>
      <w:r w:rsidR="0063469D" w:rsidRPr="00282315">
        <w:rPr>
          <w:rFonts w:eastAsiaTheme="majorEastAsia" w:cstheme="minorHAnsi"/>
        </w:rPr>
        <w:t>he total</w:t>
      </w:r>
      <w:r w:rsidR="00FF54A3">
        <w:rPr>
          <w:rFonts w:eastAsiaTheme="majorEastAsia" w:cstheme="minorHAnsi"/>
        </w:rPr>
        <w:t xml:space="preserve"> potential</w:t>
      </w:r>
      <w:r w:rsidR="0063469D" w:rsidRPr="00282315">
        <w:rPr>
          <w:rFonts w:eastAsiaTheme="majorEastAsia" w:cstheme="minorHAnsi"/>
        </w:rPr>
        <w:t xml:space="preserve"> </w:t>
      </w:r>
      <w:r w:rsidR="003660A8">
        <w:rPr>
          <w:rFonts w:eastAsiaTheme="majorEastAsia" w:cstheme="minorHAnsi"/>
        </w:rPr>
        <w:t xml:space="preserve">financial </w:t>
      </w:r>
      <w:r w:rsidR="0063469D" w:rsidRPr="00282315">
        <w:rPr>
          <w:rFonts w:eastAsiaTheme="majorEastAsia" w:cstheme="minorHAnsi"/>
        </w:rPr>
        <w:t xml:space="preserve">benefit of the FSSP </w:t>
      </w:r>
      <w:r w:rsidR="002349A3">
        <w:rPr>
          <w:rFonts w:eastAsiaTheme="majorEastAsia" w:cstheme="minorHAnsi"/>
        </w:rPr>
        <w:t>w</w:t>
      </w:r>
      <w:r w:rsidR="00FF54A3">
        <w:rPr>
          <w:rFonts w:eastAsiaTheme="majorEastAsia" w:cstheme="minorHAnsi"/>
        </w:rPr>
        <w:t>ould only be capped by the</w:t>
      </w:r>
      <w:r w:rsidR="0063469D" w:rsidRPr="00282315">
        <w:rPr>
          <w:rFonts w:eastAsiaTheme="majorEastAsia" w:cstheme="minorHAnsi"/>
        </w:rPr>
        <w:t xml:space="preserve"> </w:t>
      </w:r>
      <w:r w:rsidR="00EC663E">
        <w:rPr>
          <w:rFonts w:eastAsiaTheme="majorEastAsia" w:cstheme="minorHAnsi"/>
        </w:rPr>
        <w:t>$2.047</w:t>
      </w:r>
      <w:r w:rsidR="0063469D" w:rsidRPr="00282315">
        <w:rPr>
          <w:rFonts w:eastAsiaTheme="majorEastAsia" w:cstheme="minorHAnsi"/>
        </w:rPr>
        <w:t xml:space="preserve"> billion</w:t>
      </w:r>
      <w:r w:rsidR="00FF54A3">
        <w:rPr>
          <w:rFonts w:eastAsiaTheme="majorEastAsia" w:cstheme="minorHAnsi"/>
        </w:rPr>
        <w:t xml:space="preserve"> appropriated to the scheme</w:t>
      </w:r>
      <w:r w:rsidR="0063469D" w:rsidRPr="00282315">
        <w:rPr>
          <w:rFonts w:eastAsiaTheme="majorEastAsia" w:cstheme="minorHAnsi"/>
        </w:rPr>
        <w:t>.</w:t>
      </w:r>
    </w:p>
    <w:sectPr w:rsidR="00B41288" w:rsidRPr="00D12A37" w:rsidSect="00EC00A2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440" w:bottom="1440" w:left="1440" w:header="85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B81EF" w14:textId="77777777" w:rsidR="00B016C3" w:rsidRDefault="00B016C3" w:rsidP="00B251DB">
      <w:pPr>
        <w:spacing w:after="0" w:line="240" w:lineRule="auto"/>
      </w:pPr>
      <w:r>
        <w:separator/>
      </w:r>
    </w:p>
  </w:endnote>
  <w:endnote w:type="continuationSeparator" w:id="0">
    <w:p w14:paraId="68A2724E" w14:textId="77777777" w:rsidR="00B016C3" w:rsidRDefault="00B016C3" w:rsidP="00B251DB">
      <w:pPr>
        <w:spacing w:after="0" w:line="240" w:lineRule="auto"/>
      </w:pPr>
      <w:r>
        <w:continuationSeparator/>
      </w:r>
    </w:p>
  </w:endnote>
  <w:endnote w:type="continuationNotice" w:id="1">
    <w:p w14:paraId="3F59A40A" w14:textId="77777777" w:rsidR="00B016C3" w:rsidRDefault="00B01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27E57" w14:textId="77777777" w:rsidR="003755EE" w:rsidRDefault="003755EE" w:rsidP="00BD0F8A">
    <w:pPr>
      <w:pStyle w:val="Footer"/>
      <w:jc w:val="right"/>
      <w:rPr>
        <w:noProof/>
      </w:rPr>
    </w:pPr>
    <w:r>
      <w:t>Addendum – Fuel Security RIS</w:t>
    </w:r>
    <w:r>
      <w:tab/>
      <w:t>industry.gov.au</w:t>
    </w:r>
    <w:r>
      <w:tab/>
    </w:r>
    <w:sdt>
      <w:sdtPr>
        <w:id w:val="-10261765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67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C5DBD" w14:textId="77777777" w:rsidR="003755EE" w:rsidRDefault="003755EE" w:rsidP="00EC00A2">
    <w:pPr>
      <w:pStyle w:val="Footer"/>
      <w:jc w:val="right"/>
      <w:rPr>
        <w:noProof/>
      </w:rPr>
    </w:pPr>
    <w:r>
      <w:t>Addendum – Fuel Security RIS</w:t>
    </w:r>
    <w:r>
      <w:tab/>
      <w:t>industry.gov.au</w:t>
    </w:r>
    <w:r>
      <w:tab/>
    </w:r>
    <w:sdt>
      <w:sdtPr>
        <w:id w:val="-20262348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6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DC9D7" w14:textId="77777777" w:rsidR="00B016C3" w:rsidRDefault="00B016C3" w:rsidP="00B251DB">
      <w:pPr>
        <w:spacing w:after="0" w:line="240" w:lineRule="auto"/>
      </w:pPr>
      <w:r>
        <w:separator/>
      </w:r>
    </w:p>
  </w:footnote>
  <w:footnote w:type="continuationSeparator" w:id="0">
    <w:p w14:paraId="1D5C8DE6" w14:textId="77777777" w:rsidR="00B016C3" w:rsidRDefault="00B016C3" w:rsidP="00B251DB">
      <w:pPr>
        <w:spacing w:after="0" w:line="240" w:lineRule="auto"/>
      </w:pPr>
      <w:r>
        <w:continuationSeparator/>
      </w:r>
    </w:p>
  </w:footnote>
  <w:footnote w:type="continuationNotice" w:id="1">
    <w:p w14:paraId="11D78740" w14:textId="77777777" w:rsidR="00B016C3" w:rsidRDefault="00B016C3">
      <w:pPr>
        <w:spacing w:after="0" w:line="240" w:lineRule="auto"/>
      </w:pPr>
    </w:p>
  </w:footnote>
  <w:footnote w:id="2">
    <w:p w14:paraId="61A005E0" w14:textId="77777777" w:rsidR="003755EE" w:rsidRPr="00160DB9" w:rsidRDefault="003755EE">
      <w:pPr>
        <w:pStyle w:val="FootnoteText"/>
        <w:rPr>
          <w:sz w:val="18"/>
          <w:szCs w:val="18"/>
        </w:rPr>
      </w:pPr>
      <w:r w:rsidRPr="00160DB9">
        <w:rPr>
          <w:rStyle w:val="FootnoteReference"/>
          <w:sz w:val="18"/>
          <w:szCs w:val="18"/>
        </w:rPr>
        <w:footnoteRef/>
      </w:r>
      <w:r w:rsidRPr="00160DB9">
        <w:rPr>
          <w:sz w:val="18"/>
          <w:szCs w:val="18"/>
        </w:rPr>
        <w:t xml:space="preserve"> The anticipated costs have been calculated according to the Office of Best Practice Regulation – Regulatory Burden Measurement Framework. The default hourly wage cost of $73.05 has been used. </w:t>
      </w:r>
    </w:p>
  </w:footnote>
  <w:footnote w:id="3">
    <w:p w14:paraId="530E5E88" w14:textId="77777777" w:rsidR="003755EE" w:rsidRPr="00160DB9" w:rsidRDefault="003755EE" w:rsidP="00160DB9">
      <w:pPr>
        <w:pStyle w:val="FootnoteText"/>
        <w:rPr>
          <w:sz w:val="18"/>
          <w:szCs w:val="18"/>
        </w:rPr>
      </w:pPr>
      <w:r w:rsidRPr="00160DB9">
        <w:rPr>
          <w:rStyle w:val="FootnoteReference"/>
          <w:sz w:val="18"/>
          <w:szCs w:val="18"/>
        </w:rPr>
        <w:footnoteRef/>
      </w:r>
      <w:r w:rsidRPr="00160DB9">
        <w:rPr>
          <w:sz w:val="18"/>
          <w:szCs w:val="18"/>
        </w:rPr>
        <w:t xml:space="preserve"> Ibid.</w:t>
      </w:r>
    </w:p>
  </w:footnote>
  <w:footnote w:id="4">
    <w:p w14:paraId="694D606B" w14:textId="77777777" w:rsidR="003755EE" w:rsidRPr="00160DB9" w:rsidRDefault="003755EE">
      <w:pPr>
        <w:pStyle w:val="FootnoteText"/>
        <w:rPr>
          <w:sz w:val="18"/>
          <w:szCs w:val="18"/>
        </w:rPr>
      </w:pPr>
      <w:r w:rsidRPr="00160DB9">
        <w:rPr>
          <w:rStyle w:val="FootnoteReference"/>
          <w:sz w:val="18"/>
          <w:szCs w:val="18"/>
        </w:rPr>
        <w:footnoteRef/>
      </w:r>
      <w:r w:rsidRPr="00160DB9">
        <w:rPr>
          <w:sz w:val="18"/>
          <w:szCs w:val="18"/>
        </w:rPr>
        <w:t xml:space="preserve"> Ibid.</w:t>
      </w:r>
    </w:p>
  </w:footnote>
  <w:footnote w:id="5">
    <w:p w14:paraId="5878E0FB" w14:textId="77777777" w:rsidR="003755EE" w:rsidRDefault="003755EE">
      <w:pPr>
        <w:pStyle w:val="FootnoteText"/>
      </w:pPr>
      <w:r w:rsidRPr="00160DB9">
        <w:rPr>
          <w:rStyle w:val="FootnoteReference"/>
          <w:sz w:val="18"/>
          <w:szCs w:val="18"/>
        </w:rPr>
        <w:footnoteRef/>
      </w:r>
      <w:r w:rsidRPr="00160DB9">
        <w:rPr>
          <w:sz w:val="18"/>
          <w:szCs w:val="18"/>
        </w:rPr>
        <w:t xml:space="preserve"> Ibid.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763B4" w14:textId="765C2DBC" w:rsidR="003755EE" w:rsidRDefault="003755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5E4D4" w14:textId="495387AC" w:rsidR="003755EE" w:rsidRPr="00EA7496" w:rsidRDefault="003755EE" w:rsidP="00EA7496">
    <w:pPr>
      <w:pStyle w:val="Header"/>
      <w:jc w:val="center"/>
      <w:rPr>
        <w:b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9F000" w14:textId="221AB9F2" w:rsidR="003755EE" w:rsidRDefault="003755EE" w:rsidP="00EA7496">
    <w:pPr>
      <w:pStyle w:val="Header"/>
      <w:jc w:val="center"/>
      <w:rPr>
        <w:b/>
        <w:color w:val="FF0000"/>
        <w:sz w:val="28"/>
        <w:szCs w:val="28"/>
      </w:rPr>
    </w:pPr>
  </w:p>
  <w:p w14:paraId="39C8E20E" w14:textId="77777777" w:rsidR="003755EE" w:rsidRDefault="003755EE">
    <w:pPr>
      <w:pStyle w:val="Header"/>
    </w:pPr>
    <w:r>
      <w:rPr>
        <w:noProof/>
        <w:lang w:eastAsia="en-AU"/>
      </w:rPr>
      <w:drawing>
        <wp:inline distT="0" distB="0" distL="0" distR="0" wp14:anchorId="5719ED1E" wp14:editId="18AA8AEB">
          <wp:extent cx="2678430" cy="694055"/>
          <wp:effectExtent l="0" t="0" r="7620" b="0"/>
          <wp:docPr id="3" name="Picture 3" descr="Australian Government | Department of Industry, Science, Energy and Resources logo" title="Australian Government | Department of Industry, Science, Energy and Resourc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| Department of Industry, Science, Energy and Resources logo" title="Australian Government | Department of Industry, Science, Energy and Resourc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81605" cy="694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4F31"/>
    <w:multiLevelType w:val="hybridMultilevel"/>
    <w:tmpl w:val="7FB26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07DB"/>
    <w:multiLevelType w:val="hybridMultilevel"/>
    <w:tmpl w:val="0E6A7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5419C"/>
    <w:multiLevelType w:val="hybridMultilevel"/>
    <w:tmpl w:val="62861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6234"/>
    <w:multiLevelType w:val="hybridMultilevel"/>
    <w:tmpl w:val="701C7F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427E"/>
    <w:multiLevelType w:val="hybridMultilevel"/>
    <w:tmpl w:val="29D2E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F6C54"/>
    <w:multiLevelType w:val="hybridMultilevel"/>
    <w:tmpl w:val="7AEE9BAC"/>
    <w:lvl w:ilvl="0" w:tplc="A704BB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C2AF2"/>
    <w:multiLevelType w:val="hybridMultilevel"/>
    <w:tmpl w:val="A6ACA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032A"/>
    <w:multiLevelType w:val="hybridMultilevel"/>
    <w:tmpl w:val="29F4EA92"/>
    <w:lvl w:ilvl="0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722E1"/>
    <w:multiLevelType w:val="hybridMultilevel"/>
    <w:tmpl w:val="E132CB96"/>
    <w:lvl w:ilvl="0" w:tplc="F0C8E0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13BA"/>
    <w:multiLevelType w:val="hybridMultilevel"/>
    <w:tmpl w:val="F634B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1355F"/>
    <w:multiLevelType w:val="hybridMultilevel"/>
    <w:tmpl w:val="F2B4A07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10FD"/>
    <w:multiLevelType w:val="hybridMultilevel"/>
    <w:tmpl w:val="A154A084"/>
    <w:lvl w:ilvl="0" w:tplc="A6EACFDA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6889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E1D8F"/>
    <w:multiLevelType w:val="hybridMultilevel"/>
    <w:tmpl w:val="D30E4FE4"/>
    <w:lvl w:ilvl="0" w:tplc="F4BEB66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F3D3E"/>
    <w:multiLevelType w:val="hybridMultilevel"/>
    <w:tmpl w:val="60E0E362"/>
    <w:lvl w:ilvl="0" w:tplc="F0C8E0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3A14B5"/>
    <w:multiLevelType w:val="hybridMultilevel"/>
    <w:tmpl w:val="505A2518"/>
    <w:lvl w:ilvl="0" w:tplc="C56428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5074E5"/>
    <w:multiLevelType w:val="hybridMultilevel"/>
    <w:tmpl w:val="91141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F60FE"/>
    <w:multiLevelType w:val="hybridMultilevel"/>
    <w:tmpl w:val="5D1EA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A1CE5"/>
    <w:multiLevelType w:val="hybridMultilevel"/>
    <w:tmpl w:val="43F0DBB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17"/>
  </w:num>
  <w:num w:numId="13">
    <w:abstractNumId w:val="14"/>
  </w:num>
  <w:num w:numId="14">
    <w:abstractNumId w:val="7"/>
  </w:num>
  <w:num w:numId="15">
    <w:abstractNumId w:val="15"/>
  </w:num>
  <w:num w:numId="16">
    <w:abstractNumId w:val="1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attachedTemplate r:id="rId1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68"/>
    <w:rsid w:val="00001972"/>
    <w:rsid w:val="00010F9A"/>
    <w:rsid w:val="00011206"/>
    <w:rsid w:val="000304E5"/>
    <w:rsid w:val="00032995"/>
    <w:rsid w:val="00046C20"/>
    <w:rsid w:val="000552B3"/>
    <w:rsid w:val="0007067B"/>
    <w:rsid w:val="00071FF7"/>
    <w:rsid w:val="000800D8"/>
    <w:rsid w:val="00081D07"/>
    <w:rsid w:val="00096DA5"/>
    <w:rsid w:val="000A6F12"/>
    <w:rsid w:val="000B6FF7"/>
    <w:rsid w:val="000C3494"/>
    <w:rsid w:val="000D0D28"/>
    <w:rsid w:val="000E599A"/>
    <w:rsid w:val="000F2564"/>
    <w:rsid w:val="001110BA"/>
    <w:rsid w:val="0011174B"/>
    <w:rsid w:val="00134A6E"/>
    <w:rsid w:val="00136F10"/>
    <w:rsid w:val="00137746"/>
    <w:rsid w:val="0014261E"/>
    <w:rsid w:val="00153C15"/>
    <w:rsid w:val="001561EE"/>
    <w:rsid w:val="00160DB9"/>
    <w:rsid w:val="001728F9"/>
    <w:rsid w:val="00190A1C"/>
    <w:rsid w:val="001B4DB4"/>
    <w:rsid w:val="001D216A"/>
    <w:rsid w:val="001D2E82"/>
    <w:rsid w:val="001E5D1F"/>
    <w:rsid w:val="001F5AB1"/>
    <w:rsid w:val="002013C5"/>
    <w:rsid w:val="002049FE"/>
    <w:rsid w:val="00205DF3"/>
    <w:rsid w:val="00206FC3"/>
    <w:rsid w:val="0021558E"/>
    <w:rsid w:val="0022083E"/>
    <w:rsid w:val="00222D0B"/>
    <w:rsid w:val="002278D1"/>
    <w:rsid w:val="002322B1"/>
    <w:rsid w:val="002349A3"/>
    <w:rsid w:val="00235142"/>
    <w:rsid w:val="00241D3D"/>
    <w:rsid w:val="00244C43"/>
    <w:rsid w:val="00246B64"/>
    <w:rsid w:val="0025218F"/>
    <w:rsid w:val="00253E16"/>
    <w:rsid w:val="00254DA8"/>
    <w:rsid w:val="00265857"/>
    <w:rsid w:val="002702E5"/>
    <w:rsid w:val="00272B04"/>
    <w:rsid w:val="00282315"/>
    <w:rsid w:val="00285E18"/>
    <w:rsid w:val="00292D97"/>
    <w:rsid w:val="002A4184"/>
    <w:rsid w:val="002A6950"/>
    <w:rsid w:val="002B5C69"/>
    <w:rsid w:val="002C2D2A"/>
    <w:rsid w:val="002C718A"/>
    <w:rsid w:val="002D230B"/>
    <w:rsid w:val="002E4D7F"/>
    <w:rsid w:val="002F1DA9"/>
    <w:rsid w:val="002F4BC0"/>
    <w:rsid w:val="0030303C"/>
    <w:rsid w:val="00322625"/>
    <w:rsid w:val="00343BF6"/>
    <w:rsid w:val="00344389"/>
    <w:rsid w:val="003478F2"/>
    <w:rsid w:val="00351475"/>
    <w:rsid w:val="003660A8"/>
    <w:rsid w:val="003755EE"/>
    <w:rsid w:val="00380188"/>
    <w:rsid w:val="003A108D"/>
    <w:rsid w:val="003A518D"/>
    <w:rsid w:val="003A76BF"/>
    <w:rsid w:val="003C1AA3"/>
    <w:rsid w:val="003C4BC4"/>
    <w:rsid w:val="003D2132"/>
    <w:rsid w:val="003D334C"/>
    <w:rsid w:val="003D38ED"/>
    <w:rsid w:val="003E384B"/>
    <w:rsid w:val="003F2363"/>
    <w:rsid w:val="003F26C8"/>
    <w:rsid w:val="0042528E"/>
    <w:rsid w:val="00425E13"/>
    <w:rsid w:val="0043122C"/>
    <w:rsid w:val="004354F9"/>
    <w:rsid w:val="00447505"/>
    <w:rsid w:val="00455360"/>
    <w:rsid w:val="004606DE"/>
    <w:rsid w:val="004632E9"/>
    <w:rsid w:val="0046678C"/>
    <w:rsid w:val="00477445"/>
    <w:rsid w:val="00477595"/>
    <w:rsid w:val="00491E4E"/>
    <w:rsid w:val="004A0A44"/>
    <w:rsid w:val="004B0A47"/>
    <w:rsid w:val="004B4254"/>
    <w:rsid w:val="004C05FA"/>
    <w:rsid w:val="004C5B13"/>
    <w:rsid w:val="004C7C8E"/>
    <w:rsid w:val="004D3B0F"/>
    <w:rsid w:val="004F1CCC"/>
    <w:rsid w:val="00516B0E"/>
    <w:rsid w:val="005338E4"/>
    <w:rsid w:val="0054020F"/>
    <w:rsid w:val="00553FA2"/>
    <w:rsid w:val="00555AEB"/>
    <w:rsid w:val="00556F43"/>
    <w:rsid w:val="005659D8"/>
    <w:rsid w:val="005738D2"/>
    <w:rsid w:val="00580338"/>
    <w:rsid w:val="00584B74"/>
    <w:rsid w:val="0059284E"/>
    <w:rsid w:val="00595C33"/>
    <w:rsid w:val="005A2D13"/>
    <w:rsid w:val="005A5387"/>
    <w:rsid w:val="005D1386"/>
    <w:rsid w:val="005D2BB0"/>
    <w:rsid w:val="005D64CC"/>
    <w:rsid w:val="005F6739"/>
    <w:rsid w:val="00603DDF"/>
    <w:rsid w:val="00607188"/>
    <w:rsid w:val="00631D3F"/>
    <w:rsid w:val="0063469D"/>
    <w:rsid w:val="0063588D"/>
    <w:rsid w:val="00647CBE"/>
    <w:rsid w:val="00647CDD"/>
    <w:rsid w:val="00655607"/>
    <w:rsid w:val="00661F4F"/>
    <w:rsid w:val="00663E71"/>
    <w:rsid w:val="00671D1D"/>
    <w:rsid w:val="0068286F"/>
    <w:rsid w:val="006842AC"/>
    <w:rsid w:val="00685945"/>
    <w:rsid w:val="00690CC4"/>
    <w:rsid w:val="006A07D5"/>
    <w:rsid w:val="006A4404"/>
    <w:rsid w:val="006B4826"/>
    <w:rsid w:val="006C4C9C"/>
    <w:rsid w:val="006C5288"/>
    <w:rsid w:val="006D2221"/>
    <w:rsid w:val="006D61F5"/>
    <w:rsid w:val="006E1E6A"/>
    <w:rsid w:val="006E4001"/>
    <w:rsid w:val="006F58A5"/>
    <w:rsid w:val="007008F0"/>
    <w:rsid w:val="00701C0A"/>
    <w:rsid w:val="00711349"/>
    <w:rsid w:val="0071270E"/>
    <w:rsid w:val="00714CA1"/>
    <w:rsid w:val="00723C5D"/>
    <w:rsid w:val="00725397"/>
    <w:rsid w:val="00731563"/>
    <w:rsid w:val="00744479"/>
    <w:rsid w:val="007468E8"/>
    <w:rsid w:val="00760721"/>
    <w:rsid w:val="007833EE"/>
    <w:rsid w:val="007923F5"/>
    <w:rsid w:val="007A04B7"/>
    <w:rsid w:val="007A2A27"/>
    <w:rsid w:val="007B553F"/>
    <w:rsid w:val="007C57B3"/>
    <w:rsid w:val="007F1EAE"/>
    <w:rsid w:val="00806473"/>
    <w:rsid w:val="00832BA4"/>
    <w:rsid w:val="008405AE"/>
    <w:rsid w:val="00853A7A"/>
    <w:rsid w:val="00892B6E"/>
    <w:rsid w:val="00901C5E"/>
    <w:rsid w:val="009509C7"/>
    <w:rsid w:val="00952938"/>
    <w:rsid w:val="009678A1"/>
    <w:rsid w:val="00974D68"/>
    <w:rsid w:val="0097566B"/>
    <w:rsid w:val="009877C7"/>
    <w:rsid w:val="00991425"/>
    <w:rsid w:val="009A549D"/>
    <w:rsid w:val="009B7023"/>
    <w:rsid w:val="009D24CA"/>
    <w:rsid w:val="009D5DB9"/>
    <w:rsid w:val="009F1EC4"/>
    <w:rsid w:val="00A0543C"/>
    <w:rsid w:val="00A13174"/>
    <w:rsid w:val="00A152D9"/>
    <w:rsid w:val="00A26A51"/>
    <w:rsid w:val="00A46A0B"/>
    <w:rsid w:val="00A52F3D"/>
    <w:rsid w:val="00A53D3F"/>
    <w:rsid w:val="00A54966"/>
    <w:rsid w:val="00A576FF"/>
    <w:rsid w:val="00A60163"/>
    <w:rsid w:val="00A67D9F"/>
    <w:rsid w:val="00A720C5"/>
    <w:rsid w:val="00A731BB"/>
    <w:rsid w:val="00A818A9"/>
    <w:rsid w:val="00A96C07"/>
    <w:rsid w:val="00AA5D04"/>
    <w:rsid w:val="00AA740C"/>
    <w:rsid w:val="00AC6DD1"/>
    <w:rsid w:val="00AD5EB3"/>
    <w:rsid w:val="00AE288C"/>
    <w:rsid w:val="00B016C3"/>
    <w:rsid w:val="00B21428"/>
    <w:rsid w:val="00B251DB"/>
    <w:rsid w:val="00B26C25"/>
    <w:rsid w:val="00B307E3"/>
    <w:rsid w:val="00B340FC"/>
    <w:rsid w:val="00B35C0C"/>
    <w:rsid w:val="00B41288"/>
    <w:rsid w:val="00B466C7"/>
    <w:rsid w:val="00B56353"/>
    <w:rsid w:val="00B647A2"/>
    <w:rsid w:val="00B91C2A"/>
    <w:rsid w:val="00B91D6C"/>
    <w:rsid w:val="00BA2207"/>
    <w:rsid w:val="00BB5696"/>
    <w:rsid w:val="00BC5B1A"/>
    <w:rsid w:val="00BD0F8A"/>
    <w:rsid w:val="00BE6437"/>
    <w:rsid w:val="00BE6EEA"/>
    <w:rsid w:val="00C02290"/>
    <w:rsid w:val="00C07FB4"/>
    <w:rsid w:val="00C43E97"/>
    <w:rsid w:val="00C52099"/>
    <w:rsid w:val="00C73A4C"/>
    <w:rsid w:val="00C8064F"/>
    <w:rsid w:val="00C82E84"/>
    <w:rsid w:val="00C868EC"/>
    <w:rsid w:val="00CD03EC"/>
    <w:rsid w:val="00CD0524"/>
    <w:rsid w:val="00CD3259"/>
    <w:rsid w:val="00CD5A93"/>
    <w:rsid w:val="00CE2573"/>
    <w:rsid w:val="00CF6F76"/>
    <w:rsid w:val="00D04CC5"/>
    <w:rsid w:val="00D1175A"/>
    <w:rsid w:val="00D12A37"/>
    <w:rsid w:val="00D17EC6"/>
    <w:rsid w:val="00D220CF"/>
    <w:rsid w:val="00D43D1F"/>
    <w:rsid w:val="00D57AA7"/>
    <w:rsid w:val="00D72CD4"/>
    <w:rsid w:val="00D841E9"/>
    <w:rsid w:val="00DC0F86"/>
    <w:rsid w:val="00DD35CE"/>
    <w:rsid w:val="00DD3EBD"/>
    <w:rsid w:val="00E01D7D"/>
    <w:rsid w:val="00E06302"/>
    <w:rsid w:val="00E12E92"/>
    <w:rsid w:val="00E15ECC"/>
    <w:rsid w:val="00E16496"/>
    <w:rsid w:val="00E16B70"/>
    <w:rsid w:val="00E3027E"/>
    <w:rsid w:val="00E33550"/>
    <w:rsid w:val="00E338FE"/>
    <w:rsid w:val="00E33E36"/>
    <w:rsid w:val="00E423A7"/>
    <w:rsid w:val="00E443D0"/>
    <w:rsid w:val="00E55DDA"/>
    <w:rsid w:val="00E62177"/>
    <w:rsid w:val="00E664E6"/>
    <w:rsid w:val="00E85FFC"/>
    <w:rsid w:val="00EA7496"/>
    <w:rsid w:val="00EB77D1"/>
    <w:rsid w:val="00EC00A2"/>
    <w:rsid w:val="00EC4637"/>
    <w:rsid w:val="00EC663E"/>
    <w:rsid w:val="00ED30E6"/>
    <w:rsid w:val="00ED552A"/>
    <w:rsid w:val="00EE1E89"/>
    <w:rsid w:val="00EF64D4"/>
    <w:rsid w:val="00EF778A"/>
    <w:rsid w:val="00F0746B"/>
    <w:rsid w:val="00F22BB9"/>
    <w:rsid w:val="00F22BBC"/>
    <w:rsid w:val="00F35237"/>
    <w:rsid w:val="00F41995"/>
    <w:rsid w:val="00F547D6"/>
    <w:rsid w:val="00F57F84"/>
    <w:rsid w:val="00F95EC5"/>
    <w:rsid w:val="00FA6785"/>
    <w:rsid w:val="00FC33C5"/>
    <w:rsid w:val="00FD1791"/>
    <w:rsid w:val="00FE0067"/>
    <w:rsid w:val="00FF3FEA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117C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677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DDF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color w:val="005677" w:themeColor="text2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677" w:themeColor="text2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0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05677" w:themeColor="text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2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677" w:themeColor="text2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32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67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DB"/>
  </w:style>
  <w:style w:type="paragraph" w:styleId="Footer">
    <w:name w:val="footer"/>
    <w:basedOn w:val="Normal"/>
    <w:link w:val="Foot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DB"/>
  </w:style>
  <w:style w:type="character" w:customStyle="1" w:styleId="Heading1Char">
    <w:name w:val="Heading 1 Char"/>
    <w:basedOn w:val="DefaultParagraphFont"/>
    <w:link w:val="Heading1"/>
    <w:uiPriority w:val="9"/>
    <w:rsid w:val="00EC00A2"/>
    <w:rPr>
      <w:rFonts w:asciiTheme="majorHAnsi" w:eastAsiaTheme="majorEastAsia" w:hAnsiTheme="majorHAnsi" w:cstheme="majorBidi"/>
      <w:color w:val="005677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C00A2"/>
    <w:pPr>
      <w:pBdr>
        <w:bottom w:val="single" w:sz="8" w:space="1" w:color="005677" w:themeColor="text2"/>
      </w:pBdr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005677" w:themeColor="text2"/>
      <w:spacing w:val="-1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00A2"/>
    <w:rPr>
      <w:rFonts w:asciiTheme="majorHAnsi" w:eastAsiaTheme="majorEastAsia" w:hAnsiTheme="majorHAnsi" w:cstheme="majorBidi"/>
      <w:color w:val="005677" w:themeColor="text2"/>
      <w:spacing w:val="-10"/>
      <w:kern w:val="28"/>
      <w:sz w:val="5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0A2"/>
    <w:pPr>
      <w:numPr>
        <w:ilvl w:val="1"/>
      </w:numPr>
    </w:pPr>
    <w:rPr>
      <w:rFonts w:eastAsiaTheme="minorEastAsia"/>
      <w:color w:val="58595B" w:themeColor="background2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C00A2"/>
    <w:rPr>
      <w:rFonts w:eastAsiaTheme="minorEastAsia"/>
      <w:color w:val="58595B" w:themeColor="background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3DDF"/>
    <w:rPr>
      <w:rFonts w:asciiTheme="majorHAnsi" w:eastAsiaTheme="majorEastAsia" w:hAnsiTheme="majorHAnsi" w:cstheme="majorBidi"/>
      <w:color w:val="005677" w:themeColor="text2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E4001"/>
    <w:rPr>
      <w:rFonts w:asciiTheme="majorHAnsi" w:eastAsiaTheme="majorEastAsia" w:hAnsiTheme="majorHAnsi" w:cstheme="majorBidi"/>
      <w:color w:val="005677" w:themeColor="text2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6E4001"/>
    <w:rPr>
      <w:rFonts w:asciiTheme="majorHAnsi" w:eastAsiaTheme="majorEastAsia" w:hAnsiTheme="majorHAnsi" w:cstheme="majorBidi"/>
      <w:iCs/>
      <w:color w:val="005677" w:themeColor="text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632E9"/>
    <w:rPr>
      <w:rFonts w:asciiTheme="majorHAnsi" w:eastAsiaTheme="majorEastAsia" w:hAnsiTheme="majorHAnsi" w:cstheme="majorBidi"/>
      <w:color w:val="005677" w:themeColor="text2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BE6EEA"/>
    <w:pPr>
      <w:pBdr>
        <w:top w:val="single" w:sz="4" w:space="6" w:color="auto"/>
        <w:bottom w:val="single" w:sz="4" w:space="6" w:color="auto"/>
      </w:pBdr>
      <w:spacing w:before="200"/>
      <w:ind w:left="720" w:right="864"/>
      <w:jc w:val="center"/>
    </w:pPr>
    <w:rPr>
      <w:i/>
      <w:iCs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6EEA"/>
    <w:rPr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B251DB"/>
    <w:rPr>
      <w:b/>
      <w:bCs/>
    </w:rPr>
  </w:style>
  <w:style w:type="character" w:styleId="Emphasis">
    <w:name w:val="Emphasis"/>
    <w:basedOn w:val="DefaultParagraphFont"/>
    <w:uiPriority w:val="20"/>
    <w:qFormat/>
    <w:rsid w:val="00B251DB"/>
    <w:rPr>
      <w:i/>
      <w:iCs/>
    </w:rPr>
  </w:style>
  <w:style w:type="paragraph" w:styleId="ListParagraph">
    <w:name w:val="List Paragraph"/>
    <w:basedOn w:val="Normal"/>
    <w:uiPriority w:val="34"/>
    <w:qFormat/>
    <w:rsid w:val="004632E9"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11349"/>
    <w:rPr>
      <w:color w:val="0070AE" w:themeColor="hyperlink"/>
      <w:u w:val="single"/>
    </w:rPr>
  </w:style>
  <w:style w:type="table" w:styleId="TableGrid">
    <w:name w:val="Table Grid"/>
    <w:basedOn w:val="TableNormal"/>
    <w:uiPriority w:val="39"/>
    <w:rsid w:val="0071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0C3494"/>
    <w:pPr>
      <w:spacing w:after="120" w:line="240" w:lineRule="auto"/>
    </w:pPr>
    <w:rPr>
      <w:i/>
      <w:iCs/>
      <w:color w:val="005677" w:themeColor="text2"/>
      <w:szCs w:val="18"/>
    </w:rPr>
  </w:style>
  <w:style w:type="character" w:styleId="PlaceholderText">
    <w:name w:val="Placeholder Text"/>
    <w:basedOn w:val="DefaultParagraphFont"/>
    <w:uiPriority w:val="99"/>
    <w:semiHidden/>
    <w:rsid w:val="00BD0F8A"/>
    <w:rPr>
      <w:color w:val="808080"/>
    </w:rPr>
  </w:style>
  <w:style w:type="paragraph" w:styleId="NoSpacing">
    <w:name w:val="No Spacing"/>
    <w:link w:val="NoSpacingChar"/>
    <w:uiPriority w:val="1"/>
    <w:qFormat/>
    <w:rsid w:val="00671D1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1D1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F2564"/>
    <w:pPr>
      <w:spacing w:after="48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2564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25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2564"/>
    <w:pPr>
      <w:spacing w:after="100"/>
      <w:ind w:left="440"/>
    </w:pPr>
  </w:style>
  <w:style w:type="paragraph" w:customStyle="1" w:styleId="Address">
    <w:name w:val="Address"/>
    <w:basedOn w:val="Subtitle"/>
    <w:qFormat/>
    <w:rsid w:val="009A549D"/>
    <w:pPr>
      <w:spacing w:after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7E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00283E" w:themeColor="accent2"/>
        <w:left w:val="single" w:sz="4" w:space="0" w:color="00283E" w:themeColor="accent2"/>
        <w:bottom w:val="single" w:sz="4" w:space="0" w:color="00283E" w:themeColor="accent2"/>
        <w:right w:val="single" w:sz="4" w:space="0" w:color="00283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rPr>
        <w:b/>
        <w:bCs/>
      </w:rPr>
      <w:tblPr/>
      <w:tcPr>
        <w:tcBorders>
          <w:top w:val="double" w:sz="4" w:space="0" w:color="00283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83E" w:themeColor="accent2"/>
          <w:right w:val="single" w:sz="4" w:space="0" w:color="00283E" w:themeColor="accent2"/>
        </w:tcBorders>
      </w:tcPr>
    </w:tblStylePr>
    <w:tblStylePr w:type="band1Horz">
      <w:tblPr/>
      <w:tcPr>
        <w:tcBorders>
          <w:top w:val="single" w:sz="4" w:space="0" w:color="00283E" w:themeColor="accent2"/>
          <w:bottom w:val="single" w:sz="4" w:space="0" w:color="00283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83E" w:themeColor="accent2"/>
          <w:left w:val="nil"/>
        </w:tcBorders>
      </w:tcPr>
    </w:tblStylePr>
    <w:tblStylePr w:type="swCell">
      <w:tblPr/>
      <w:tcPr>
        <w:tcBorders>
          <w:top w:val="double" w:sz="4" w:space="0" w:color="00283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1B9590" w:themeColor="accent3"/>
        <w:left w:val="single" w:sz="4" w:space="0" w:color="1B9590" w:themeColor="accent3"/>
        <w:bottom w:val="single" w:sz="4" w:space="0" w:color="1B9590" w:themeColor="accent3"/>
        <w:right w:val="single" w:sz="4" w:space="0" w:color="1B959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rPr>
        <w:b/>
        <w:bCs/>
      </w:rPr>
      <w:tblPr/>
      <w:tcPr>
        <w:tcBorders>
          <w:top w:val="double" w:sz="4" w:space="0" w:color="1B959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9590" w:themeColor="accent3"/>
          <w:right w:val="single" w:sz="4" w:space="0" w:color="1B9590" w:themeColor="accent3"/>
        </w:tcBorders>
      </w:tcPr>
    </w:tblStylePr>
    <w:tblStylePr w:type="band1Horz">
      <w:tblPr/>
      <w:tcPr>
        <w:tcBorders>
          <w:top w:val="single" w:sz="4" w:space="0" w:color="1B9590" w:themeColor="accent3"/>
          <w:bottom w:val="single" w:sz="4" w:space="0" w:color="1B959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9590" w:themeColor="accent3"/>
          <w:left w:val="nil"/>
        </w:tcBorders>
      </w:tcPr>
    </w:tblStylePr>
    <w:tblStylePr w:type="swCell">
      <w:tblPr/>
      <w:tcPr>
        <w:tcBorders>
          <w:top w:val="double" w:sz="4" w:space="0" w:color="1B9590" w:themeColor="accent3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EEA"/>
    <w:pPr>
      <w:pBdr>
        <w:top w:val="single" w:sz="4" w:space="6" w:color="DFF3F3" w:themeColor="accent4" w:themeTint="33"/>
        <w:left w:val="single" w:sz="4" w:space="4" w:color="DFF3F3" w:themeColor="accent4" w:themeTint="33"/>
        <w:bottom w:val="single" w:sz="4" w:space="6" w:color="DFF3F3" w:themeColor="accent4" w:themeTint="33"/>
        <w:right w:val="single" w:sz="4" w:space="4" w:color="DFF3F3" w:themeColor="accent4" w:themeTint="33"/>
      </w:pBdr>
      <w:shd w:val="clear" w:color="auto" w:fill="DFF3F3" w:themeFill="accent4" w:themeFillTint="33"/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EEA"/>
    <w:rPr>
      <w:i/>
      <w:iCs/>
      <w:shd w:val="clear" w:color="auto" w:fill="DFF3F3" w:themeFill="accent4" w:themeFillTint="33"/>
    </w:rPr>
  </w:style>
  <w:style w:type="paragraph" w:customStyle="1" w:styleId="Calloutbox">
    <w:name w:val="Call out box"/>
    <w:basedOn w:val="Normal"/>
    <w:qFormat/>
    <w:rsid w:val="00032995"/>
    <w:pPr>
      <w:pBdr>
        <w:top w:val="single" w:sz="4" w:space="6" w:color="DFF3F3" w:themeColor="accent4" w:themeTint="33"/>
        <w:left w:val="single" w:sz="4" w:space="4" w:color="DFF3F3" w:themeColor="accent4" w:themeTint="33"/>
        <w:bottom w:val="single" w:sz="4" w:space="6" w:color="DFF3F3" w:themeColor="accent4" w:themeTint="33"/>
        <w:right w:val="single" w:sz="4" w:space="4" w:color="DFF3F3" w:themeColor="accent4" w:themeTint="33"/>
      </w:pBdr>
      <w:shd w:val="clear" w:color="auto" w:fill="DFF3F3" w:themeFill="accent4" w:themeFillTint="33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4632E9"/>
    <w:rPr>
      <w:rFonts w:asciiTheme="majorHAnsi" w:eastAsiaTheme="majorEastAsia" w:hAnsiTheme="majorHAnsi" w:cstheme="majorBidi"/>
      <w:color w:val="005677" w:themeColor="text2"/>
    </w:rPr>
  </w:style>
  <w:style w:type="table" w:styleId="GridTable4-Accent2">
    <w:name w:val="Grid Table 4 Accent 2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009AF1" w:themeColor="accent2" w:themeTint="99"/>
        <w:left w:val="single" w:sz="4" w:space="0" w:color="009AF1" w:themeColor="accent2" w:themeTint="99"/>
        <w:bottom w:val="single" w:sz="4" w:space="0" w:color="009AF1" w:themeColor="accent2" w:themeTint="99"/>
        <w:right w:val="single" w:sz="4" w:space="0" w:color="009AF1" w:themeColor="accent2" w:themeTint="99"/>
        <w:insideH w:val="single" w:sz="4" w:space="0" w:color="009AF1" w:themeColor="accent2" w:themeTint="99"/>
        <w:insideV w:val="single" w:sz="4" w:space="0" w:color="009AF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83E" w:themeColor="accent2"/>
          <w:left w:val="single" w:sz="4" w:space="0" w:color="00283E" w:themeColor="accent2"/>
          <w:bottom w:val="single" w:sz="4" w:space="0" w:color="00283E" w:themeColor="accent2"/>
          <w:right w:val="single" w:sz="4" w:space="0" w:color="00283E" w:themeColor="accent2"/>
          <w:insideH w:val="nil"/>
          <w:insideV w:val="nil"/>
        </w:tcBorders>
        <w:shd w:val="clear" w:color="auto" w:fill="00283E" w:themeFill="accent2"/>
      </w:tcPr>
    </w:tblStylePr>
    <w:tblStylePr w:type="lastRow">
      <w:rPr>
        <w:b/>
        <w:bCs/>
      </w:rPr>
      <w:tblPr/>
      <w:tcPr>
        <w:tcBorders>
          <w:top w:val="double" w:sz="4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FFF" w:themeFill="accent2" w:themeFillTint="33"/>
      </w:tcPr>
    </w:tblStylePr>
    <w:tblStylePr w:type="band1Horz">
      <w:tblPr/>
      <w:tcPr>
        <w:shd w:val="clear" w:color="auto" w:fill="A5DFFF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4BBFFF" w:themeColor="accent2" w:themeTint="66"/>
        <w:left w:val="single" w:sz="4" w:space="0" w:color="4BBFFF" w:themeColor="accent2" w:themeTint="66"/>
        <w:bottom w:val="single" w:sz="4" w:space="0" w:color="4BBFFF" w:themeColor="accent2" w:themeTint="66"/>
        <w:right w:val="single" w:sz="4" w:space="0" w:color="4BBFFF" w:themeColor="accent2" w:themeTint="66"/>
        <w:insideH w:val="single" w:sz="4" w:space="0" w:color="4BBFFF" w:themeColor="accent2" w:themeTint="66"/>
        <w:insideV w:val="single" w:sz="4" w:space="0" w:color="4BB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9AF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AF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59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59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3959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39598" w:themeFill="accent1"/>
      </w:tcPr>
    </w:tblStylePr>
    <w:tblStylePr w:type="band1Vert">
      <w:tblPr/>
      <w:tcPr>
        <w:shd w:val="clear" w:color="auto" w:fill="D3D4D5" w:themeFill="accent1" w:themeFillTint="66"/>
      </w:tcPr>
    </w:tblStylePr>
    <w:tblStylePr w:type="band1Horz">
      <w:tblPr/>
      <w:tcPr>
        <w:shd w:val="clear" w:color="auto" w:fill="D3D4D5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BEBFC1" w:themeColor="accent1" w:themeTint="99"/>
        <w:left w:val="single" w:sz="4" w:space="0" w:color="BEBFC1" w:themeColor="accent1" w:themeTint="99"/>
        <w:bottom w:val="single" w:sz="4" w:space="0" w:color="BEBFC1" w:themeColor="accent1" w:themeTint="99"/>
        <w:right w:val="single" w:sz="4" w:space="0" w:color="BEBFC1" w:themeColor="accent1" w:themeTint="99"/>
        <w:insideH w:val="single" w:sz="4" w:space="0" w:color="BEBFC1" w:themeColor="accent1" w:themeTint="99"/>
        <w:insideV w:val="single" w:sz="4" w:space="0" w:color="BEBFC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9598" w:themeColor="accent1"/>
          <w:left w:val="single" w:sz="4" w:space="0" w:color="939598" w:themeColor="accent1"/>
          <w:bottom w:val="single" w:sz="4" w:space="0" w:color="939598" w:themeColor="accent1"/>
          <w:right w:val="single" w:sz="4" w:space="0" w:color="939598" w:themeColor="accent1"/>
          <w:insideH w:val="nil"/>
          <w:insideV w:val="nil"/>
        </w:tcBorders>
        <w:shd w:val="clear" w:color="auto" w:fill="939598" w:themeFill="accent1"/>
      </w:tcPr>
    </w:tblStylePr>
    <w:tblStylePr w:type="lastRow">
      <w:rPr>
        <w:b/>
        <w:bCs/>
      </w:rPr>
      <w:tblPr/>
      <w:tcPr>
        <w:tcBorders>
          <w:top w:val="double" w:sz="4" w:space="0" w:color="93959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1" w:themeFillTint="33"/>
      </w:tcPr>
    </w:tblStylePr>
    <w:tblStylePr w:type="band1Horz">
      <w:tblPr/>
      <w:tcPr>
        <w:shd w:val="clear" w:color="auto" w:fill="E9E9EA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C3E8EC" w:themeColor="accent5" w:themeTint="99"/>
        <w:left w:val="single" w:sz="4" w:space="0" w:color="C3E8EC" w:themeColor="accent5" w:themeTint="99"/>
        <w:bottom w:val="single" w:sz="4" w:space="0" w:color="C3E8EC" w:themeColor="accent5" w:themeTint="99"/>
        <w:right w:val="single" w:sz="4" w:space="0" w:color="C3E8EC" w:themeColor="accent5" w:themeTint="99"/>
        <w:insideH w:val="single" w:sz="4" w:space="0" w:color="C3E8EC" w:themeColor="accent5" w:themeTint="99"/>
        <w:insideV w:val="single" w:sz="4" w:space="0" w:color="C3E8E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D9E0" w:themeColor="accent5"/>
          <w:left w:val="single" w:sz="4" w:space="0" w:color="9CD9E0" w:themeColor="accent5"/>
          <w:bottom w:val="single" w:sz="4" w:space="0" w:color="9CD9E0" w:themeColor="accent5"/>
          <w:right w:val="single" w:sz="4" w:space="0" w:color="9CD9E0" w:themeColor="accent5"/>
          <w:insideH w:val="nil"/>
          <w:insideV w:val="nil"/>
        </w:tcBorders>
        <w:shd w:val="clear" w:color="auto" w:fill="9CD9E0" w:themeFill="accent5"/>
      </w:tcPr>
    </w:tblStylePr>
    <w:tblStylePr w:type="lastRow">
      <w:rPr>
        <w:b/>
        <w:bCs/>
      </w:rPr>
      <w:tblPr/>
      <w:tcPr>
        <w:tcBorders>
          <w:top w:val="double" w:sz="4" w:space="0" w:color="9CD9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8" w:themeFill="accent5" w:themeFillTint="33"/>
      </w:tcPr>
    </w:tblStylePr>
    <w:tblStylePr w:type="band1Horz">
      <w:tblPr/>
      <w:tcPr>
        <w:shd w:val="clear" w:color="auto" w:fill="EBF7F8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A0DCDC" w:themeColor="accent4" w:themeTint="99"/>
        <w:left w:val="single" w:sz="4" w:space="0" w:color="A0DCDC" w:themeColor="accent4" w:themeTint="99"/>
        <w:bottom w:val="single" w:sz="4" w:space="0" w:color="A0DCDC" w:themeColor="accent4" w:themeTint="99"/>
        <w:right w:val="single" w:sz="4" w:space="0" w:color="A0DCDC" w:themeColor="accent4" w:themeTint="99"/>
        <w:insideH w:val="single" w:sz="4" w:space="0" w:color="A0DCDC" w:themeColor="accent4" w:themeTint="99"/>
        <w:insideV w:val="single" w:sz="4" w:space="0" w:color="A0D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C6C6" w:themeColor="accent4"/>
          <w:left w:val="single" w:sz="4" w:space="0" w:color="61C6C6" w:themeColor="accent4"/>
          <w:bottom w:val="single" w:sz="4" w:space="0" w:color="61C6C6" w:themeColor="accent4"/>
          <w:right w:val="single" w:sz="4" w:space="0" w:color="61C6C6" w:themeColor="accent4"/>
          <w:insideH w:val="nil"/>
          <w:insideV w:val="nil"/>
        </w:tcBorders>
        <w:shd w:val="clear" w:color="auto" w:fill="61C6C6" w:themeFill="accent4"/>
      </w:tcPr>
    </w:tblStylePr>
    <w:tblStylePr w:type="lastRow">
      <w:rPr>
        <w:b/>
        <w:bCs/>
      </w:rPr>
      <w:tblPr/>
      <w:tcPr>
        <w:tcBorders>
          <w:top w:val="double" w:sz="4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3" w:themeFill="accent4" w:themeFillTint="33"/>
      </w:tcPr>
    </w:tblStylePr>
    <w:tblStylePr w:type="band1Horz">
      <w:tblPr/>
      <w:tcPr>
        <w:shd w:val="clear" w:color="auto" w:fill="DFF3F3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55E0DA" w:themeColor="accent3" w:themeTint="99"/>
        <w:left w:val="single" w:sz="4" w:space="0" w:color="55E0DA" w:themeColor="accent3" w:themeTint="99"/>
        <w:bottom w:val="single" w:sz="4" w:space="0" w:color="55E0DA" w:themeColor="accent3" w:themeTint="99"/>
        <w:right w:val="single" w:sz="4" w:space="0" w:color="55E0DA" w:themeColor="accent3" w:themeTint="99"/>
        <w:insideH w:val="single" w:sz="4" w:space="0" w:color="55E0DA" w:themeColor="accent3" w:themeTint="99"/>
        <w:insideV w:val="single" w:sz="4" w:space="0" w:color="55E0D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9590" w:themeColor="accent3"/>
          <w:left w:val="single" w:sz="4" w:space="0" w:color="1B9590" w:themeColor="accent3"/>
          <w:bottom w:val="single" w:sz="4" w:space="0" w:color="1B9590" w:themeColor="accent3"/>
          <w:right w:val="single" w:sz="4" w:space="0" w:color="1B9590" w:themeColor="accent3"/>
          <w:insideH w:val="nil"/>
          <w:insideV w:val="nil"/>
        </w:tcBorders>
        <w:shd w:val="clear" w:color="auto" w:fill="1B9590" w:themeFill="accent3"/>
      </w:tcPr>
    </w:tblStylePr>
    <w:tblStylePr w:type="lastRow">
      <w:rPr>
        <w:b/>
        <w:bCs/>
      </w:rPr>
      <w:tblPr/>
      <w:tcPr>
        <w:tcBorders>
          <w:top w:val="double" w:sz="4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4F2" w:themeFill="accent3" w:themeFillTint="33"/>
      </w:tcPr>
    </w:tblStylePr>
    <w:tblStylePr w:type="band1Horz">
      <w:tblPr/>
      <w:tcPr>
        <w:shd w:val="clear" w:color="auto" w:fill="C6F4F2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35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2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2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23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0D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D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D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0%20Templates\Workgroup%20Templates\Departmental\DISER%20Document.dotx" TargetMode="External"/></Relationships>
</file>

<file path=word/theme/theme1.xml><?xml version="1.0" encoding="utf-8"?>
<a:theme xmlns:a="http://schemas.openxmlformats.org/drawingml/2006/main" name="Office Theme">
  <a:themeElements>
    <a:clrScheme name="DIIS">
      <a:dk1>
        <a:srgbClr val="000000"/>
      </a:dk1>
      <a:lt1>
        <a:srgbClr val="FFFFFF"/>
      </a:lt1>
      <a:dk2>
        <a:srgbClr val="005677"/>
      </a:dk2>
      <a:lt2>
        <a:srgbClr val="58595B"/>
      </a:lt2>
      <a:accent1>
        <a:srgbClr val="939598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70AE"/>
      </a:hlink>
      <a:folHlink>
        <a:srgbClr val="551A8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6" ma:contentTypeDescription="Create a new document." ma:contentTypeScope="" ma:versionID="f6a6876770fe920a439d29499c8ba147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d92934b5-032c-4da3-958e-788fdb9771c1" xmlns:ns4="http://schemas.microsoft.com/sharepoint/v4" targetNamespace="http://schemas.microsoft.com/office/2006/metadata/properties" ma:root="true" ma:fieldsID="f7f97242c02b47becc1a631b8c169106" ns1:_="" ns2:_="" ns3:_="" ns4:_="">
    <xsd:import namespace="http://schemas.microsoft.com/sharepoint/v3"/>
    <xsd:import namespace="a36bd50b-1532-4c22-b385-5c082c960938"/>
    <xsd:import namespace="d92934b5-032c-4da3-958e-788fdb9771c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3:b35197c3e83b4648a7123a57f421e83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2e8ca0a-ece4-4eeb-9587-75e521e14479}" ma:internalName="TaxCatchAll" ma:showField="CatchAllData" ma:web="d92934b5-032c-4da3-958e-788fdb977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67a04eba-df4a-46cb-bbde-98e4bc5c0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934b5-032c-4da3-958e-788fdb9771c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35197c3e83b4648a7123a57f421e83e" ma:index="25" nillable="true" ma:taxonomy="true" ma:internalName="b35197c3e83b4648a7123a57f421e83e" ma:taxonomyFieldName="DocHub_FuelSecurityLegislationWorkTopics" ma:displayName="Fuel Security Legislation Work Topics" ma:indexed="true" ma:default="" ma:fieldId="{b35197c3-e83b-4648-a712-3a57f421e83e}" ma:sspId="fb0313f7-9433-48c0-866e-9e0bbee59a50" ma:termSetId="5bde1f9d-e10a-4f76-8f32-2bd6d1adfb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/>
    </adb9bed2e36e4a93af574aeb444da63e>
    <n99e4c9942c6404eb103464a00e6097b xmlns="a36bd50b-1532-4c22-b385-5c082c960938">
      <Terms xmlns="http://schemas.microsoft.com/office/infopath/2007/PartnerControls"/>
    </n99e4c9942c6404eb103464a00e6097b>
    <b35197c3e83b4648a7123a57f421e83e xmlns="d92934b5-032c-4da3-958e-788fdb9771c1">
      <Terms xmlns="http://schemas.microsoft.com/office/infopath/2007/PartnerControls"/>
    </b35197c3e83b4648a7123a57f421e83e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Regulatory Impact Statement</TermName>
          <TermId xmlns="http://schemas.microsoft.com/office/infopath/2007/PartnerControls">b67cf5e3-3946-4a1a-b234-9cb1fda6ff32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/>
    </g7bcb40ba23249a78edca7d43a67c1c9>
    <TaxCatchAll xmlns="a36bd50b-1532-4c22-b385-5c082c960938">
      <Value>1</Value>
      <Value>667</Value>
    </TaxCatchAll>
    <Comment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C578B-15D1-4AA4-AFAD-4831FB679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d92934b5-032c-4da3-958e-788fdb9771c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61AC5-6324-42B4-BF31-739B426F5A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737B56-6B0E-42B1-B18D-D1C0C568D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C8F1F2-A330-4A35-AA91-EEFDEFA5F500}">
  <ds:schemaRefs>
    <ds:schemaRef ds:uri="http://schemas.microsoft.com/office/2006/documentManagement/types"/>
    <ds:schemaRef ds:uri="d92934b5-032c-4da3-958e-788fdb9771c1"/>
    <ds:schemaRef ds:uri="http://purl.org/dc/elements/1.1/"/>
    <ds:schemaRef ds:uri="http://schemas.microsoft.com/office/2006/metadata/properties"/>
    <ds:schemaRef ds:uri="a36bd50b-1532-4c22-b385-5c082c960938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57BD26F-788C-42F4-A56B-1AD5DBCB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DISER Document</Template>
  <TotalTime>0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2021-06-30T23:54:00Z</dcterms:created>
  <dcterms:modified xsi:type="dcterms:W3CDTF">2021-06-30T23:54:00Z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/>
  </property>
  <property fmtid="{D5CDD505-2E9C-101B-9397-08002B2CF9AE}" pid="4" name="DocHub_DocumentType">
    <vt:lpwstr>667;#Regulatory Impact Statement|b67cf5e3-3946-4a1a-b234-9cb1fda6ff32</vt:lpwstr>
  </property>
  <property fmtid="{D5CDD505-2E9C-101B-9397-08002B2CF9AE}" pid="5" name="DocHub_SecurityClassification">
    <vt:lpwstr>1;#OFFICIAL|6106d03b-a1a0-4e30-9d91-d5e9fb4314f9</vt:lpwstr>
  </property>
  <property fmtid="{D5CDD505-2E9C-101B-9397-08002B2CF9AE}" pid="6" name="DocHub_Keywords">
    <vt:lpwstr/>
  </property>
  <property fmtid="{D5CDD505-2E9C-101B-9397-08002B2CF9AE}" pid="7" name="DocHub_FuelSecurityLegislationWorkTopics">
    <vt:lpwstr/>
  </property>
  <property fmtid="{D5CDD505-2E9C-101B-9397-08002B2CF9AE}" pid="8" name="DocHub_WorkActivity">
    <vt:lpwstr/>
  </property>
</Properties>
</file>