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858F" w14:textId="77777777" w:rsidR="00EB004A" w:rsidRPr="004B3F8E" w:rsidRDefault="007E6583" w:rsidP="007C6D12">
      <w:pPr>
        <w:pStyle w:val="Title"/>
        <w:spacing w:before="4920"/>
      </w:pPr>
      <w:bookmarkStart w:id="0" w:name="_Hlk71195267"/>
      <w:bookmarkEnd w:id="0"/>
      <w:r w:rsidRPr="004B3F8E">
        <w:t xml:space="preserve">Regulation </w:t>
      </w:r>
      <w:r w:rsidR="00433738" w:rsidRPr="004B3F8E">
        <w:t>I</w:t>
      </w:r>
      <w:r w:rsidR="00E551D2" w:rsidRPr="004B3F8E">
        <w:t xml:space="preserve">mpact </w:t>
      </w:r>
      <w:r w:rsidR="00433738" w:rsidRPr="004B3F8E">
        <w:t>S</w:t>
      </w:r>
      <w:r w:rsidR="00E551D2" w:rsidRPr="004B3F8E">
        <w:t xml:space="preserve">tatement </w:t>
      </w:r>
    </w:p>
    <w:p w14:paraId="02BC834A" w14:textId="77777777" w:rsidR="00EB004A" w:rsidRPr="004B3F8E" w:rsidRDefault="00EB004A" w:rsidP="007C6D12">
      <w:pPr>
        <w:pStyle w:val="Title"/>
        <w:spacing w:before="4920"/>
      </w:pPr>
    </w:p>
    <w:p w14:paraId="1505542D" w14:textId="77777777" w:rsidR="00E551D2" w:rsidRPr="004B3F8E" w:rsidRDefault="00D67EF7" w:rsidP="007C6D12">
      <w:pPr>
        <w:pStyle w:val="Title"/>
        <w:spacing w:before="4920"/>
        <w:rPr>
          <w:i/>
        </w:rPr>
      </w:pPr>
      <w:r w:rsidRPr="00D67EF7">
        <w:rPr>
          <w:i/>
        </w:rPr>
        <w:t xml:space="preserve">Unlawful activity </w:t>
      </w:r>
      <w:r>
        <w:rPr>
          <w:i/>
        </w:rPr>
        <w:t>–</w:t>
      </w:r>
      <w:r w:rsidRPr="00D67EF7">
        <w:rPr>
          <w:i/>
        </w:rPr>
        <w:t xml:space="preserve"> changes</w:t>
      </w:r>
      <w:r>
        <w:rPr>
          <w:i/>
        </w:rPr>
        <w:t xml:space="preserve"> </w:t>
      </w:r>
      <w:r w:rsidRPr="00D67EF7">
        <w:rPr>
          <w:i/>
        </w:rPr>
        <w:t>to the governance standards for registered charities</w:t>
      </w:r>
    </w:p>
    <w:p w14:paraId="087AEEDC" w14:textId="77777777" w:rsidR="00E8581B" w:rsidRPr="004B3F8E" w:rsidRDefault="00E8581B" w:rsidP="007C6D12"/>
    <w:p w14:paraId="6F2A345A" w14:textId="77777777" w:rsidR="00E8581B" w:rsidRPr="004B3F8E" w:rsidRDefault="00E8581B" w:rsidP="007C6D12">
      <w:pPr>
        <w:sectPr w:rsidR="00E8581B" w:rsidRPr="004B3F8E" w:rsidSect="004F074D">
          <w:type w:val="oddPage"/>
          <w:pgSz w:w="11906" w:h="16838"/>
          <w:pgMar w:top="1440" w:right="1440" w:bottom="1440" w:left="1440" w:header="708" w:footer="708" w:gutter="0"/>
          <w:cols w:space="708"/>
          <w:docGrid w:linePitch="360"/>
        </w:sectPr>
      </w:pPr>
    </w:p>
    <w:p w14:paraId="41275702" w14:textId="77777777" w:rsidR="00E8581B" w:rsidRPr="004B3F8E" w:rsidRDefault="00E8581B" w:rsidP="007C6D12"/>
    <w:sdt>
      <w:sdtPr>
        <w:rPr>
          <w:rFonts w:asciiTheme="minorHAnsi" w:eastAsiaTheme="minorHAnsi" w:hAnsiTheme="minorHAnsi" w:cstheme="minorBidi"/>
          <w:b w:val="0"/>
          <w:bCs w:val="0"/>
          <w:color w:val="auto"/>
          <w:sz w:val="22"/>
          <w:szCs w:val="22"/>
          <w:lang w:val="en-AU" w:eastAsia="en-US"/>
        </w:rPr>
        <w:id w:val="-863443742"/>
        <w:docPartObj>
          <w:docPartGallery w:val="Table of Contents"/>
          <w:docPartUnique/>
        </w:docPartObj>
      </w:sdtPr>
      <w:sdtEndPr>
        <w:rPr>
          <w:noProof/>
        </w:rPr>
      </w:sdtEndPr>
      <w:sdtContent>
        <w:p w14:paraId="1D41BA60" w14:textId="77777777" w:rsidR="00E551D2" w:rsidRPr="004B3F8E" w:rsidRDefault="00E551D2" w:rsidP="00D94EE3">
          <w:pPr>
            <w:pStyle w:val="TOCHeading"/>
            <w:jc w:val="center"/>
          </w:pPr>
          <w:r w:rsidRPr="004B3F8E">
            <w:t>Contents</w:t>
          </w:r>
        </w:p>
        <w:p w14:paraId="3D137F2C" w14:textId="72C875F0" w:rsidR="00F73981" w:rsidRDefault="00F73981">
          <w:pPr>
            <w:pStyle w:val="TOC1"/>
            <w:tabs>
              <w:tab w:val="right" w:leader="dot" w:pos="9016"/>
            </w:tabs>
            <w:rPr>
              <w:rFonts w:eastAsiaTheme="minorEastAsia"/>
              <w:b w:val="0"/>
              <w:noProof/>
              <w:lang w:eastAsia="en-AU"/>
            </w:rPr>
          </w:pPr>
          <w:r>
            <w:fldChar w:fldCharType="begin"/>
          </w:r>
          <w:r>
            <w:instrText xml:space="preserve"> TOC \o "1-1" \h \z \u </w:instrText>
          </w:r>
          <w:r>
            <w:fldChar w:fldCharType="separate"/>
          </w:r>
          <w:hyperlink w:anchor="_Toc72137341" w:history="1">
            <w:r w:rsidRPr="00C24F15">
              <w:rPr>
                <w:rStyle w:val="Hyperlink"/>
                <w:noProof/>
              </w:rPr>
              <w:t>Introduction</w:t>
            </w:r>
            <w:r>
              <w:rPr>
                <w:noProof/>
                <w:webHidden/>
              </w:rPr>
              <w:tab/>
            </w:r>
            <w:r>
              <w:rPr>
                <w:noProof/>
                <w:webHidden/>
              </w:rPr>
              <w:fldChar w:fldCharType="begin"/>
            </w:r>
            <w:r>
              <w:rPr>
                <w:noProof/>
                <w:webHidden/>
              </w:rPr>
              <w:instrText xml:space="preserve"> PAGEREF _Toc72137341 \h </w:instrText>
            </w:r>
            <w:r>
              <w:rPr>
                <w:noProof/>
                <w:webHidden/>
              </w:rPr>
            </w:r>
            <w:r>
              <w:rPr>
                <w:noProof/>
                <w:webHidden/>
              </w:rPr>
              <w:fldChar w:fldCharType="separate"/>
            </w:r>
            <w:r w:rsidR="00465516">
              <w:rPr>
                <w:noProof/>
                <w:webHidden/>
              </w:rPr>
              <w:t>1</w:t>
            </w:r>
            <w:r>
              <w:rPr>
                <w:noProof/>
                <w:webHidden/>
              </w:rPr>
              <w:fldChar w:fldCharType="end"/>
            </w:r>
          </w:hyperlink>
        </w:p>
        <w:p w14:paraId="30029CC4" w14:textId="623EFFA8" w:rsidR="00F73981" w:rsidRDefault="00465516">
          <w:pPr>
            <w:pStyle w:val="TOC1"/>
            <w:tabs>
              <w:tab w:val="left" w:pos="440"/>
              <w:tab w:val="right" w:leader="dot" w:pos="9016"/>
            </w:tabs>
            <w:rPr>
              <w:rFonts w:eastAsiaTheme="minorEastAsia"/>
              <w:b w:val="0"/>
              <w:noProof/>
              <w:lang w:eastAsia="en-AU"/>
            </w:rPr>
          </w:pPr>
          <w:hyperlink w:anchor="_Toc72137342" w:history="1">
            <w:r w:rsidR="00F73981" w:rsidRPr="00C24F15">
              <w:rPr>
                <w:rStyle w:val="Hyperlink"/>
                <w:noProof/>
              </w:rPr>
              <w:t>1.</w:t>
            </w:r>
            <w:r w:rsidR="00F73981">
              <w:rPr>
                <w:rFonts w:eastAsiaTheme="minorEastAsia"/>
                <w:b w:val="0"/>
                <w:noProof/>
                <w:lang w:eastAsia="en-AU"/>
              </w:rPr>
              <w:tab/>
            </w:r>
            <w:r w:rsidR="00F73981" w:rsidRPr="00C24F15">
              <w:rPr>
                <w:rStyle w:val="Hyperlink"/>
                <w:noProof/>
              </w:rPr>
              <w:t>What is the policy problem you are trying to solve?</w:t>
            </w:r>
            <w:r w:rsidR="00F73981">
              <w:rPr>
                <w:noProof/>
                <w:webHidden/>
              </w:rPr>
              <w:tab/>
            </w:r>
            <w:r w:rsidR="00F73981">
              <w:rPr>
                <w:noProof/>
                <w:webHidden/>
              </w:rPr>
              <w:fldChar w:fldCharType="begin"/>
            </w:r>
            <w:r w:rsidR="00F73981">
              <w:rPr>
                <w:noProof/>
                <w:webHidden/>
              </w:rPr>
              <w:instrText xml:space="preserve"> PAGEREF _Toc72137342 \h </w:instrText>
            </w:r>
            <w:r w:rsidR="00F73981">
              <w:rPr>
                <w:noProof/>
                <w:webHidden/>
              </w:rPr>
            </w:r>
            <w:r w:rsidR="00F73981">
              <w:rPr>
                <w:noProof/>
                <w:webHidden/>
              </w:rPr>
              <w:fldChar w:fldCharType="separate"/>
            </w:r>
            <w:r>
              <w:rPr>
                <w:noProof/>
                <w:webHidden/>
              </w:rPr>
              <w:t>1</w:t>
            </w:r>
            <w:r w:rsidR="00F73981">
              <w:rPr>
                <w:noProof/>
                <w:webHidden/>
              </w:rPr>
              <w:fldChar w:fldCharType="end"/>
            </w:r>
          </w:hyperlink>
        </w:p>
        <w:p w14:paraId="6F44E69D" w14:textId="08B786D8" w:rsidR="00F73981" w:rsidRDefault="00465516">
          <w:pPr>
            <w:pStyle w:val="TOC1"/>
            <w:tabs>
              <w:tab w:val="left" w:pos="440"/>
              <w:tab w:val="right" w:leader="dot" w:pos="9016"/>
            </w:tabs>
            <w:rPr>
              <w:rFonts w:eastAsiaTheme="minorEastAsia"/>
              <w:b w:val="0"/>
              <w:noProof/>
              <w:lang w:eastAsia="en-AU"/>
            </w:rPr>
          </w:pPr>
          <w:hyperlink w:anchor="_Toc72137343" w:history="1">
            <w:r w:rsidR="00F73981" w:rsidRPr="00C24F15">
              <w:rPr>
                <w:rStyle w:val="Hyperlink"/>
                <w:noProof/>
              </w:rPr>
              <w:t>2.</w:t>
            </w:r>
            <w:r w:rsidR="00F73981">
              <w:rPr>
                <w:rFonts w:eastAsiaTheme="minorEastAsia"/>
                <w:b w:val="0"/>
                <w:noProof/>
                <w:lang w:eastAsia="en-AU"/>
              </w:rPr>
              <w:tab/>
            </w:r>
            <w:r w:rsidR="00F73981" w:rsidRPr="00C24F15">
              <w:rPr>
                <w:rStyle w:val="Hyperlink"/>
                <w:noProof/>
              </w:rPr>
              <w:t>Why is Government action needed?</w:t>
            </w:r>
            <w:r w:rsidR="00F73981">
              <w:rPr>
                <w:noProof/>
                <w:webHidden/>
              </w:rPr>
              <w:tab/>
            </w:r>
            <w:r w:rsidR="00F73981">
              <w:rPr>
                <w:noProof/>
                <w:webHidden/>
              </w:rPr>
              <w:fldChar w:fldCharType="begin"/>
            </w:r>
            <w:r w:rsidR="00F73981">
              <w:rPr>
                <w:noProof/>
                <w:webHidden/>
              </w:rPr>
              <w:instrText xml:space="preserve"> PAGEREF _Toc72137343 \h </w:instrText>
            </w:r>
            <w:r w:rsidR="00F73981">
              <w:rPr>
                <w:noProof/>
                <w:webHidden/>
              </w:rPr>
            </w:r>
            <w:r w:rsidR="00F73981">
              <w:rPr>
                <w:noProof/>
                <w:webHidden/>
              </w:rPr>
              <w:fldChar w:fldCharType="separate"/>
            </w:r>
            <w:r>
              <w:rPr>
                <w:noProof/>
                <w:webHidden/>
              </w:rPr>
              <w:t>3</w:t>
            </w:r>
            <w:r w:rsidR="00F73981">
              <w:rPr>
                <w:noProof/>
                <w:webHidden/>
              </w:rPr>
              <w:fldChar w:fldCharType="end"/>
            </w:r>
          </w:hyperlink>
        </w:p>
        <w:p w14:paraId="415005F4" w14:textId="7BC05136" w:rsidR="00F73981" w:rsidRDefault="00465516">
          <w:pPr>
            <w:pStyle w:val="TOC1"/>
            <w:tabs>
              <w:tab w:val="left" w:pos="440"/>
              <w:tab w:val="right" w:leader="dot" w:pos="9016"/>
            </w:tabs>
            <w:rPr>
              <w:rFonts w:eastAsiaTheme="minorEastAsia"/>
              <w:b w:val="0"/>
              <w:noProof/>
              <w:lang w:eastAsia="en-AU"/>
            </w:rPr>
          </w:pPr>
          <w:hyperlink w:anchor="_Toc72137344" w:history="1">
            <w:r w:rsidR="00F73981" w:rsidRPr="00C24F15">
              <w:rPr>
                <w:rStyle w:val="Hyperlink"/>
                <w:noProof/>
              </w:rPr>
              <w:t>3.</w:t>
            </w:r>
            <w:r w:rsidR="00F73981">
              <w:rPr>
                <w:rFonts w:eastAsiaTheme="minorEastAsia"/>
                <w:b w:val="0"/>
                <w:noProof/>
                <w:lang w:eastAsia="en-AU"/>
              </w:rPr>
              <w:tab/>
            </w:r>
            <w:r w:rsidR="00F73981" w:rsidRPr="00C24F15">
              <w:rPr>
                <w:rStyle w:val="Hyperlink"/>
                <w:noProof/>
              </w:rPr>
              <w:t>What policy options are you considering?</w:t>
            </w:r>
            <w:r w:rsidR="00F73981">
              <w:rPr>
                <w:noProof/>
                <w:webHidden/>
              </w:rPr>
              <w:tab/>
            </w:r>
            <w:r w:rsidR="00F73981">
              <w:rPr>
                <w:noProof/>
                <w:webHidden/>
              </w:rPr>
              <w:fldChar w:fldCharType="begin"/>
            </w:r>
            <w:r w:rsidR="00F73981">
              <w:rPr>
                <w:noProof/>
                <w:webHidden/>
              </w:rPr>
              <w:instrText xml:space="preserve"> PAGEREF _Toc72137344 \h </w:instrText>
            </w:r>
            <w:r w:rsidR="00F73981">
              <w:rPr>
                <w:noProof/>
                <w:webHidden/>
              </w:rPr>
            </w:r>
            <w:r w:rsidR="00F73981">
              <w:rPr>
                <w:noProof/>
                <w:webHidden/>
              </w:rPr>
              <w:fldChar w:fldCharType="separate"/>
            </w:r>
            <w:r>
              <w:rPr>
                <w:noProof/>
                <w:webHidden/>
              </w:rPr>
              <w:t>4</w:t>
            </w:r>
            <w:r w:rsidR="00F73981">
              <w:rPr>
                <w:noProof/>
                <w:webHidden/>
              </w:rPr>
              <w:fldChar w:fldCharType="end"/>
            </w:r>
          </w:hyperlink>
        </w:p>
        <w:p w14:paraId="3601314A" w14:textId="2745E709" w:rsidR="00F73981" w:rsidRDefault="00465516">
          <w:pPr>
            <w:pStyle w:val="TOC1"/>
            <w:tabs>
              <w:tab w:val="left" w:pos="440"/>
              <w:tab w:val="right" w:leader="dot" w:pos="9016"/>
            </w:tabs>
            <w:rPr>
              <w:rFonts w:eastAsiaTheme="minorEastAsia"/>
              <w:b w:val="0"/>
              <w:noProof/>
              <w:lang w:eastAsia="en-AU"/>
            </w:rPr>
          </w:pPr>
          <w:hyperlink w:anchor="_Toc72137345" w:history="1">
            <w:r w:rsidR="00F73981" w:rsidRPr="00C24F15">
              <w:rPr>
                <w:rStyle w:val="Hyperlink"/>
                <w:noProof/>
              </w:rPr>
              <w:t>4.</w:t>
            </w:r>
            <w:r w:rsidR="00F73981">
              <w:rPr>
                <w:rFonts w:eastAsiaTheme="minorEastAsia"/>
                <w:b w:val="0"/>
                <w:noProof/>
                <w:lang w:eastAsia="en-AU"/>
              </w:rPr>
              <w:tab/>
            </w:r>
            <w:r w:rsidR="00F73981" w:rsidRPr="00C24F15">
              <w:rPr>
                <w:rStyle w:val="Hyperlink"/>
                <w:noProof/>
              </w:rPr>
              <w:t>What is the likely net benefit of each option?</w:t>
            </w:r>
            <w:r w:rsidR="00F73981">
              <w:rPr>
                <w:noProof/>
                <w:webHidden/>
              </w:rPr>
              <w:tab/>
            </w:r>
            <w:r w:rsidR="00F73981">
              <w:rPr>
                <w:noProof/>
                <w:webHidden/>
              </w:rPr>
              <w:fldChar w:fldCharType="begin"/>
            </w:r>
            <w:r w:rsidR="00F73981">
              <w:rPr>
                <w:noProof/>
                <w:webHidden/>
              </w:rPr>
              <w:instrText xml:space="preserve"> PAGEREF _Toc72137345 \h </w:instrText>
            </w:r>
            <w:r w:rsidR="00F73981">
              <w:rPr>
                <w:noProof/>
                <w:webHidden/>
              </w:rPr>
            </w:r>
            <w:r w:rsidR="00F73981">
              <w:rPr>
                <w:noProof/>
                <w:webHidden/>
              </w:rPr>
              <w:fldChar w:fldCharType="separate"/>
            </w:r>
            <w:r>
              <w:rPr>
                <w:noProof/>
                <w:webHidden/>
              </w:rPr>
              <w:t>6</w:t>
            </w:r>
            <w:r w:rsidR="00F73981">
              <w:rPr>
                <w:noProof/>
                <w:webHidden/>
              </w:rPr>
              <w:fldChar w:fldCharType="end"/>
            </w:r>
          </w:hyperlink>
        </w:p>
        <w:p w14:paraId="66CCC0F1" w14:textId="53DD197E" w:rsidR="00F73981" w:rsidRDefault="00465516">
          <w:pPr>
            <w:pStyle w:val="TOC1"/>
            <w:tabs>
              <w:tab w:val="left" w:pos="440"/>
              <w:tab w:val="right" w:leader="dot" w:pos="9016"/>
            </w:tabs>
            <w:rPr>
              <w:rFonts w:eastAsiaTheme="minorEastAsia"/>
              <w:b w:val="0"/>
              <w:noProof/>
              <w:lang w:eastAsia="en-AU"/>
            </w:rPr>
          </w:pPr>
          <w:hyperlink w:anchor="_Toc72137346" w:history="1">
            <w:r w:rsidR="00F73981" w:rsidRPr="00C24F15">
              <w:rPr>
                <w:rStyle w:val="Hyperlink"/>
                <w:noProof/>
              </w:rPr>
              <w:t>5.</w:t>
            </w:r>
            <w:r w:rsidR="00F73981">
              <w:rPr>
                <w:rFonts w:eastAsiaTheme="minorEastAsia"/>
                <w:b w:val="0"/>
                <w:noProof/>
                <w:lang w:eastAsia="en-AU"/>
              </w:rPr>
              <w:tab/>
            </w:r>
            <w:r w:rsidR="00F73981" w:rsidRPr="00C24F15">
              <w:rPr>
                <w:rStyle w:val="Hyperlink"/>
                <w:noProof/>
              </w:rPr>
              <w:t>Who did you consult and how did you incorporate their feedback?</w:t>
            </w:r>
            <w:r w:rsidR="00F73981">
              <w:rPr>
                <w:noProof/>
                <w:webHidden/>
              </w:rPr>
              <w:tab/>
            </w:r>
            <w:r w:rsidR="00F73981">
              <w:rPr>
                <w:noProof/>
                <w:webHidden/>
              </w:rPr>
              <w:fldChar w:fldCharType="begin"/>
            </w:r>
            <w:r w:rsidR="00F73981">
              <w:rPr>
                <w:noProof/>
                <w:webHidden/>
              </w:rPr>
              <w:instrText xml:space="preserve"> PAGEREF _Toc72137346 \h </w:instrText>
            </w:r>
            <w:r w:rsidR="00F73981">
              <w:rPr>
                <w:noProof/>
                <w:webHidden/>
              </w:rPr>
            </w:r>
            <w:r w:rsidR="00F73981">
              <w:rPr>
                <w:noProof/>
                <w:webHidden/>
              </w:rPr>
              <w:fldChar w:fldCharType="separate"/>
            </w:r>
            <w:r>
              <w:rPr>
                <w:noProof/>
                <w:webHidden/>
              </w:rPr>
              <w:t>11</w:t>
            </w:r>
            <w:r w:rsidR="00F73981">
              <w:rPr>
                <w:noProof/>
                <w:webHidden/>
              </w:rPr>
              <w:fldChar w:fldCharType="end"/>
            </w:r>
          </w:hyperlink>
        </w:p>
        <w:p w14:paraId="5812CE51" w14:textId="6666C99C" w:rsidR="00F73981" w:rsidRDefault="00465516">
          <w:pPr>
            <w:pStyle w:val="TOC1"/>
            <w:tabs>
              <w:tab w:val="left" w:pos="440"/>
              <w:tab w:val="right" w:leader="dot" w:pos="9016"/>
            </w:tabs>
            <w:rPr>
              <w:rFonts w:eastAsiaTheme="minorEastAsia"/>
              <w:b w:val="0"/>
              <w:noProof/>
              <w:lang w:eastAsia="en-AU"/>
            </w:rPr>
          </w:pPr>
          <w:hyperlink w:anchor="_Toc72137347" w:history="1">
            <w:r w:rsidR="00F73981" w:rsidRPr="00C24F15">
              <w:rPr>
                <w:rStyle w:val="Hyperlink"/>
                <w:noProof/>
              </w:rPr>
              <w:t>6.</w:t>
            </w:r>
            <w:r w:rsidR="00F73981">
              <w:rPr>
                <w:rFonts w:eastAsiaTheme="minorEastAsia"/>
                <w:b w:val="0"/>
                <w:noProof/>
                <w:lang w:eastAsia="en-AU"/>
              </w:rPr>
              <w:tab/>
            </w:r>
            <w:r w:rsidR="00F73981" w:rsidRPr="00C24F15">
              <w:rPr>
                <w:rStyle w:val="Hyperlink"/>
                <w:noProof/>
              </w:rPr>
              <w:t>What is the best option from those you have considered?</w:t>
            </w:r>
            <w:r w:rsidR="00F73981">
              <w:rPr>
                <w:noProof/>
                <w:webHidden/>
              </w:rPr>
              <w:tab/>
            </w:r>
            <w:r w:rsidR="00F73981">
              <w:rPr>
                <w:noProof/>
                <w:webHidden/>
              </w:rPr>
              <w:fldChar w:fldCharType="begin"/>
            </w:r>
            <w:r w:rsidR="00F73981">
              <w:rPr>
                <w:noProof/>
                <w:webHidden/>
              </w:rPr>
              <w:instrText xml:space="preserve"> PAGEREF _Toc72137347 \h </w:instrText>
            </w:r>
            <w:r w:rsidR="00F73981">
              <w:rPr>
                <w:noProof/>
                <w:webHidden/>
              </w:rPr>
            </w:r>
            <w:r w:rsidR="00F73981">
              <w:rPr>
                <w:noProof/>
                <w:webHidden/>
              </w:rPr>
              <w:fldChar w:fldCharType="separate"/>
            </w:r>
            <w:r>
              <w:rPr>
                <w:noProof/>
                <w:webHidden/>
              </w:rPr>
              <w:t>12</w:t>
            </w:r>
            <w:r w:rsidR="00F73981">
              <w:rPr>
                <w:noProof/>
                <w:webHidden/>
              </w:rPr>
              <w:fldChar w:fldCharType="end"/>
            </w:r>
          </w:hyperlink>
        </w:p>
        <w:p w14:paraId="6481E16D" w14:textId="1C3FC540" w:rsidR="00F73981" w:rsidRDefault="00465516">
          <w:pPr>
            <w:pStyle w:val="TOC1"/>
            <w:tabs>
              <w:tab w:val="left" w:pos="440"/>
              <w:tab w:val="right" w:leader="dot" w:pos="9016"/>
            </w:tabs>
            <w:rPr>
              <w:rFonts w:eastAsiaTheme="minorEastAsia"/>
              <w:b w:val="0"/>
              <w:noProof/>
              <w:lang w:eastAsia="en-AU"/>
            </w:rPr>
          </w:pPr>
          <w:hyperlink w:anchor="_Toc72137348" w:history="1">
            <w:r w:rsidR="00F73981" w:rsidRPr="00C24F15">
              <w:rPr>
                <w:rStyle w:val="Hyperlink"/>
                <w:noProof/>
              </w:rPr>
              <w:t>7.</w:t>
            </w:r>
            <w:r w:rsidR="00F73981">
              <w:rPr>
                <w:rFonts w:eastAsiaTheme="minorEastAsia"/>
                <w:b w:val="0"/>
                <w:noProof/>
                <w:lang w:eastAsia="en-AU"/>
              </w:rPr>
              <w:tab/>
            </w:r>
            <w:r w:rsidR="00F73981" w:rsidRPr="00C24F15">
              <w:rPr>
                <w:rStyle w:val="Hyperlink"/>
                <w:noProof/>
              </w:rPr>
              <w:t>How will you implement and evaluate your chosen option?</w:t>
            </w:r>
            <w:r w:rsidR="00F73981">
              <w:rPr>
                <w:noProof/>
                <w:webHidden/>
              </w:rPr>
              <w:tab/>
            </w:r>
            <w:r w:rsidR="00F73981">
              <w:rPr>
                <w:noProof/>
                <w:webHidden/>
              </w:rPr>
              <w:fldChar w:fldCharType="begin"/>
            </w:r>
            <w:r w:rsidR="00F73981">
              <w:rPr>
                <w:noProof/>
                <w:webHidden/>
              </w:rPr>
              <w:instrText xml:space="preserve"> PAGEREF _Toc72137348 \h </w:instrText>
            </w:r>
            <w:r w:rsidR="00F73981">
              <w:rPr>
                <w:noProof/>
                <w:webHidden/>
              </w:rPr>
            </w:r>
            <w:r w:rsidR="00F73981">
              <w:rPr>
                <w:noProof/>
                <w:webHidden/>
              </w:rPr>
              <w:fldChar w:fldCharType="separate"/>
            </w:r>
            <w:r>
              <w:rPr>
                <w:noProof/>
                <w:webHidden/>
              </w:rPr>
              <w:t>13</w:t>
            </w:r>
            <w:r w:rsidR="00F73981">
              <w:rPr>
                <w:noProof/>
                <w:webHidden/>
              </w:rPr>
              <w:fldChar w:fldCharType="end"/>
            </w:r>
          </w:hyperlink>
        </w:p>
        <w:p w14:paraId="51CDE2F0" w14:textId="65B1F0EE" w:rsidR="00E551D2" w:rsidRPr="004B3F8E" w:rsidRDefault="00F73981">
          <w:r>
            <w:fldChar w:fldCharType="end"/>
          </w:r>
        </w:p>
      </w:sdtContent>
    </w:sdt>
    <w:p w14:paraId="6287E867" w14:textId="77777777" w:rsidR="00D94EE3" w:rsidRPr="004B3F8E" w:rsidRDefault="00D94EE3" w:rsidP="00D94EE3"/>
    <w:p w14:paraId="12EBA1BF" w14:textId="77777777" w:rsidR="00D94EE3" w:rsidRPr="004B3F8E" w:rsidRDefault="00D94EE3" w:rsidP="00D94EE3">
      <w:pPr>
        <w:sectPr w:rsidR="00D94EE3" w:rsidRPr="004B3F8E" w:rsidSect="00E8581B">
          <w:pgSz w:w="11906" w:h="16838"/>
          <w:pgMar w:top="1440" w:right="1440" w:bottom="1440" w:left="1440" w:header="708" w:footer="708" w:gutter="0"/>
          <w:cols w:space="708"/>
          <w:docGrid w:linePitch="360"/>
        </w:sectPr>
      </w:pPr>
    </w:p>
    <w:p w14:paraId="74A8C632" w14:textId="77777777" w:rsidR="00EA5697" w:rsidRPr="004B3F8E" w:rsidRDefault="00710AF9" w:rsidP="00EA5697">
      <w:pPr>
        <w:pStyle w:val="Heading1"/>
      </w:pPr>
      <w:bookmarkStart w:id="1" w:name="_Toc51682476"/>
      <w:bookmarkStart w:id="2" w:name="_Toc51687343"/>
      <w:bookmarkStart w:id="3" w:name="_Toc58918219"/>
      <w:bookmarkStart w:id="4" w:name="_Toc72137341"/>
      <w:r>
        <w:lastRenderedPageBreak/>
        <w:t>Introduction</w:t>
      </w:r>
      <w:bookmarkEnd w:id="1"/>
      <w:bookmarkEnd w:id="2"/>
      <w:bookmarkEnd w:id="3"/>
      <w:bookmarkEnd w:id="4"/>
    </w:p>
    <w:p w14:paraId="09C853A5" w14:textId="77777777" w:rsidR="00A920FE" w:rsidRDefault="00A920FE" w:rsidP="00A920FE">
      <w:pPr>
        <w:rPr>
          <w:rFonts w:cstheme="minorHAnsi"/>
        </w:rPr>
      </w:pPr>
      <w:r>
        <w:rPr>
          <w:rFonts w:cstheme="minorHAnsi"/>
        </w:rPr>
        <w:t xml:space="preserve">This Regulation Impact Statement (RIS) examines the case for action by the Australian Government to </w:t>
      </w:r>
      <w:r w:rsidR="003E6AA9">
        <w:rPr>
          <w:rFonts w:cstheme="minorHAnsi"/>
        </w:rPr>
        <w:t xml:space="preserve">implement </w:t>
      </w:r>
      <w:r w:rsidR="003E6AA9">
        <w:t xml:space="preserve">the Government’s response to recommendation 20 of the </w:t>
      </w:r>
      <w:r w:rsidR="003E6AA9" w:rsidRPr="00C56EC9">
        <w:rPr>
          <w:i/>
        </w:rPr>
        <w:t>Strengthening for Purpose: Australian Charities and Not-for-profits Commission Legislation Review 2018</w:t>
      </w:r>
      <w:r w:rsidR="003E6AA9">
        <w:rPr>
          <w:i/>
        </w:rPr>
        <w:t xml:space="preserve"> </w:t>
      </w:r>
      <w:r w:rsidR="003E6AA9">
        <w:t>(ACNC Review)</w:t>
      </w:r>
      <w:r>
        <w:rPr>
          <w:rFonts w:cstheme="minorHAnsi"/>
        </w:rPr>
        <w:t xml:space="preserve">, applying the principles of Australia’s regulatory impact analysis framework as outlined in the Australian Government Guide to </w:t>
      </w:r>
      <w:r w:rsidR="005D1C87">
        <w:rPr>
          <w:rFonts w:cstheme="minorHAnsi"/>
        </w:rPr>
        <w:t>Regulatory Impact Analysis</w:t>
      </w:r>
      <w:r>
        <w:rPr>
          <w:rStyle w:val="FootnoteReference"/>
          <w:rFonts w:cstheme="minorHAnsi"/>
        </w:rPr>
        <w:footnoteReference w:id="2"/>
      </w:r>
      <w:r>
        <w:rPr>
          <w:rFonts w:cstheme="minorHAnsi"/>
        </w:rPr>
        <w:t xml:space="preserve">. </w:t>
      </w:r>
      <w:r w:rsidR="003E6AA9">
        <w:t>Recommendation 20 of the ACNC Review states that test case funding should be made available to develop the law in matters of public interest</w:t>
      </w:r>
      <w:r w:rsidR="008E42F1">
        <w:t>, including disqualifying purposes</w:t>
      </w:r>
      <w:r w:rsidR="003E6AA9">
        <w:t>. In response to this recommendation, the Government stated it would explore legislative options to address uncertainty in the law.</w:t>
      </w:r>
    </w:p>
    <w:p w14:paraId="0321D06B" w14:textId="77777777" w:rsidR="00EA5697" w:rsidRPr="004B3F8E" w:rsidRDefault="00604349" w:rsidP="003E6AA9">
      <w:pPr>
        <w:pStyle w:val="Heading1numbered"/>
        <w:numPr>
          <w:ilvl w:val="0"/>
          <w:numId w:val="10"/>
        </w:numPr>
        <w:tabs>
          <w:tab w:val="clear" w:pos="567"/>
          <w:tab w:val="left" w:pos="360"/>
        </w:tabs>
      </w:pPr>
      <w:bookmarkStart w:id="5" w:name="_Toc72137342"/>
      <w:r>
        <w:t>What is the policy problem you are trying to solve?</w:t>
      </w:r>
      <w:bookmarkEnd w:id="5"/>
    </w:p>
    <w:p w14:paraId="542FE846" w14:textId="507AF0DD" w:rsidR="001621DA" w:rsidRDefault="009A388D" w:rsidP="001621DA">
      <w:pPr>
        <w:rPr>
          <w:rStyle w:val="FootnoteReference"/>
          <w:rFonts w:cstheme="minorHAnsi"/>
        </w:rPr>
      </w:pPr>
      <w:bookmarkStart w:id="6" w:name="_Toc51682479"/>
      <w:bookmarkStart w:id="7" w:name="_Toc51682480"/>
      <w:bookmarkStart w:id="8" w:name="_Toc51682481"/>
      <w:bookmarkStart w:id="9" w:name="_Toc51682482"/>
      <w:bookmarkStart w:id="10" w:name="_Toc51682483"/>
      <w:bookmarkStart w:id="11" w:name="_Toc51687345"/>
      <w:bookmarkEnd w:id="6"/>
      <w:bookmarkEnd w:id="7"/>
      <w:bookmarkEnd w:id="8"/>
      <w:bookmarkEnd w:id="9"/>
      <w:bookmarkEnd w:id="10"/>
      <w:bookmarkEnd w:id="11"/>
      <w:r>
        <w:rPr>
          <w:rFonts w:cstheme="minorHAnsi"/>
        </w:rPr>
        <w:t xml:space="preserve">Duties for registered charities, and indirectly for responsible persons, are set out in the </w:t>
      </w:r>
      <w:r w:rsidR="00000BDB" w:rsidRPr="00456E2A">
        <w:rPr>
          <w:rFonts w:cstheme="minorHAnsi"/>
          <w:i/>
        </w:rPr>
        <w:t xml:space="preserve">Australian Charities and Not-for-profits Commission </w:t>
      </w:r>
      <w:r w:rsidRPr="00456E2A">
        <w:rPr>
          <w:rFonts w:cstheme="minorHAnsi"/>
          <w:i/>
        </w:rPr>
        <w:t>Regulation 2013</w:t>
      </w:r>
      <w:r w:rsidR="00035274">
        <w:rPr>
          <w:rFonts w:cstheme="minorHAnsi"/>
          <w:i/>
        </w:rPr>
        <w:t xml:space="preserve"> </w:t>
      </w:r>
      <w:r w:rsidR="00035274" w:rsidRPr="00456E2A">
        <w:rPr>
          <w:rFonts w:cstheme="minorHAnsi"/>
        </w:rPr>
        <w:t>(the ACNC Regulations)</w:t>
      </w:r>
      <w:r>
        <w:rPr>
          <w:rFonts w:cstheme="minorHAnsi"/>
        </w:rPr>
        <w:t xml:space="preserve">. These </w:t>
      </w:r>
      <w:r w:rsidR="00000BDB" w:rsidRPr="00000BDB">
        <w:rPr>
          <w:rFonts w:cstheme="minorHAnsi"/>
        </w:rPr>
        <w:t>governance standards</w:t>
      </w:r>
      <w:r>
        <w:rPr>
          <w:rFonts w:cstheme="minorHAnsi"/>
        </w:rPr>
        <w:t xml:space="preserve"> require a charity to remain charitable, operate lawfully</w:t>
      </w:r>
      <w:r w:rsidR="00E55ABB">
        <w:rPr>
          <w:rFonts w:cstheme="minorHAnsi"/>
        </w:rPr>
        <w:t>,</w:t>
      </w:r>
      <w:r>
        <w:rPr>
          <w:rFonts w:cstheme="minorHAnsi"/>
        </w:rPr>
        <w:t xml:space="preserve"> and be run in an accountable and responsible way</w:t>
      </w:r>
      <w:r w:rsidR="00000BDB" w:rsidRPr="00000BDB">
        <w:rPr>
          <w:rFonts w:cstheme="minorHAnsi"/>
        </w:rPr>
        <w:t>.</w:t>
      </w:r>
      <w:r w:rsidR="00297968">
        <w:rPr>
          <w:rFonts w:cstheme="minorHAnsi"/>
        </w:rPr>
        <w:t xml:space="preserve"> The governance standards help maintain public trust and confidence </w:t>
      </w:r>
      <w:r w:rsidR="001621DA">
        <w:rPr>
          <w:rFonts w:cstheme="minorHAnsi"/>
        </w:rPr>
        <w:t xml:space="preserve">that a registered charity is being governed in a way </w:t>
      </w:r>
      <w:r w:rsidR="00E41629">
        <w:rPr>
          <w:color w:val="000000"/>
          <w:shd w:val="clear" w:color="auto" w:fill="FFFFFF"/>
        </w:rPr>
        <w:t>that ensures its on</w:t>
      </w:r>
      <w:r w:rsidR="00E41629">
        <w:rPr>
          <w:color w:val="000000"/>
          <w:shd w:val="clear" w:color="auto" w:fill="FFFFFF"/>
        </w:rPr>
        <w:noBreakHyphen/>
        <w:t>going operations and the safety of its assets.</w:t>
      </w:r>
      <w:r w:rsidR="00166C80">
        <w:rPr>
          <w:rStyle w:val="FootnoteReference"/>
          <w:rFonts w:cstheme="minorHAnsi"/>
        </w:rPr>
        <w:footnoteReference w:id="3"/>
      </w:r>
      <w:r w:rsidR="00166C80" w:rsidRPr="00166C80">
        <w:rPr>
          <w:rStyle w:val="FootnoteReference"/>
          <w:rFonts w:cstheme="minorHAnsi"/>
        </w:rPr>
        <w:t xml:space="preserve"> </w:t>
      </w:r>
    </w:p>
    <w:p w14:paraId="60F4AB9D" w14:textId="6EDAC94A" w:rsidR="005E49D8" w:rsidRDefault="00297968" w:rsidP="00BD3962">
      <w:r>
        <w:t>Compliance with the governance standards is a condition of registration as a charity</w:t>
      </w:r>
      <w:r w:rsidR="00001283">
        <w:t>.</w:t>
      </w:r>
      <w:r w:rsidR="0065555B">
        <w:rPr>
          <w:rStyle w:val="FootnoteReference"/>
        </w:rPr>
        <w:footnoteReference w:id="4"/>
      </w:r>
      <w:r>
        <w:t xml:space="preserve"> </w:t>
      </w:r>
      <w:r w:rsidR="00A54F48">
        <w:t xml:space="preserve">Where a registered charity fails to comply with </w:t>
      </w:r>
      <w:r w:rsidR="00536D62">
        <w:t xml:space="preserve">the </w:t>
      </w:r>
      <w:r w:rsidR="00A54F48">
        <w:t>governance standard</w:t>
      </w:r>
      <w:r w:rsidR="00536D62">
        <w:t>s, this</w:t>
      </w:r>
      <w:r w:rsidR="00747260">
        <w:t xml:space="preserve"> </w:t>
      </w:r>
      <w:r w:rsidR="00A54F48">
        <w:t xml:space="preserve">may </w:t>
      </w:r>
      <w:r w:rsidR="001621DA">
        <w:t xml:space="preserve">result in use of the </w:t>
      </w:r>
      <w:r w:rsidR="008F0E92">
        <w:t xml:space="preserve">ACNC </w:t>
      </w:r>
      <w:r w:rsidR="00C44429">
        <w:t>Commissioner’s</w:t>
      </w:r>
      <w:r w:rsidR="001621DA">
        <w:t xml:space="preserve"> enforcement powers (such as warnings or directions being issued to the charity</w:t>
      </w:r>
      <w:r w:rsidR="00731FBC">
        <w:t>,</w:t>
      </w:r>
      <w:r w:rsidR="001621DA">
        <w:t xml:space="preserve"> or </w:t>
      </w:r>
      <w:r w:rsidR="00A54F48">
        <w:t>revocation of a charity</w:t>
      </w:r>
      <w:r w:rsidR="008061DB">
        <w:t>’s</w:t>
      </w:r>
      <w:r w:rsidR="00A54F48">
        <w:t xml:space="preserve"> registration</w:t>
      </w:r>
      <w:r w:rsidR="00731FBC">
        <w:t>).</w:t>
      </w:r>
      <w:r w:rsidR="00A54F48">
        <w:t xml:space="preserve"> </w:t>
      </w:r>
      <w:r w:rsidR="00731FBC">
        <w:t xml:space="preserve">Deregistration </w:t>
      </w:r>
      <w:r w:rsidR="00B103CF">
        <w:t>result</w:t>
      </w:r>
      <w:r w:rsidR="00731FBC">
        <w:t xml:space="preserve">s </w:t>
      </w:r>
      <w:r w:rsidR="00B103CF">
        <w:t>in</w:t>
      </w:r>
      <w:r w:rsidR="001621DA">
        <w:t xml:space="preserve"> the charity losing access to certain government funding, exemptions, concessions and benefits.  </w:t>
      </w:r>
    </w:p>
    <w:p w14:paraId="25688DD0" w14:textId="2782F0CB" w:rsidR="00536D62" w:rsidRDefault="00536D62" w:rsidP="00536D62">
      <w:bookmarkStart w:id="12" w:name="_Hlk71625533"/>
      <w:bookmarkStart w:id="13" w:name="_Hlk71210461"/>
      <w:r>
        <w:rPr>
          <w:rFonts w:cstheme="minorHAnsi"/>
        </w:rPr>
        <w:t xml:space="preserve">Governance standard three requires charities to comply with Australian laws. Acting lawfully protects </w:t>
      </w:r>
      <w:r w:rsidR="008061DB">
        <w:rPr>
          <w:rFonts w:cstheme="minorHAnsi"/>
        </w:rPr>
        <w:t>a</w:t>
      </w:r>
      <w:r>
        <w:rPr>
          <w:rFonts w:cstheme="minorHAnsi"/>
        </w:rPr>
        <w:t xml:space="preserve"> charity’</w:t>
      </w:r>
      <w:r w:rsidR="001C67C6">
        <w:rPr>
          <w:rFonts w:cstheme="minorHAnsi"/>
        </w:rPr>
        <w:t xml:space="preserve">s assets, </w:t>
      </w:r>
      <w:r w:rsidR="00896752">
        <w:rPr>
          <w:rFonts w:cstheme="minorHAnsi"/>
        </w:rPr>
        <w:t>reputation,</w:t>
      </w:r>
      <w:r>
        <w:rPr>
          <w:rFonts w:cstheme="minorHAnsi"/>
        </w:rPr>
        <w:t xml:space="preserve"> and the people it works with. This standard does not impose a new </w:t>
      </w:r>
      <w:r w:rsidR="001C67C6">
        <w:rPr>
          <w:rFonts w:cstheme="minorHAnsi"/>
        </w:rPr>
        <w:t xml:space="preserve">burden on charities as they are already required to follow Australian laws. Rather the </w:t>
      </w:r>
      <w:r w:rsidR="00B103CF">
        <w:rPr>
          <w:rFonts w:cstheme="minorHAnsi"/>
        </w:rPr>
        <w:t xml:space="preserve">intent of the </w:t>
      </w:r>
      <w:r w:rsidR="001C67C6">
        <w:rPr>
          <w:rFonts w:cstheme="minorHAnsi"/>
        </w:rPr>
        <w:t xml:space="preserve">standard </w:t>
      </w:r>
      <w:r w:rsidR="00B103CF">
        <w:rPr>
          <w:rFonts w:cstheme="minorHAnsi"/>
        </w:rPr>
        <w:t xml:space="preserve">is to </w:t>
      </w:r>
      <w:r w:rsidR="001C67C6">
        <w:rPr>
          <w:rFonts w:cstheme="minorHAnsi"/>
        </w:rPr>
        <w:t>allo</w:t>
      </w:r>
      <w:r w:rsidR="00B103CF">
        <w:rPr>
          <w:rFonts w:cstheme="minorHAnsi"/>
        </w:rPr>
        <w:t xml:space="preserve">w the ACNC to investigate serious </w:t>
      </w:r>
      <w:r w:rsidR="001C67C6">
        <w:rPr>
          <w:rFonts w:cstheme="minorHAnsi"/>
        </w:rPr>
        <w:t>breaches of the law</w:t>
      </w:r>
      <w:r w:rsidR="00931FEE">
        <w:rPr>
          <w:rFonts w:cstheme="minorHAnsi"/>
        </w:rPr>
        <w:t xml:space="preserve"> and take enforcement action if </w:t>
      </w:r>
      <w:r w:rsidR="008F0E92">
        <w:rPr>
          <w:rFonts w:cstheme="minorHAnsi"/>
        </w:rPr>
        <w:t>required</w:t>
      </w:r>
      <w:r w:rsidR="0065555B">
        <w:rPr>
          <w:rFonts w:cstheme="minorHAnsi"/>
        </w:rPr>
        <w:t>.</w:t>
      </w:r>
      <w:r w:rsidDel="0065555B">
        <w:rPr>
          <w:rFonts w:cstheme="minorHAnsi"/>
        </w:rPr>
        <w:t xml:space="preserve"> </w:t>
      </w:r>
    </w:p>
    <w:bookmarkEnd w:id="12"/>
    <w:p w14:paraId="37152DFE" w14:textId="62D4622C" w:rsidR="00747260" w:rsidRDefault="007B3C01">
      <w:r>
        <w:t>To this end, g</w:t>
      </w:r>
      <w:r w:rsidR="00B103CF">
        <w:t xml:space="preserve">overnance standard three as drafted in </w:t>
      </w:r>
      <w:r w:rsidR="008F0E92">
        <w:t>the ACNC Regulations</w:t>
      </w:r>
      <w:r w:rsidR="00B103CF">
        <w:t xml:space="preserve"> provides that registered charities must not engage in conduct that may be dealt with as an </w:t>
      </w:r>
      <w:r w:rsidR="00763A28">
        <w:t xml:space="preserve">indictable offence </w:t>
      </w:r>
      <w:r w:rsidR="00763A28" w:rsidRPr="00763A28">
        <w:t xml:space="preserve">or </w:t>
      </w:r>
      <w:r>
        <w:t xml:space="preserve">a breach of law that has </w:t>
      </w:r>
      <w:r w:rsidR="00763A28" w:rsidRPr="00763A28">
        <w:t>a civil penalty of 60 penalty units or more</w:t>
      </w:r>
      <w:r w:rsidR="00763A28">
        <w:t>.</w:t>
      </w:r>
      <w:r>
        <w:t xml:space="preserve"> </w:t>
      </w:r>
      <w:bookmarkEnd w:id="13"/>
      <w:r>
        <w:rPr>
          <w:szCs w:val="24"/>
        </w:rPr>
        <w:t xml:space="preserve">In drafting the law the policy intent was to </w:t>
      </w:r>
      <w:r w:rsidR="00345457">
        <w:rPr>
          <w:szCs w:val="24"/>
        </w:rPr>
        <w:t xml:space="preserve">enable the ACNC Commissioner to take enforcement action with respect to </w:t>
      </w:r>
      <w:r w:rsidR="00EE24A7">
        <w:rPr>
          <w:szCs w:val="24"/>
        </w:rPr>
        <w:t>serious criminal offence</w:t>
      </w:r>
      <w:r>
        <w:rPr>
          <w:szCs w:val="24"/>
        </w:rPr>
        <w:t xml:space="preserve">s but </w:t>
      </w:r>
      <w:r w:rsidR="00345457">
        <w:rPr>
          <w:szCs w:val="24"/>
        </w:rPr>
        <w:t xml:space="preserve">carve out </w:t>
      </w:r>
      <w:r w:rsidR="00D35AF8">
        <w:rPr>
          <w:szCs w:val="24"/>
        </w:rPr>
        <w:t xml:space="preserve">less serious offences that do not concern the proper governance of a registered charity (such </w:t>
      </w:r>
      <w:r w:rsidR="00931FEE">
        <w:rPr>
          <w:szCs w:val="24"/>
        </w:rPr>
        <w:t xml:space="preserve">as </w:t>
      </w:r>
      <w:r w:rsidR="00D35AF8">
        <w:rPr>
          <w:szCs w:val="24"/>
        </w:rPr>
        <w:t>traffic infringement</w:t>
      </w:r>
      <w:r>
        <w:rPr>
          <w:szCs w:val="24"/>
        </w:rPr>
        <w:t>s</w:t>
      </w:r>
      <w:r w:rsidR="00D35AF8">
        <w:rPr>
          <w:szCs w:val="24"/>
        </w:rPr>
        <w:t xml:space="preserve">). </w:t>
      </w:r>
    </w:p>
    <w:p w14:paraId="4292436A" w14:textId="0C283806" w:rsidR="00345457" w:rsidRDefault="00F45526" w:rsidP="00BD3962">
      <w:r>
        <w:t xml:space="preserve">However, the framing of governance standard three in terms of indictable offences </w:t>
      </w:r>
      <w:r w:rsidR="0024704D">
        <w:t xml:space="preserve">has led to inconsistent outcomes for certain unlawful conduct which is contrary to the </w:t>
      </w:r>
      <w:r w:rsidR="00345457">
        <w:t xml:space="preserve">policy intent of </w:t>
      </w:r>
      <w:r w:rsidR="003504A7">
        <w:t>governance standard three.</w:t>
      </w:r>
      <w:r w:rsidR="00345457">
        <w:t xml:space="preserve"> This is because</w:t>
      </w:r>
      <w:r w:rsidR="000B6421">
        <w:t xml:space="preserve">, under Australia’s federalist system of government, the States and Territories determine whether unlawful </w:t>
      </w:r>
      <w:r w:rsidR="009E6F79">
        <w:t xml:space="preserve">activities are </w:t>
      </w:r>
      <w:r w:rsidR="000B6421">
        <w:t>indictable or summary offence</w:t>
      </w:r>
      <w:r w:rsidR="009E6F79">
        <w:t>s</w:t>
      </w:r>
      <w:r w:rsidR="000B6421">
        <w:t xml:space="preserve">. As illustrated </w:t>
      </w:r>
      <w:r w:rsidR="009E6F79">
        <w:t>in T</w:t>
      </w:r>
      <w:r w:rsidR="000B6421">
        <w:t>able 1</w:t>
      </w:r>
      <w:r w:rsidR="009E6F79">
        <w:t>,</w:t>
      </w:r>
      <w:r w:rsidR="000B6421">
        <w:t xml:space="preserve"> this has resulted in </w:t>
      </w:r>
      <w:r w:rsidR="00931FEE">
        <w:t xml:space="preserve">potentially </w:t>
      </w:r>
      <w:r w:rsidR="000B6421">
        <w:t xml:space="preserve">serious offences, such as trespass, vandalism, theft, </w:t>
      </w:r>
      <w:r w:rsidR="00731FBC">
        <w:t xml:space="preserve">assault </w:t>
      </w:r>
      <w:r w:rsidR="00704556">
        <w:t xml:space="preserve">and threatening harm to persons </w:t>
      </w:r>
      <w:r w:rsidR="00BF651F">
        <w:t xml:space="preserve">being defined as summary </w:t>
      </w:r>
      <w:r w:rsidR="009E6F79">
        <w:t>offence</w:t>
      </w:r>
      <w:r w:rsidR="00BF651F">
        <w:t>s</w:t>
      </w:r>
      <w:r w:rsidR="009E6F79">
        <w:t xml:space="preserve"> in some </w:t>
      </w:r>
      <w:r w:rsidR="00C44429">
        <w:t>jurisdictions</w:t>
      </w:r>
      <w:r w:rsidR="009E6F79">
        <w:t>.</w:t>
      </w:r>
      <w:r w:rsidR="000B6421">
        <w:t xml:space="preserve"> </w:t>
      </w:r>
      <w:r w:rsidR="00BF651F">
        <w:t>Consequently</w:t>
      </w:r>
      <w:r w:rsidR="009E6F79">
        <w:t xml:space="preserve">, the ACNC </w:t>
      </w:r>
      <w:r w:rsidR="00BF651F">
        <w:t xml:space="preserve">is unable to investigate </w:t>
      </w:r>
      <w:r w:rsidR="00B247A6">
        <w:t xml:space="preserve">serious breaches of the law by a </w:t>
      </w:r>
      <w:r w:rsidR="00B247A6">
        <w:lastRenderedPageBreak/>
        <w:t xml:space="preserve">charity </w:t>
      </w:r>
      <w:r w:rsidR="00BF651F">
        <w:t xml:space="preserve">even </w:t>
      </w:r>
      <w:r w:rsidR="00931FEE">
        <w:t>where</w:t>
      </w:r>
      <w:r w:rsidR="00B247A6">
        <w:t xml:space="preserve"> action is warranted to </w:t>
      </w:r>
      <w:r w:rsidR="00BF651F">
        <w:t>protect the charity</w:t>
      </w:r>
      <w:r w:rsidR="00B247A6">
        <w:t>’s assets,</w:t>
      </w:r>
      <w:r w:rsidR="00BF651F">
        <w:t xml:space="preserve"> the people it serves</w:t>
      </w:r>
      <w:r w:rsidR="00B247A6">
        <w:t xml:space="preserve">, and </w:t>
      </w:r>
      <w:r w:rsidR="00AA7800">
        <w:t xml:space="preserve">more broadly, the </w:t>
      </w:r>
      <w:r w:rsidR="00B247A6">
        <w:t>public trust and confidence in the charity sector more broadly.</w:t>
      </w:r>
    </w:p>
    <w:p w14:paraId="2E89C9D1" w14:textId="7A7F47F5" w:rsidR="00A10029" w:rsidRPr="006B02CF" w:rsidRDefault="00A10029" w:rsidP="00A10029">
      <w:pPr>
        <w:pStyle w:val="TableHeading"/>
        <w:rPr>
          <w:b w:val="0"/>
          <w:bCs/>
          <w:i/>
          <w:iCs/>
        </w:rPr>
      </w:pPr>
      <w:r w:rsidRPr="006B02CF">
        <w:t xml:space="preserve">Table </w:t>
      </w:r>
      <w:r w:rsidRPr="00A73EFE">
        <w:rPr>
          <w:bCs/>
        </w:rPr>
        <w:t>1</w:t>
      </w:r>
      <w:r w:rsidR="00DE292D">
        <w:rPr>
          <w:bCs/>
        </w:rPr>
        <w:t xml:space="preserve"> </w:t>
      </w:r>
    </w:p>
    <w:tbl>
      <w:tblPr>
        <w:tblStyle w:val="TableGrid"/>
        <w:tblW w:w="9072"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1016"/>
        <w:gridCol w:w="8056"/>
      </w:tblGrid>
      <w:tr w:rsidR="00A10029" w14:paraId="2F670B80" w14:textId="77777777" w:rsidTr="00E33B63">
        <w:tc>
          <w:tcPr>
            <w:tcW w:w="9072" w:type="dxa"/>
            <w:gridSpan w:val="2"/>
            <w:shd w:val="clear" w:color="auto" w:fill="auto"/>
          </w:tcPr>
          <w:tbl>
            <w:tblPr>
              <w:tblStyle w:val="TableGrid"/>
              <w:tblW w:w="5065" w:type="pct"/>
              <w:tblLook w:val="04A0" w:firstRow="1" w:lastRow="0" w:firstColumn="1" w:lastColumn="0" w:noHBand="0" w:noVBand="1"/>
            </w:tblPr>
            <w:tblGrid>
              <w:gridCol w:w="1352"/>
              <w:gridCol w:w="1235"/>
              <w:gridCol w:w="1228"/>
              <w:gridCol w:w="1461"/>
              <w:gridCol w:w="1016"/>
              <w:gridCol w:w="1305"/>
              <w:gridCol w:w="1364"/>
            </w:tblGrid>
            <w:tr w:rsidR="00D37C8D" w:rsidRPr="00E726EF" w14:paraId="631A7AF3" w14:textId="77777777" w:rsidTr="006123B2">
              <w:tc>
                <w:tcPr>
                  <w:tcW w:w="755" w:type="pct"/>
                  <w:shd w:val="clear" w:color="auto" w:fill="D9D9D9" w:themeFill="background1" w:themeFillShade="D9"/>
                </w:tcPr>
                <w:p w14:paraId="61587F01" w14:textId="77777777" w:rsidR="00D37C8D" w:rsidRPr="00E726EF" w:rsidRDefault="00D37C8D" w:rsidP="00D37C8D">
                  <w:pPr>
                    <w:spacing w:after="0"/>
                    <w:rPr>
                      <w:b/>
                    </w:rPr>
                  </w:pPr>
                  <w:r w:rsidRPr="00E726EF">
                    <w:rPr>
                      <w:b/>
                    </w:rPr>
                    <w:t>Jurisdiction</w:t>
                  </w:r>
                </w:p>
              </w:tc>
              <w:tc>
                <w:tcPr>
                  <w:tcW w:w="689" w:type="pct"/>
                  <w:shd w:val="clear" w:color="auto" w:fill="D9D9D9" w:themeFill="background1" w:themeFillShade="D9"/>
                </w:tcPr>
                <w:p w14:paraId="1B0D247B" w14:textId="77777777" w:rsidR="00D37C8D" w:rsidRPr="00E726EF" w:rsidRDefault="00D37C8D" w:rsidP="00D37C8D">
                  <w:pPr>
                    <w:spacing w:after="0"/>
                    <w:rPr>
                      <w:b/>
                    </w:rPr>
                  </w:pPr>
                  <w:r w:rsidRPr="00E726EF">
                    <w:rPr>
                      <w:b/>
                    </w:rPr>
                    <w:t>Entering or remaining on property (trespass)</w:t>
                  </w:r>
                </w:p>
              </w:tc>
              <w:tc>
                <w:tcPr>
                  <w:tcW w:w="685" w:type="pct"/>
                  <w:shd w:val="clear" w:color="auto" w:fill="D9D9D9" w:themeFill="background1" w:themeFillShade="D9"/>
                </w:tcPr>
                <w:p w14:paraId="623D315D" w14:textId="77777777" w:rsidR="00D37C8D" w:rsidRPr="00E726EF" w:rsidRDefault="00D37C8D" w:rsidP="00D37C8D">
                  <w:pPr>
                    <w:spacing w:after="0"/>
                    <w:rPr>
                      <w:b/>
                    </w:rPr>
                  </w:pPr>
                  <w:r w:rsidRPr="00E726EF">
                    <w:rPr>
                      <w:b/>
                    </w:rPr>
                    <w:t>Destroying or damaging property</w:t>
                  </w:r>
                  <w:r>
                    <w:rPr>
                      <w:b/>
                    </w:rPr>
                    <w:t xml:space="preserve"> </w:t>
                  </w:r>
                  <w:r w:rsidRPr="00E726EF">
                    <w:rPr>
                      <w:b/>
                    </w:rPr>
                    <w:t>(</w:t>
                  </w:r>
                  <w:r>
                    <w:rPr>
                      <w:b/>
                    </w:rPr>
                    <w:t>vandalism</w:t>
                  </w:r>
                  <w:r w:rsidRPr="00E726EF">
                    <w:rPr>
                      <w:b/>
                    </w:rPr>
                    <w:t>)</w:t>
                  </w:r>
                </w:p>
              </w:tc>
              <w:tc>
                <w:tcPr>
                  <w:tcW w:w="815" w:type="pct"/>
                  <w:shd w:val="clear" w:color="auto" w:fill="D9D9D9" w:themeFill="background1" w:themeFillShade="D9"/>
                </w:tcPr>
                <w:p w14:paraId="609B9CD7" w14:textId="77777777" w:rsidR="00D37C8D" w:rsidRPr="00E726EF" w:rsidRDefault="00D37C8D" w:rsidP="00D37C8D">
                  <w:pPr>
                    <w:spacing w:after="0"/>
                    <w:rPr>
                      <w:b/>
                    </w:rPr>
                  </w:pPr>
                  <w:r>
                    <w:rPr>
                      <w:b/>
                    </w:rPr>
                    <w:t xml:space="preserve">Appropriating </w:t>
                  </w:r>
                  <w:r w:rsidRPr="00E726EF">
                    <w:rPr>
                      <w:b/>
                    </w:rPr>
                    <w:t>property</w:t>
                  </w:r>
                  <w:r>
                    <w:rPr>
                      <w:b/>
                    </w:rPr>
                    <w:t xml:space="preserve"> (theft)</w:t>
                  </w:r>
                </w:p>
              </w:tc>
              <w:tc>
                <w:tcPr>
                  <w:tcW w:w="567" w:type="pct"/>
                  <w:shd w:val="clear" w:color="auto" w:fill="D9D9D9" w:themeFill="background1" w:themeFillShade="D9"/>
                </w:tcPr>
                <w:p w14:paraId="4CDCDF10" w14:textId="77777777" w:rsidR="00D37C8D" w:rsidRPr="00E726EF" w:rsidRDefault="00D37C8D" w:rsidP="00D37C8D">
                  <w:pPr>
                    <w:spacing w:after="0"/>
                    <w:rPr>
                      <w:b/>
                    </w:rPr>
                  </w:pPr>
                  <w:r>
                    <w:rPr>
                      <w:b/>
                    </w:rPr>
                    <w:t>Causing harm to persons (assault)</w:t>
                  </w:r>
                  <w:r w:rsidRPr="00E726EF">
                    <w:rPr>
                      <w:b/>
                    </w:rPr>
                    <w:t xml:space="preserve"> </w:t>
                  </w:r>
                </w:p>
              </w:tc>
              <w:tc>
                <w:tcPr>
                  <w:tcW w:w="728" w:type="pct"/>
                  <w:shd w:val="clear" w:color="auto" w:fill="D9D9D9" w:themeFill="background1" w:themeFillShade="D9"/>
                </w:tcPr>
                <w:p w14:paraId="5066456C" w14:textId="77777777" w:rsidR="00D37C8D" w:rsidRPr="00E726EF" w:rsidRDefault="00D37C8D" w:rsidP="00D37C8D">
                  <w:pPr>
                    <w:spacing w:after="0"/>
                    <w:rPr>
                      <w:b/>
                    </w:rPr>
                  </w:pPr>
                  <w:r w:rsidRPr="00E726EF">
                    <w:rPr>
                      <w:b/>
                    </w:rPr>
                    <w:t xml:space="preserve">Risk or threat of causing </w:t>
                  </w:r>
                  <w:r>
                    <w:rPr>
                      <w:b/>
                    </w:rPr>
                    <w:t>harm</w:t>
                  </w:r>
                  <w:r w:rsidRPr="00E726EF">
                    <w:rPr>
                      <w:b/>
                    </w:rPr>
                    <w:t xml:space="preserve"> to persons</w:t>
                  </w:r>
                  <w:r>
                    <w:rPr>
                      <w:b/>
                    </w:rPr>
                    <w:t xml:space="preserve"> (threatening harm)</w:t>
                  </w:r>
                </w:p>
              </w:tc>
              <w:tc>
                <w:tcPr>
                  <w:tcW w:w="761" w:type="pct"/>
                  <w:shd w:val="clear" w:color="auto" w:fill="D9D9D9" w:themeFill="background1" w:themeFillShade="D9"/>
                </w:tcPr>
                <w:p w14:paraId="7E822D8D" w14:textId="77777777" w:rsidR="00D37C8D" w:rsidRPr="00E726EF" w:rsidRDefault="00D37C8D" w:rsidP="00D37C8D">
                  <w:pPr>
                    <w:spacing w:after="0"/>
                    <w:rPr>
                      <w:b/>
                    </w:rPr>
                  </w:pPr>
                  <w:r>
                    <w:rPr>
                      <w:b/>
                      <w:lang w:val="en"/>
                    </w:rPr>
                    <w:t>Directing or e</w:t>
                  </w:r>
                  <w:r w:rsidRPr="00B55004">
                    <w:rPr>
                      <w:b/>
                      <w:lang w:val="en"/>
                    </w:rPr>
                    <w:t>ncouraging a criminal offence</w:t>
                  </w:r>
                  <w:r w:rsidRPr="00B55004">
                    <w:rPr>
                      <w:b/>
                    </w:rPr>
                    <w:t xml:space="preserve"> </w:t>
                  </w:r>
                  <w:r>
                    <w:rPr>
                      <w:b/>
                    </w:rPr>
                    <w:t>(incitement)</w:t>
                  </w:r>
                </w:p>
              </w:tc>
            </w:tr>
            <w:tr w:rsidR="00D37C8D" w:rsidRPr="00E726EF" w14:paraId="2124A0F2" w14:textId="77777777" w:rsidTr="006123B2">
              <w:tc>
                <w:tcPr>
                  <w:tcW w:w="755" w:type="pct"/>
                </w:tcPr>
                <w:p w14:paraId="09EB9885" w14:textId="77777777" w:rsidR="00D37C8D" w:rsidRPr="00ED1973" w:rsidRDefault="00D37C8D" w:rsidP="00D37C8D">
                  <w:pPr>
                    <w:spacing w:after="0"/>
                  </w:pPr>
                  <w:r w:rsidRPr="00ED1973">
                    <w:t>New South Wales</w:t>
                  </w:r>
                </w:p>
              </w:tc>
              <w:tc>
                <w:tcPr>
                  <w:tcW w:w="689" w:type="pct"/>
                </w:tcPr>
                <w:p w14:paraId="2E46CA6F" w14:textId="77777777" w:rsidR="00D37C8D" w:rsidRDefault="00D37C8D" w:rsidP="00D37C8D">
                  <w:pPr>
                    <w:spacing w:after="0"/>
                  </w:pPr>
                  <w:r>
                    <w:rPr>
                      <w:noProof/>
                    </w:rPr>
                    <w:drawing>
                      <wp:inline distT="0" distB="0" distL="0" distR="0" wp14:anchorId="731A0E2F" wp14:editId="499F1C42">
                        <wp:extent cx="295154" cy="295154"/>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6CD0CCED" w14:textId="77777777" w:rsidR="00D37C8D" w:rsidRDefault="00D37C8D" w:rsidP="00D37C8D">
                  <w:pPr>
                    <w:spacing w:after="0"/>
                  </w:pPr>
                  <w:r>
                    <w:t>(partially)</w:t>
                  </w:r>
                </w:p>
              </w:tc>
              <w:tc>
                <w:tcPr>
                  <w:tcW w:w="685" w:type="pct"/>
                </w:tcPr>
                <w:p w14:paraId="2152A0AD" w14:textId="77777777" w:rsidR="00D37C8D" w:rsidRDefault="00D37C8D" w:rsidP="00D37C8D">
                  <w:pPr>
                    <w:spacing w:after="0"/>
                    <w:rPr>
                      <w:noProof/>
                    </w:rPr>
                  </w:pPr>
                  <w:r>
                    <w:rPr>
                      <w:noProof/>
                    </w:rPr>
                    <w:drawing>
                      <wp:inline distT="0" distB="0" distL="0" distR="0" wp14:anchorId="780BDB20" wp14:editId="79E261F1">
                        <wp:extent cx="294640" cy="294640"/>
                        <wp:effectExtent l="0" t="0" r="0" b="0"/>
                        <wp:docPr id="11" name="Graphic 1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15" w:type="pct"/>
                </w:tcPr>
                <w:p w14:paraId="79EADAFF" w14:textId="77777777" w:rsidR="00D37C8D" w:rsidRDefault="00D37C8D" w:rsidP="00D37C8D">
                  <w:pPr>
                    <w:spacing w:after="0"/>
                    <w:rPr>
                      <w:noProof/>
                    </w:rPr>
                  </w:pPr>
                  <w:r>
                    <w:rPr>
                      <w:noProof/>
                    </w:rPr>
                    <w:drawing>
                      <wp:inline distT="0" distB="0" distL="0" distR="0" wp14:anchorId="7CD45C8C" wp14:editId="79EF6CC1">
                        <wp:extent cx="294640" cy="294640"/>
                        <wp:effectExtent l="0" t="0" r="0" b="0"/>
                        <wp:docPr id="12" name="Graphic 1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41E053C9" w14:textId="77777777" w:rsidR="00D37C8D" w:rsidRDefault="00D37C8D" w:rsidP="00D37C8D">
                  <w:pPr>
                    <w:spacing w:after="0"/>
                    <w:rPr>
                      <w:noProof/>
                    </w:rPr>
                  </w:pPr>
                  <w:r>
                    <w:rPr>
                      <w:noProof/>
                    </w:rPr>
                    <w:drawing>
                      <wp:inline distT="0" distB="0" distL="0" distR="0" wp14:anchorId="712C18BA" wp14:editId="43BD9813">
                        <wp:extent cx="294640" cy="294640"/>
                        <wp:effectExtent l="0" t="0" r="0" b="0"/>
                        <wp:docPr id="13" name="Graphic 1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28" w:type="pct"/>
                </w:tcPr>
                <w:p w14:paraId="55FB1644" w14:textId="77777777" w:rsidR="00D37C8D" w:rsidRDefault="00D37C8D" w:rsidP="00D37C8D">
                  <w:pPr>
                    <w:spacing w:after="0"/>
                    <w:rPr>
                      <w:noProof/>
                    </w:rPr>
                  </w:pPr>
                  <w:r>
                    <w:rPr>
                      <w:noProof/>
                    </w:rPr>
                    <w:drawing>
                      <wp:inline distT="0" distB="0" distL="0" distR="0" wp14:anchorId="5B7FD828" wp14:editId="52946CC4">
                        <wp:extent cx="294640" cy="294640"/>
                        <wp:effectExtent l="0" t="0" r="0" b="0"/>
                        <wp:docPr id="14" name="Graphic 1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61" w:type="pct"/>
                </w:tcPr>
                <w:p w14:paraId="1C921D26" w14:textId="77777777" w:rsidR="00D37C8D" w:rsidRDefault="00D37C8D" w:rsidP="00D37C8D">
                  <w:pPr>
                    <w:spacing w:after="0"/>
                  </w:pPr>
                  <w:r>
                    <w:rPr>
                      <w:noProof/>
                    </w:rPr>
                    <w:drawing>
                      <wp:inline distT="0" distB="0" distL="0" distR="0" wp14:anchorId="231D8D2C" wp14:editId="3FBD8F06">
                        <wp:extent cx="295154" cy="295154"/>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2C750A9B" w14:textId="77777777" w:rsidR="00D37C8D" w:rsidRDefault="00D37C8D" w:rsidP="00D37C8D">
                  <w:pPr>
                    <w:spacing w:after="0"/>
                    <w:rPr>
                      <w:noProof/>
                    </w:rPr>
                  </w:pPr>
                  <w:r>
                    <w:t>(partially)</w:t>
                  </w:r>
                </w:p>
              </w:tc>
            </w:tr>
            <w:tr w:rsidR="00D37C8D" w:rsidRPr="00E726EF" w14:paraId="4EFD4E17" w14:textId="77777777" w:rsidTr="006123B2">
              <w:tc>
                <w:tcPr>
                  <w:tcW w:w="755" w:type="pct"/>
                </w:tcPr>
                <w:p w14:paraId="153F2614" w14:textId="77777777" w:rsidR="00D37C8D" w:rsidRPr="00ED1973" w:rsidRDefault="00D37C8D" w:rsidP="00D37C8D">
                  <w:pPr>
                    <w:spacing w:after="0"/>
                  </w:pPr>
                  <w:r w:rsidRPr="00ED1973">
                    <w:t>Victoria</w:t>
                  </w:r>
                </w:p>
              </w:tc>
              <w:tc>
                <w:tcPr>
                  <w:tcW w:w="689" w:type="pct"/>
                </w:tcPr>
                <w:p w14:paraId="32A48FA7" w14:textId="77777777" w:rsidR="00D37C8D" w:rsidRDefault="00D37C8D" w:rsidP="00D37C8D">
                  <w:pPr>
                    <w:spacing w:after="0"/>
                  </w:pPr>
                  <w:r>
                    <w:rPr>
                      <w:noProof/>
                    </w:rPr>
                    <w:drawing>
                      <wp:inline distT="0" distB="0" distL="0" distR="0" wp14:anchorId="6624C24D" wp14:editId="2B3EFE1B">
                        <wp:extent cx="295154" cy="295154"/>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p>
                <w:p w14:paraId="6E27D0F5" w14:textId="77777777" w:rsidR="00D37C8D" w:rsidRDefault="00D37C8D" w:rsidP="00D37C8D">
                  <w:pPr>
                    <w:spacing w:after="0"/>
                    <w:rPr>
                      <w:noProof/>
                    </w:rPr>
                  </w:pPr>
                  <w:r>
                    <w:t>(partially)</w:t>
                  </w:r>
                </w:p>
              </w:tc>
              <w:tc>
                <w:tcPr>
                  <w:tcW w:w="685" w:type="pct"/>
                </w:tcPr>
                <w:p w14:paraId="0888384D" w14:textId="77777777" w:rsidR="00D37C8D" w:rsidRDefault="00D37C8D" w:rsidP="00D37C8D">
                  <w:pPr>
                    <w:spacing w:after="0"/>
                  </w:pPr>
                  <w:r>
                    <w:rPr>
                      <w:noProof/>
                    </w:rPr>
                    <w:drawing>
                      <wp:inline distT="0" distB="0" distL="0" distR="0" wp14:anchorId="2AA72E7F" wp14:editId="6AAF8C0F">
                        <wp:extent cx="295154" cy="295154"/>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p>
                <w:p w14:paraId="6CE487A9" w14:textId="77777777" w:rsidR="00D37C8D" w:rsidRDefault="00D37C8D" w:rsidP="00D37C8D">
                  <w:pPr>
                    <w:spacing w:after="0"/>
                    <w:rPr>
                      <w:noProof/>
                    </w:rPr>
                  </w:pPr>
                  <w:r>
                    <w:t>(partially)</w:t>
                  </w:r>
                </w:p>
              </w:tc>
              <w:tc>
                <w:tcPr>
                  <w:tcW w:w="815" w:type="pct"/>
                </w:tcPr>
                <w:p w14:paraId="1635463F" w14:textId="77777777" w:rsidR="00D37C8D" w:rsidRDefault="00D37C8D" w:rsidP="00D37C8D">
                  <w:pPr>
                    <w:spacing w:after="0"/>
                    <w:rPr>
                      <w:noProof/>
                    </w:rPr>
                  </w:pPr>
                  <w:r>
                    <w:rPr>
                      <w:noProof/>
                    </w:rPr>
                    <w:drawing>
                      <wp:inline distT="0" distB="0" distL="0" distR="0" wp14:anchorId="6B9D180D" wp14:editId="04B0AD8D">
                        <wp:extent cx="294640" cy="294640"/>
                        <wp:effectExtent l="0" t="0" r="0" b="0"/>
                        <wp:docPr id="18" name="Graphic 1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14D4AF70" w14:textId="77777777" w:rsidR="00D37C8D" w:rsidRDefault="00D37C8D" w:rsidP="00D37C8D">
                  <w:pPr>
                    <w:spacing w:after="0"/>
                    <w:rPr>
                      <w:noProof/>
                    </w:rPr>
                  </w:pPr>
                  <w:r>
                    <w:rPr>
                      <w:noProof/>
                    </w:rPr>
                    <w:drawing>
                      <wp:inline distT="0" distB="0" distL="0" distR="0" wp14:anchorId="08FEB366" wp14:editId="483CC818">
                        <wp:extent cx="295154" cy="295154"/>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28" w:type="pct"/>
                </w:tcPr>
                <w:p w14:paraId="3E5B1947" w14:textId="77777777" w:rsidR="00D37C8D" w:rsidRDefault="00D37C8D" w:rsidP="00D37C8D">
                  <w:pPr>
                    <w:spacing w:after="0"/>
                    <w:rPr>
                      <w:noProof/>
                    </w:rPr>
                  </w:pPr>
                  <w:r>
                    <w:rPr>
                      <w:noProof/>
                    </w:rPr>
                    <w:drawing>
                      <wp:inline distT="0" distB="0" distL="0" distR="0" wp14:anchorId="407C851C" wp14:editId="5ED50FC4">
                        <wp:extent cx="295154" cy="295154"/>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61" w:type="pct"/>
                </w:tcPr>
                <w:p w14:paraId="47E59E78" w14:textId="77777777" w:rsidR="00D37C8D" w:rsidRDefault="00D37C8D" w:rsidP="00D37C8D">
                  <w:pPr>
                    <w:spacing w:after="0"/>
                    <w:rPr>
                      <w:noProof/>
                    </w:rPr>
                  </w:pPr>
                  <w:r>
                    <w:rPr>
                      <w:noProof/>
                    </w:rPr>
                    <w:drawing>
                      <wp:inline distT="0" distB="0" distL="0" distR="0" wp14:anchorId="3FC312E1" wp14:editId="2ECAC43F">
                        <wp:extent cx="295154" cy="295154"/>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D37C8D" w:rsidRPr="00E726EF" w14:paraId="456FDE7F" w14:textId="77777777" w:rsidTr="006123B2">
              <w:tc>
                <w:tcPr>
                  <w:tcW w:w="755" w:type="pct"/>
                </w:tcPr>
                <w:p w14:paraId="66A9A2CB" w14:textId="77777777" w:rsidR="00D37C8D" w:rsidRPr="00ED1973" w:rsidRDefault="00D37C8D" w:rsidP="00D37C8D">
                  <w:pPr>
                    <w:spacing w:after="0"/>
                  </w:pPr>
                  <w:r w:rsidRPr="00ED1973">
                    <w:t>Queensland</w:t>
                  </w:r>
                </w:p>
              </w:tc>
              <w:tc>
                <w:tcPr>
                  <w:tcW w:w="689" w:type="pct"/>
                </w:tcPr>
                <w:p w14:paraId="14D728CE" w14:textId="77777777" w:rsidR="00D37C8D" w:rsidRDefault="00D37C8D" w:rsidP="00D37C8D">
                  <w:pPr>
                    <w:spacing w:after="0"/>
                  </w:pPr>
                  <w:r>
                    <w:rPr>
                      <w:noProof/>
                    </w:rPr>
                    <w:drawing>
                      <wp:inline distT="0" distB="0" distL="0" distR="0" wp14:anchorId="65FB7A76" wp14:editId="7B96003E">
                        <wp:extent cx="295154" cy="295154"/>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1D451F42" w14:textId="77777777" w:rsidR="00D37C8D" w:rsidRDefault="00D37C8D" w:rsidP="00D37C8D">
                  <w:pPr>
                    <w:spacing w:after="0"/>
                    <w:rPr>
                      <w:noProof/>
                    </w:rPr>
                  </w:pPr>
                  <w:r>
                    <w:t>(partially)</w:t>
                  </w:r>
                </w:p>
              </w:tc>
              <w:tc>
                <w:tcPr>
                  <w:tcW w:w="685" w:type="pct"/>
                </w:tcPr>
                <w:p w14:paraId="7FCCF832" w14:textId="77777777" w:rsidR="00D37C8D" w:rsidRDefault="00D37C8D" w:rsidP="00D37C8D">
                  <w:pPr>
                    <w:spacing w:after="0"/>
                    <w:rPr>
                      <w:noProof/>
                    </w:rPr>
                  </w:pPr>
                  <w:r>
                    <w:rPr>
                      <w:noProof/>
                    </w:rPr>
                    <w:drawing>
                      <wp:inline distT="0" distB="0" distL="0" distR="0" wp14:anchorId="449442A2" wp14:editId="06CD214A">
                        <wp:extent cx="294640" cy="294640"/>
                        <wp:effectExtent l="0" t="0" r="0" b="0"/>
                        <wp:docPr id="22" name="Graphic 2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15" w:type="pct"/>
                </w:tcPr>
                <w:p w14:paraId="755A9278" w14:textId="77777777" w:rsidR="00D37C8D" w:rsidRDefault="00D37C8D" w:rsidP="00D37C8D">
                  <w:pPr>
                    <w:spacing w:after="0"/>
                    <w:rPr>
                      <w:noProof/>
                    </w:rPr>
                  </w:pPr>
                  <w:r>
                    <w:rPr>
                      <w:noProof/>
                    </w:rPr>
                    <w:drawing>
                      <wp:inline distT="0" distB="0" distL="0" distR="0" wp14:anchorId="0682BE99" wp14:editId="60D69539">
                        <wp:extent cx="294640" cy="294640"/>
                        <wp:effectExtent l="0" t="0" r="0" b="0"/>
                        <wp:docPr id="23" name="Graphic 2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2EB1EC9F" w14:textId="77777777" w:rsidR="00D37C8D" w:rsidRDefault="00D37C8D" w:rsidP="00D37C8D">
                  <w:pPr>
                    <w:spacing w:after="0"/>
                    <w:rPr>
                      <w:noProof/>
                    </w:rPr>
                  </w:pPr>
                  <w:r>
                    <w:rPr>
                      <w:noProof/>
                    </w:rPr>
                    <w:drawing>
                      <wp:inline distT="0" distB="0" distL="0" distR="0" wp14:anchorId="23279AE7" wp14:editId="4AF23089">
                        <wp:extent cx="295154" cy="295154"/>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28" w:type="pct"/>
                </w:tcPr>
                <w:p w14:paraId="7ACF604E" w14:textId="77777777" w:rsidR="00D37C8D" w:rsidRDefault="00D37C8D" w:rsidP="00D37C8D">
                  <w:pPr>
                    <w:spacing w:after="0"/>
                    <w:rPr>
                      <w:noProof/>
                    </w:rPr>
                  </w:pPr>
                  <w:r>
                    <w:rPr>
                      <w:noProof/>
                    </w:rPr>
                    <w:drawing>
                      <wp:inline distT="0" distB="0" distL="0" distR="0" wp14:anchorId="414CA6A3" wp14:editId="41D2B18C">
                        <wp:extent cx="295154" cy="295154"/>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61" w:type="pct"/>
                </w:tcPr>
                <w:p w14:paraId="00AE9AA8" w14:textId="77777777" w:rsidR="00D37C8D" w:rsidRDefault="00D37C8D" w:rsidP="00D37C8D">
                  <w:pPr>
                    <w:spacing w:after="0"/>
                    <w:rPr>
                      <w:noProof/>
                    </w:rPr>
                  </w:pPr>
                  <w:r>
                    <w:rPr>
                      <w:noProof/>
                    </w:rPr>
                    <w:drawing>
                      <wp:inline distT="0" distB="0" distL="0" distR="0" wp14:anchorId="32E36E29" wp14:editId="5A05E3F3">
                        <wp:extent cx="294640" cy="294640"/>
                        <wp:effectExtent l="0" t="0" r="0" b="0"/>
                        <wp:docPr id="8" name="Graphic 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r>
            <w:tr w:rsidR="00D37C8D" w:rsidRPr="00E726EF" w14:paraId="1AF3A6A7" w14:textId="77777777" w:rsidTr="006123B2">
              <w:tc>
                <w:tcPr>
                  <w:tcW w:w="755" w:type="pct"/>
                </w:tcPr>
                <w:p w14:paraId="6FB78234" w14:textId="77777777" w:rsidR="00D37C8D" w:rsidRPr="00ED1973" w:rsidRDefault="00D37C8D" w:rsidP="00D37C8D">
                  <w:pPr>
                    <w:spacing w:after="0"/>
                  </w:pPr>
                  <w:r w:rsidRPr="00ED1973">
                    <w:t>Western Australia</w:t>
                  </w:r>
                </w:p>
              </w:tc>
              <w:tc>
                <w:tcPr>
                  <w:tcW w:w="689" w:type="pct"/>
                </w:tcPr>
                <w:p w14:paraId="6E0B08E9" w14:textId="77777777" w:rsidR="00D37C8D" w:rsidRDefault="00D37C8D" w:rsidP="00D37C8D">
                  <w:pPr>
                    <w:spacing w:after="0"/>
                    <w:rPr>
                      <w:noProof/>
                    </w:rPr>
                  </w:pPr>
                  <w:r>
                    <w:rPr>
                      <w:noProof/>
                    </w:rPr>
                    <w:drawing>
                      <wp:inline distT="0" distB="0" distL="0" distR="0" wp14:anchorId="2F06BEF0" wp14:editId="30D7D8FA">
                        <wp:extent cx="294640" cy="294640"/>
                        <wp:effectExtent l="0" t="0" r="0" b="0"/>
                        <wp:docPr id="26" name="Graphic 26"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685" w:type="pct"/>
                </w:tcPr>
                <w:p w14:paraId="3861D4F2" w14:textId="77777777" w:rsidR="00D37C8D" w:rsidRDefault="00D37C8D" w:rsidP="00D37C8D">
                  <w:pPr>
                    <w:spacing w:after="0"/>
                  </w:pPr>
                  <w:r>
                    <w:rPr>
                      <w:noProof/>
                    </w:rPr>
                    <w:drawing>
                      <wp:inline distT="0" distB="0" distL="0" distR="0" wp14:anchorId="63ABB5DA" wp14:editId="4D6C4D87">
                        <wp:extent cx="295154" cy="295154"/>
                        <wp:effectExtent l="0" t="0" r="0" b="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p>
                <w:p w14:paraId="1C331CF6" w14:textId="77777777" w:rsidR="00D37C8D" w:rsidRDefault="00D37C8D" w:rsidP="00D37C8D">
                  <w:pPr>
                    <w:spacing w:after="0"/>
                    <w:rPr>
                      <w:noProof/>
                    </w:rPr>
                  </w:pPr>
                  <w:r>
                    <w:t>(partially)</w:t>
                  </w:r>
                </w:p>
              </w:tc>
              <w:tc>
                <w:tcPr>
                  <w:tcW w:w="815" w:type="pct"/>
                </w:tcPr>
                <w:p w14:paraId="6FEAC30F" w14:textId="77777777" w:rsidR="00D37C8D" w:rsidRDefault="00D37C8D" w:rsidP="00D37C8D">
                  <w:pPr>
                    <w:spacing w:after="0"/>
                  </w:pPr>
                  <w:r>
                    <w:rPr>
                      <w:noProof/>
                    </w:rPr>
                    <w:drawing>
                      <wp:inline distT="0" distB="0" distL="0" distR="0" wp14:anchorId="4EE70C02" wp14:editId="10C48C02">
                        <wp:extent cx="295154" cy="295154"/>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1C4A1169" w14:textId="77777777" w:rsidR="00D37C8D" w:rsidRDefault="00D37C8D" w:rsidP="00D37C8D">
                  <w:pPr>
                    <w:spacing w:after="0"/>
                    <w:rPr>
                      <w:noProof/>
                    </w:rPr>
                  </w:pPr>
                  <w:r>
                    <w:t>(partially)</w:t>
                  </w:r>
                </w:p>
              </w:tc>
              <w:tc>
                <w:tcPr>
                  <w:tcW w:w="567" w:type="pct"/>
                </w:tcPr>
                <w:p w14:paraId="608A9F77" w14:textId="77777777" w:rsidR="00D37C8D" w:rsidRDefault="00D37C8D" w:rsidP="00D37C8D">
                  <w:pPr>
                    <w:spacing w:after="0"/>
                    <w:rPr>
                      <w:noProof/>
                    </w:rPr>
                  </w:pPr>
                  <w:r>
                    <w:rPr>
                      <w:noProof/>
                    </w:rPr>
                    <w:drawing>
                      <wp:inline distT="0" distB="0" distL="0" distR="0" wp14:anchorId="5F3BF60D" wp14:editId="1A5B3BF3">
                        <wp:extent cx="294640" cy="294640"/>
                        <wp:effectExtent l="0" t="0" r="0" b="0"/>
                        <wp:docPr id="29" name="Graphic 2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28" w:type="pct"/>
                </w:tcPr>
                <w:p w14:paraId="41148C85" w14:textId="77777777" w:rsidR="00D37C8D" w:rsidRDefault="00D37C8D" w:rsidP="00D37C8D">
                  <w:pPr>
                    <w:spacing w:after="0"/>
                  </w:pPr>
                  <w:r>
                    <w:rPr>
                      <w:noProof/>
                    </w:rPr>
                    <w:drawing>
                      <wp:inline distT="0" distB="0" distL="0" distR="0" wp14:anchorId="391789FB" wp14:editId="57153E92">
                        <wp:extent cx="295154" cy="295154"/>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4C5FA08F" w14:textId="77777777" w:rsidR="00D37C8D" w:rsidRDefault="00D37C8D" w:rsidP="00D37C8D">
                  <w:pPr>
                    <w:spacing w:after="0"/>
                    <w:rPr>
                      <w:noProof/>
                    </w:rPr>
                  </w:pPr>
                  <w:r>
                    <w:t>(partially)</w:t>
                  </w:r>
                </w:p>
              </w:tc>
              <w:tc>
                <w:tcPr>
                  <w:tcW w:w="761" w:type="pct"/>
                </w:tcPr>
                <w:p w14:paraId="0B9F6A6A" w14:textId="77777777" w:rsidR="00D37C8D" w:rsidRDefault="00D37C8D" w:rsidP="00D37C8D">
                  <w:pPr>
                    <w:spacing w:after="0"/>
                  </w:pPr>
                  <w:r>
                    <w:rPr>
                      <w:noProof/>
                    </w:rPr>
                    <w:drawing>
                      <wp:inline distT="0" distB="0" distL="0" distR="0" wp14:anchorId="650E3F74" wp14:editId="6EA52BDD">
                        <wp:extent cx="295154" cy="295154"/>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7DC21D86" w14:textId="77777777" w:rsidR="00D37C8D" w:rsidRDefault="00D37C8D" w:rsidP="00D37C8D">
                  <w:pPr>
                    <w:spacing w:after="0"/>
                    <w:rPr>
                      <w:noProof/>
                    </w:rPr>
                  </w:pPr>
                  <w:r>
                    <w:t>(partially)</w:t>
                  </w:r>
                </w:p>
              </w:tc>
            </w:tr>
            <w:tr w:rsidR="00D37C8D" w:rsidRPr="00E726EF" w14:paraId="0459A947" w14:textId="77777777" w:rsidTr="006123B2">
              <w:tc>
                <w:tcPr>
                  <w:tcW w:w="755" w:type="pct"/>
                </w:tcPr>
                <w:p w14:paraId="104D09A5" w14:textId="77777777" w:rsidR="00D37C8D" w:rsidRPr="00ED1973" w:rsidRDefault="00D37C8D" w:rsidP="00D37C8D">
                  <w:pPr>
                    <w:spacing w:after="0"/>
                  </w:pPr>
                  <w:r w:rsidRPr="00ED1973">
                    <w:t>South Australia</w:t>
                  </w:r>
                </w:p>
              </w:tc>
              <w:tc>
                <w:tcPr>
                  <w:tcW w:w="689" w:type="pct"/>
                </w:tcPr>
                <w:p w14:paraId="7677C286" w14:textId="77777777" w:rsidR="00D37C8D" w:rsidRDefault="00D37C8D" w:rsidP="00D37C8D">
                  <w:pPr>
                    <w:spacing w:after="0"/>
                  </w:pPr>
                  <w:r>
                    <w:rPr>
                      <w:noProof/>
                    </w:rPr>
                    <w:drawing>
                      <wp:inline distT="0" distB="0" distL="0" distR="0" wp14:anchorId="5190BE9C" wp14:editId="38ED544B">
                        <wp:extent cx="295154" cy="295154"/>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6B6E88BC" w14:textId="77777777" w:rsidR="00D37C8D" w:rsidRDefault="00D37C8D" w:rsidP="00D37C8D">
                  <w:pPr>
                    <w:spacing w:after="0"/>
                    <w:rPr>
                      <w:noProof/>
                    </w:rPr>
                  </w:pPr>
                  <w:r>
                    <w:t>(partially)</w:t>
                  </w:r>
                </w:p>
              </w:tc>
              <w:tc>
                <w:tcPr>
                  <w:tcW w:w="685" w:type="pct"/>
                </w:tcPr>
                <w:p w14:paraId="0A809075" w14:textId="77777777" w:rsidR="00D37C8D" w:rsidRDefault="00D37C8D" w:rsidP="00D37C8D">
                  <w:pPr>
                    <w:spacing w:after="0"/>
                    <w:rPr>
                      <w:noProof/>
                    </w:rPr>
                  </w:pPr>
                  <w:r>
                    <w:rPr>
                      <w:noProof/>
                    </w:rPr>
                    <w:drawing>
                      <wp:inline distT="0" distB="0" distL="0" distR="0" wp14:anchorId="03C79120" wp14:editId="1A171DDE">
                        <wp:extent cx="294640" cy="294640"/>
                        <wp:effectExtent l="0" t="0" r="0" b="0"/>
                        <wp:docPr id="64" name="Graphic 6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15" w:type="pct"/>
                </w:tcPr>
                <w:p w14:paraId="01328B3C" w14:textId="77777777" w:rsidR="00D37C8D" w:rsidRDefault="00D37C8D" w:rsidP="00D37C8D">
                  <w:pPr>
                    <w:spacing w:after="0"/>
                    <w:rPr>
                      <w:noProof/>
                    </w:rPr>
                  </w:pPr>
                  <w:r>
                    <w:rPr>
                      <w:noProof/>
                    </w:rPr>
                    <w:drawing>
                      <wp:inline distT="0" distB="0" distL="0" distR="0" wp14:anchorId="03E18BB1" wp14:editId="7EB8C80F">
                        <wp:extent cx="294640" cy="294640"/>
                        <wp:effectExtent l="0" t="0" r="0" b="0"/>
                        <wp:docPr id="65" name="Graphic 65"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0B142F27" w14:textId="77777777" w:rsidR="00D37C8D" w:rsidRDefault="00D37C8D" w:rsidP="00D37C8D">
                  <w:pPr>
                    <w:spacing w:after="0"/>
                  </w:pPr>
                  <w:r>
                    <w:rPr>
                      <w:noProof/>
                    </w:rPr>
                    <w:drawing>
                      <wp:inline distT="0" distB="0" distL="0" distR="0" wp14:anchorId="11DFE196" wp14:editId="54DDEDF7">
                        <wp:extent cx="295154" cy="295154"/>
                        <wp:effectExtent l="0" t="0" r="0" b="0"/>
                        <wp:docPr id="66" name="Graphic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2061A10B" w14:textId="77777777" w:rsidR="00D37C8D" w:rsidRDefault="00D37C8D" w:rsidP="00D37C8D">
                  <w:pPr>
                    <w:spacing w:after="0"/>
                    <w:rPr>
                      <w:noProof/>
                    </w:rPr>
                  </w:pPr>
                  <w:r>
                    <w:t>(partially)</w:t>
                  </w:r>
                </w:p>
              </w:tc>
              <w:tc>
                <w:tcPr>
                  <w:tcW w:w="728" w:type="pct"/>
                </w:tcPr>
                <w:p w14:paraId="5C6BF8FA" w14:textId="77777777" w:rsidR="00D37C8D" w:rsidRDefault="00D37C8D" w:rsidP="00D37C8D">
                  <w:pPr>
                    <w:spacing w:after="0"/>
                    <w:rPr>
                      <w:noProof/>
                    </w:rPr>
                  </w:pPr>
                  <w:r>
                    <w:rPr>
                      <w:noProof/>
                    </w:rPr>
                    <w:drawing>
                      <wp:inline distT="0" distB="0" distL="0" distR="0" wp14:anchorId="60FEF897" wp14:editId="56EF9FCF">
                        <wp:extent cx="295154" cy="295154"/>
                        <wp:effectExtent l="0" t="0" r="0" b="0"/>
                        <wp:docPr id="67" name="Graphic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61" w:type="pct"/>
                </w:tcPr>
                <w:p w14:paraId="353B6613" w14:textId="77777777" w:rsidR="00D37C8D" w:rsidRDefault="00D37C8D" w:rsidP="00D37C8D">
                  <w:pPr>
                    <w:spacing w:after="0"/>
                  </w:pPr>
                  <w:r>
                    <w:rPr>
                      <w:noProof/>
                    </w:rPr>
                    <w:drawing>
                      <wp:inline distT="0" distB="0" distL="0" distR="0" wp14:anchorId="2C691A8E" wp14:editId="572C91ED">
                        <wp:extent cx="295154" cy="295154"/>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42C7C191" w14:textId="77777777" w:rsidR="00D37C8D" w:rsidRDefault="00D37C8D" w:rsidP="00D37C8D">
                  <w:pPr>
                    <w:spacing w:after="0"/>
                    <w:rPr>
                      <w:noProof/>
                    </w:rPr>
                  </w:pPr>
                  <w:r>
                    <w:t>(partially)</w:t>
                  </w:r>
                </w:p>
              </w:tc>
            </w:tr>
            <w:tr w:rsidR="00D37C8D" w:rsidRPr="00E726EF" w14:paraId="22E778C3" w14:textId="77777777" w:rsidTr="006123B2">
              <w:tc>
                <w:tcPr>
                  <w:tcW w:w="755" w:type="pct"/>
                </w:tcPr>
                <w:p w14:paraId="7EBFB4D9" w14:textId="77777777" w:rsidR="00D37C8D" w:rsidRPr="00ED1973" w:rsidRDefault="00D37C8D" w:rsidP="00D37C8D">
                  <w:pPr>
                    <w:spacing w:after="0"/>
                  </w:pPr>
                  <w:r w:rsidRPr="00ED1973">
                    <w:t>Tasmania</w:t>
                  </w:r>
                </w:p>
              </w:tc>
              <w:tc>
                <w:tcPr>
                  <w:tcW w:w="689" w:type="pct"/>
                </w:tcPr>
                <w:p w14:paraId="1B89E18B" w14:textId="77777777" w:rsidR="00D37C8D" w:rsidRDefault="00D37C8D" w:rsidP="00D37C8D">
                  <w:pPr>
                    <w:spacing w:after="0"/>
                  </w:pPr>
                  <w:r>
                    <w:rPr>
                      <w:noProof/>
                    </w:rPr>
                    <w:drawing>
                      <wp:inline distT="0" distB="0" distL="0" distR="0" wp14:anchorId="63E710DB" wp14:editId="327E80A5">
                        <wp:extent cx="295154" cy="295154"/>
                        <wp:effectExtent l="0" t="0" r="0" b="0"/>
                        <wp:docPr id="68" name="Graphic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p>
                <w:p w14:paraId="139E5CF4" w14:textId="77777777" w:rsidR="00D37C8D" w:rsidRDefault="00D37C8D" w:rsidP="00D37C8D">
                  <w:pPr>
                    <w:spacing w:after="0"/>
                    <w:rPr>
                      <w:noProof/>
                    </w:rPr>
                  </w:pPr>
                  <w:r>
                    <w:t>(partially)</w:t>
                  </w:r>
                </w:p>
              </w:tc>
              <w:tc>
                <w:tcPr>
                  <w:tcW w:w="685" w:type="pct"/>
                </w:tcPr>
                <w:p w14:paraId="3D60ACBF" w14:textId="77777777" w:rsidR="00D37C8D" w:rsidRDefault="00D37C8D" w:rsidP="00D37C8D">
                  <w:pPr>
                    <w:spacing w:after="0"/>
                  </w:pPr>
                  <w:r>
                    <w:rPr>
                      <w:noProof/>
                    </w:rPr>
                    <w:drawing>
                      <wp:inline distT="0" distB="0" distL="0" distR="0" wp14:anchorId="3A1A00AD" wp14:editId="1298B24F">
                        <wp:extent cx="295154" cy="295154"/>
                        <wp:effectExtent l="0" t="0" r="0" b="0"/>
                        <wp:docPr id="69" name="Graphic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p>
                <w:p w14:paraId="40CFE664" w14:textId="77777777" w:rsidR="00D37C8D" w:rsidRDefault="00D37C8D" w:rsidP="00D37C8D">
                  <w:pPr>
                    <w:spacing w:after="0"/>
                    <w:rPr>
                      <w:noProof/>
                    </w:rPr>
                  </w:pPr>
                  <w:r>
                    <w:t>(partially)</w:t>
                  </w:r>
                </w:p>
              </w:tc>
              <w:tc>
                <w:tcPr>
                  <w:tcW w:w="815" w:type="pct"/>
                </w:tcPr>
                <w:p w14:paraId="02C65D5A" w14:textId="77777777" w:rsidR="00D37C8D" w:rsidRDefault="00D37C8D" w:rsidP="00D37C8D">
                  <w:pPr>
                    <w:spacing w:after="0"/>
                    <w:rPr>
                      <w:noProof/>
                    </w:rPr>
                  </w:pPr>
                  <w:r>
                    <w:rPr>
                      <w:noProof/>
                    </w:rPr>
                    <w:drawing>
                      <wp:inline distT="0" distB="0" distL="0" distR="0" wp14:anchorId="06FD42CA" wp14:editId="3CF7FACD">
                        <wp:extent cx="294640" cy="294640"/>
                        <wp:effectExtent l="0" t="0" r="0" b="0"/>
                        <wp:docPr id="70" name="Graphic 70"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0EF80311" w14:textId="77777777" w:rsidR="00D37C8D" w:rsidRDefault="00D37C8D" w:rsidP="00D37C8D">
                  <w:pPr>
                    <w:spacing w:after="0"/>
                    <w:rPr>
                      <w:noProof/>
                    </w:rPr>
                  </w:pPr>
                  <w:r>
                    <w:rPr>
                      <w:noProof/>
                    </w:rPr>
                    <w:drawing>
                      <wp:inline distT="0" distB="0" distL="0" distR="0" wp14:anchorId="105D65E3" wp14:editId="6A1A8004">
                        <wp:extent cx="294640" cy="294640"/>
                        <wp:effectExtent l="0" t="0" r="0" b="0"/>
                        <wp:docPr id="71" name="Graphic 7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28" w:type="pct"/>
                </w:tcPr>
                <w:p w14:paraId="5B9A4D96" w14:textId="77777777" w:rsidR="00D37C8D" w:rsidRDefault="00D37C8D" w:rsidP="00D37C8D">
                  <w:pPr>
                    <w:spacing w:after="0"/>
                    <w:rPr>
                      <w:noProof/>
                    </w:rPr>
                  </w:pPr>
                  <w:r>
                    <w:rPr>
                      <w:noProof/>
                    </w:rPr>
                    <w:drawing>
                      <wp:inline distT="0" distB="0" distL="0" distR="0" wp14:anchorId="15AE0F65" wp14:editId="5191456C">
                        <wp:extent cx="294640" cy="294640"/>
                        <wp:effectExtent l="0" t="0" r="0" b="0"/>
                        <wp:docPr id="72" name="Graphic 7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61" w:type="pct"/>
                </w:tcPr>
                <w:p w14:paraId="499F5CFE" w14:textId="77777777" w:rsidR="00D37C8D" w:rsidRDefault="00D37C8D" w:rsidP="00D37C8D">
                  <w:pPr>
                    <w:spacing w:after="0"/>
                  </w:pPr>
                  <w:r>
                    <w:rPr>
                      <w:noProof/>
                    </w:rPr>
                    <w:drawing>
                      <wp:inline distT="0" distB="0" distL="0" distR="0" wp14:anchorId="4D210EC2" wp14:editId="0840101B">
                        <wp:extent cx="295154" cy="295154"/>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01BF4C87" w14:textId="77777777" w:rsidR="00D37C8D" w:rsidRDefault="00D37C8D" w:rsidP="00D37C8D">
                  <w:pPr>
                    <w:spacing w:after="0"/>
                    <w:rPr>
                      <w:noProof/>
                    </w:rPr>
                  </w:pPr>
                  <w:r>
                    <w:t>(partially)</w:t>
                  </w:r>
                </w:p>
              </w:tc>
            </w:tr>
            <w:tr w:rsidR="00D37C8D" w:rsidRPr="00E726EF" w14:paraId="17821569" w14:textId="77777777" w:rsidTr="006123B2">
              <w:tc>
                <w:tcPr>
                  <w:tcW w:w="755" w:type="pct"/>
                </w:tcPr>
                <w:p w14:paraId="2510A0A5" w14:textId="77777777" w:rsidR="00D37C8D" w:rsidRPr="00ED1973" w:rsidRDefault="00D37C8D" w:rsidP="00D37C8D">
                  <w:pPr>
                    <w:spacing w:after="0"/>
                  </w:pPr>
                  <w:r w:rsidRPr="00ED1973">
                    <w:t>Australian Capital Territory</w:t>
                  </w:r>
                </w:p>
              </w:tc>
              <w:tc>
                <w:tcPr>
                  <w:tcW w:w="689" w:type="pct"/>
                </w:tcPr>
                <w:p w14:paraId="09EF8F38" w14:textId="4336F241" w:rsidR="00D37C8D" w:rsidRPr="00ED1973" w:rsidRDefault="00D37C8D" w:rsidP="00D37C8D">
                  <w:pPr>
                    <w:spacing w:after="0"/>
                  </w:pPr>
                  <w:r>
                    <w:rPr>
                      <w:noProof/>
                    </w:rPr>
                    <w:drawing>
                      <wp:inline distT="0" distB="0" distL="0" distR="0" wp14:anchorId="1CB6974E" wp14:editId="23D7475B">
                        <wp:extent cx="294640" cy="294640"/>
                        <wp:effectExtent l="0" t="0" r="0" b="0"/>
                        <wp:docPr id="73" name="Graphic 7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685" w:type="pct"/>
                </w:tcPr>
                <w:p w14:paraId="46561070" w14:textId="77777777" w:rsidR="00D37C8D" w:rsidRPr="00E726EF" w:rsidRDefault="00D37C8D" w:rsidP="00D37C8D">
                  <w:pPr>
                    <w:spacing w:after="0"/>
                  </w:pPr>
                  <w:r>
                    <w:rPr>
                      <w:noProof/>
                    </w:rPr>
                    <w:drawing>
                      <wp:inline distT="0" distB="0" distL="0" distR="0" wp14:anchorId="14D9347F" wp14:editId="6BBF95B8">
                        <wp:extent cx="294640" cy="294640"/>
                        <wp:effectExtent l="0" t="0" r="0" b="0"/>
                        <wp:docPr id="77" name="Graphic 7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15" w:type="pct"/>
                </w:tcPr>
                <w:p w14:paraId="6EC18242" w14:textId="77777777" w:rsidR="00D37C8D" w:rsidRDefault="00D37C8D" w:rsidP="00D37C8D">
                  <w:pPr>
                    <w:spacing w:after="0"/>
                  </w:pPr>
                  <w:r>
                    <w:rPr>
                      <w:noProof/>
                    </w:rPr>
                    <w:drawing>
                      <wp:inline distT="0" distB="0" distL="0" distR="0" wp14:anchorId="2FDFACC8" wp14:editId="32F42EBA">
                        <wp:extent cx="295154" cy="295154"/>
                        <wp:effectExtent l="0" t="0" r="0" b="0"/>
                        <wp:docPr id="78" name="Graphic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10AF1B8F" w14:textId="77777777" w:rsidR="00D37C8D" w:rsidRPr="00E726EF" w:rsidRDefault="00D37C8D" w:rsidP="00D37C8D">
                  <w:pPr>
                    <w:spacing w:after="0"/>
                  </w:pPr>
                  <w:r>
                    <w:t>(partially)</w:t>
                  </w:r>
                </w:p>
              </w:tc>
              <w:tc>
                <w:tcPr>
                  <w:tcW w:w="567" w:type="pct"/>
                </w:tcPr>
                <w:p w14:paraId="28C100E9" w14:textId="77777777" w:rsidR="00D37C8D" w:rsidRDefault="00D37C8D" w:rsidP="00D37C8D">
                  <w:pPr>
                    <w:spacing w:after="0"/>
                  </w:pPr>
                  <w:r>
                    <w:rPr>
                      <w:noProof/>
                    </w:rPr>
                    <w:drawing>
                      <wp:inline distT="0" distB="0" distL="0" distR="0" wp14:anchorId="5CB166A4" wp14:editId="1CBB8FF3">
                        <wp:extent cx="295154" cy="295154"/>
                        <wp:effectExtent l="0" t="0" r="0" b="0"/>
                        <wp:docPr id="79" name="Graphic 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0F4CBAD2" w14:textId="77777777" w:rsidR="00D37C8D" w:rsidRPr="00E726EF" w:rsidRDefault="00D37C8D" w:rsidP="00D37C8D">
                  <w:pPr>
                    <w:spacing w:after="0"/>
                  </w:pPr>
                  <w:r>
                    <w:t>(partially)</w:t>
                  </w:r>
                </w:p>
              </w:tc>
              <w:tc>
                <w:tcPr>
                  <w:tcW w:w="728" w:type="pct"/>
                </w:tcPr>
                <w:p w14:paraId="0DA7CB68" w14:textId="77777777" w:rsidR="00D37C8D" w:rsidRPr="00E726EF" w:rsidRDefault="00D37C8D" w:rsidP="00D37C8D">
                  <w:pPr>
                    <w:spacing w:after="0"/>
                  </w:pPr>
                  <w:r>
                    <w:rPr>
                      <w:noProof/>
                    </w:rPr>
                    <w:drawing>
                      <wp:inline distT="0" distB="0" distL="0" distR="0" wp14:anchorId="628E261B" wp14:editId="63ABF555">
                        <wp:extent cx="295154" cy="295154"/>
                        <wp:effectExtent l="0" t="0" r="0" b="0"/>
                        <wp:docPr id="80" name="Graphic 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r>
                    <w:t xml:space="preserve"> </w:t>
                  </w:r>
                </w:p>
              </w:tc>
              <w:tc>
                <w:tcPr>
                  <w:tcW w:w="761" w:type="pct"/>
                </w:tcPr>
                <w:p w14:paraId="79330256" w14:textId="77777777" w:rsidR="00D37C8D" w:rsidRDefault="00D37C8D" w:rsidP="00D37C8D">
                  <w:pPr>
                    <w:spacing w:after="0"/>
                  </w:pPr>
                  <w:r>
                    <w:rPr>
                      <w:noProof/>
                    </w:rPr>
                    <w:drawing>
                      <wp:inline distT="0" distB="0" distL="0" distR="0" wp14:anchorId="23211440" wp14:editId="4712A129">
                        <wp:extent cx="295154" cy="295154"/>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34ED87DE" w14:textId="77777777" w:rsidR="00D37C8D" w:rsidRDefault="00D37C8D" w:rsidP="00D37C8D">
                  <w:pPr>
                    <w:spacing w:after="0"/>
                    <w:rPr>
                      <w:noProof/>
                    </w:rPr>
                  </w:pPr>
                  <w:r>
                    <w:t>(partially)</w:t>
                  </w:r>
                </w:p>
              </w:tc>
            </w:tr>
            <w:tr w:rsidR="00D37C8D" w:rsidRPr="00E726EF" w14:paraId="4CEE7562" w14:textId="77777777" w:rsidTr="006123B2">
              <w:tc>
                <w:tcPr>
                  <w:tcW w:w="755" w:type="pct"/>
                </w:tcPr>
                <w:p w14:paraId="747C14BD" w14:textId="77777777" w:rsidR="00D37C8D" w:rsidRPr="00ED1973" w:rsidRDefault="00D37C8D" w:rsidP="00D37C8D">
                  <w:pPr>
                    <w:spacing w:after="0"/>
                  </w:pPr>
                  <w:r w:rsidRPr="00ED1973">
                    <w:t>Northern Territory</w:t>
                  </w:r>
                </w:p>
              </w:tc>
              <w:tc>
                <w:tcPr>
                  <w:tcW w:w="689" w:type="pct"/>
                </w:tcPr>
                <w:p w14:paraId="57348E52" w14:textId="77777777" w:rsidR="00D37C8D" w:rsidRDefault="00D37C8D" w:rsidP="00D37C8D">
                  <w:pPr>
                    <w:spacing w:after="0"/>
                  </w:pPr>
                  <w:r>
                    <w:rPr>
                      <w:noProof/>
                    </w:rPr>
                    <w:drawing>
                      <wp:inline distT="0" distB="0" distL="0" distR="0" wp14:anchorId="30BD7E6F" wp14:editId="70A8284F">
                        <wp:extent cx="295154" cy="295154"/>
                        <wp:effectExtent l="0" t="0" r="0" b="0"/>
                        <wp:docPr id="120" name="Graphic 1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1644BCC7" w14:textId="77777777" w:rsidR="00D37C8D" w:rsidRPr="00ED1973" w:rsidRDefault="00D37C8D" w:rsidP="00D37C8D">
                  <w:pPr>
                    <w:spacing w:after="0"/>
                  </w:pPr>
                  <w:r>
                    <w:t>(partially)</w:t>
                  </w:r>
                </w:p>
              </w:tc>
              <w:tc>
                <w:tcPr>
                  <w:tcW w:w="685" w:type="pct"/>
                </w:tcPr>
                <w:p w14:paraId="660AE1BA" w14:textId="77777777" w:rsidR="00D37C8D" w:rsidRPr="00E726EF" w:rsidRDefault="00D37C8D" w:rsidP="00D37C8D">
                  <w:pPr>
                    <w:spacing w:after="0"/>
                  </w:pPr>
                  <w:r>
                    <w:rPr>
                      <w:noProof/>
                    </w:rPr>
                    <w:drawing>
                      <wp:inline distT="0" distB="0" distL="0" distR="0" wp14:anchorId="7E1F638B" wp14:editId="153ACDA6">
                        <wp:extent cx="294640" cy="294640"/>
                        <wp:effectExtent l="0" t="0" r="0" b="0"/>
                        <wp:docPr id="121" name="Graphic 12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15" w:type="pct"/>
                </w:tcPr>
                <w:p w14:paraId="4A8288B1" w14:textId="77777777" w:rsidR="00D37C8D" w:rsidRPr="00E726EF" w:rsidRDefault="00D37C8D" w:rsidP="00D37C8D">
                  <w:pPr>
                    <w:spacing w:after="0"/>
                  </w:pPr>
                  <w:r>
                    <w:rPr>
                      <w:noProof/>
                    </w:rPr>
                    <w:drawing>
                      <wp:inline distT="0" distB="0" distL="0" distR="0" wp14:anchorId="0BF0206A" wp14:editId="16184473">
                        <wp:extent cx="294640" cy="294640"/>
                        <wp:effectExtent l="0" t="0" r="0" b="0"/>
                        <wp:docPr id="122" name="Graphic 12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567" w:type="pct"/>
                </w:tcPr>
                <w:p w14:paraId="0CC2CC44" w14:textId="77777777" w:rsidR="00D37C8D" w:rsidRPr="00E726EF" w:rsidRDefault="00D37C8D" w:rsidP="00D37C8D">
                  <w:pPr>
                    <w:spacing w:after="0"/>
                  </w:pPr>
                  <w:r>
                    <w:rPr>
                      <w:noProof/>
                    </w:rPr>
                    <w:drawing>
                      <wp:inline distT="0" distB="0" distL="0" distR="0" wp14:anchorId="3C069D42" wp14:editId="64CBD0A1">
                        <wp:extent cx="294640" cy="294640"/>
                        <wp:effectExtent l="0" t="0" r="0" b="0"/>
                        <wp:docPr id="123" name="Graphic 12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28" w:type="pct"/>
                </w:tcPr>
                <w:p w14:paraId="2822F7A4" w14:textId="77777777" w:rsidR="00D37C8D" w:rsidRPr="00E726EF" w:rsidRDefault="00D37C8D" w:rsidP="00D37C8D">
                  <w:pPr>
                    <w:spacing w:after="0"/>
                  </w:pPr>
                  <w:r>
                    <w:rPr>
                      <w:noProof/>
                    </w:rPr>
                    <w:drawing>
                      <wp:inline distT="0" distB="0" distL="0" distR="0" wp14:anchorId="7A0FA0A7" wp14:editId="449323A6">
                        <wp:extent cx="294640" cy="294640"/>
                        <wp:effectExtent l="0" t="0" r="0" b="0"/>
                        <wp:docPr id="124" name="Graphic 12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761" w:type="pct"/>
                </w:tcPr>
                <w:p w14:paraId="60830520" w14:textId="77777777" w:rsidR="00D37C8D" w:rsidRDefault="00D37C8D" w:rsidP="00D37C8D">
                  <w:pPr>
                    <w:spacing w:after="0"/>
                  </w:pPr>
                  <w:r>
                    <w:rPr>
                      <w:noProof/>
                    </w:rPr>
                    <w:drawing>
                      <wp:inline distT="0" distB="0" distL="0" distR="0" wp14:anchorId="5BCB703E" wp14:editId="269DEBAB">
                        <wp:extent cx="295154" cy="295154"/>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t xml:space="preserve"> </w:t>
                  </w:r>
                </w:p>
                <w:p w14:paraId="1D687F75" w14:textId="77777777" w:rsidR="00D37C8D" w:rsidRDefault="00D37C8D" w:rsidP="00D37C8D">
                  <w:pPr>
                    <w:spacing w:after="0"/>
                    <w:rPr>
                      <w:noProof/>
                    </w:rPr>
                  </w:pPr>
                  <w:r>
                    <w:t>(partially)</w:t>
                  </w:r>
                </w:p>
              </w:tc>
            </w:tr>
          </w:tbl>
          <w:p w14:paraId="5FADF399" w14:textId="77777777" w:rsidR="00A10029" w:rsidRPr="00020BCC" w:rsidRDefault="00A10029" w:rsidP="0018701C">
            <w:pPr>
              <w:spacing w:after="0"/>
              <w:rPr>
                <w:b/>
                <w:bCs/>
                <w:sz w:val="18"/>
                <w:szCs w:val="18"/>
              </w:rPr>
            </w:pPr>
            <w:r>
              <w:rPr>
                <w:b/>
                <w:bCs/>
              </w:rPr>
              <w:br/>
            </w:r>
            <w:r w:rsidRPr="006701EF">
              <w:rPr>
                <w:b/>
              </w:rPr>
              <w:t>Legend</w:t>
            </w:r>
          </w:p>
        </w:tc>
      </w:tr>
      <w:tr w:rsidR="00A10029" w14:paraId="38D8ABCD" w14:textId="77777777" w:rsidTr="00E33B63">
        <w:tc>
          <w:tcPr>
            <w:tcW w:w="1016" w:type="dxa"/>
            <w:shd w:val="clear" w:color="auto" w:fill="auto"/>
          </w:tcPr>
          <w:p w14:paraId="1F30FBF4" w14:textId="77777777" w:rsidR="00A10029" w:rsidRDefault="00A10029" w:rsidP="0018701C">
            <w:pPr>
              <w:spacing w:after="0"/>
            </w:pPr>
            <w:r>
              <w:rPr>
                <w:noProof/>
              </w:rPr>
              <w:drawing>
                <wp:inline distT="0" distB="0" distL="0" distR="0" wp14:anchorId="2B50F559" wp14:editId="3AC68FD3">
                  <wp:extent cx="295154" cy="295154"/>
                  <wp:effectExtent l="0" t="0" r="0" b="0"/>
                  <wp:docPr id="117" name="Graphic 1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056" w:type="dxa"/>
          </w:tcPr>
          <w:p w14:paraId="353E79F0" w14:textId="77777777" w:rsidR="00A10029" w:rsidRPr="00BB10E0" w:rsidRDefault="00A10029" w:rsidP="0018701C">
            <w:pPr>
              <w:spacing w:after="0"/>
              <w:rPr>
                <w:sz w:val="18"/>
                <w:szCs w:val="18"/>
              </w:rPr>
            </w:pPr>
            <w:r w:rsidRPr="00BB10E0">
              <w:rPr>
                <w:sz w:val="18"/>
                <w:szCs w:val="18"/>
              </w:rPr>
              <w:t xml:space="preserve">The activity is captured under existing </w:t>
            </w:r>
            <w:r>
              <w:rPr>
                <w:sz w:val="18"/>
                <w:szCs w:val="18"/>
              </w:rPr>
              <w:t>governance standard three</w:t>
            </w:r>
            <w:r w:rsidRPr="00BB10E0">
              <w:rPr>
                <w:sz w:val="18"/>
                <w:szCs w:val="18"/>
              </w:rPr>
              <w:t xml:space="preserve"> (i.e. the activity is a</w:t>
            </w:r>
            <w:r>
              <w:rPr>
                <w:sz w:val="18"/>
                <w:szCs w:val="18"/>
              </w:rPr>
              <w:t>n</w:t>
            </w:r>
            <w:r w:rsidRPr="00BB10E0">
              <w:rPr>
                <w:sz w:val="18"/>
                <w:szCs w:val="18"/>
              </w:rPr>
              <w:t xml:space="preserve"> indictable offence or incurs a penalty of 60 units or more)</w:t>
            </w:r>
          </w:p>
        </w:tc>
      </w:tr>
      <w:tr w:rsidR="00A10029" w14:paraId="568DEAD8" w14:textId="77777777" w:rsidTr="00E33B63">
        <w:tc>
          <w:tcPr>
            <w:tcW w:w="1016" w:type="dxa"/>
            <w:shd w:val="clear" w:color="auto" w:fill="auto"/>
          </w:tcPr>
          <w:p w14:paraId="6B43B97A" w14:textId="77777777" w:rsidR="00A10029" w:rsidRDefault="00A10029" w:rsidP="0018701C">
            <w:pPr>
              <w:spacing w:after="0"/>
              <w:rPr>
                <w:noProof/>
              </w:rPr>
            </w:pPr>
            <w:r>
              <w:rPr>
                <w:noProof/>
              </w:rPr>
              <w:drawing>
                <wp:inline distT="0" distB="0" distL="0" distR="0" wp14:anchorId="6476ACB6" wp14:editId="37CCBE20">
                  <wp:extent cx="295154" cy="295154"/>
                  <wp:effectExtent l="0" t="0" r="0" b="0"/>
                  <wp:docPr id="118" name="Graphic 1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5154" cy="295154"/>
                          </a:xfrm>
                          <a:prstGeom prst="rect">
                            <a:avLst/>
                          </a:prstGeom>
                        </pic:spPr>
                      </pic:pic>
                    </a:graphicData>
                  </a:graphic>
                </wp:inline>
              </w:drawing>
            </w:r>
            <w:r>
              <w:rPr>
                <w:noProof/>
              </w:rPr>
              <w:t>(partially)</w:t>
            </w:r>
          </w:p>
        </w:tc>
        <w:tc>
          <w:tcPr>
            <w:tcW w:w="8056" w:type="dxa"/>
          </w:tcPr>
          <w:p w14:paraId="202F6DA4" w14:textId="77777777" w:rsidR="00A10029" w:rsidRPr="00BB10E0" w:rsidRDefault="00A10029" w:rsidP="0018701C">
            <w:pPr>
              <w:spacing w:after="0"/>
              <w:rPr>
                <w:sz w:val="18"/>
                <w:szCs w:val="18"/>
              </w:rPr>
            </w:pPr>
            <w:r w:rsidRPr="00BB10E0">
              <w:rPr>
                <w:sz w:val="18"/>
                <w:szCs w:val="18"/>
              </w:rPr>
              <w:t xml:space="preserve">The activity is only partly captured </w:t>
            </w:r>
            <w:r>
              <w:rPr>
                <w:sz w:val="18"/>
                <w:szCs w:val="18"/>
              </w:rPr>
              <w:t>(i.e. the activity may only be captured in some cases; aspects of the activity is a summary offence)</w:t>
            </w:r>
          </w:p>
        </w:tc>
      </w:tr>
      <w:tr w:rsidR="00A10029" w14:paraId="0C74A913" w14:textId="77777777" w:rsidTr="00E33B63">
        <w:tc>
          <w:tcPr>
            <w:tcW w:w="1016" w:type="dxa"/>
            <w:shd w:val="clear" w:color="auto" w:fill="auto"/>
          </w:tcPr>
          <w:p w14:paraId="1D773823" w14:textId="77777777" w:rsidR="00A10029" w:rsidRPr="00FC59E6" w:rsidRDefault="00A10029" w:rsidP="0018701C">
            <w:pPr>
              <w:spacing w:after="0"/>
              <w:rPr>
                <w:noProof/>
              </w:rPr>
            </w:pPr>
            <w:r>
              <w:rPr>
                <w:noProof/>
              </w:rPr>
              <w:drawing>
                <wp:inline distT="0" distB="0" distL="0" distR="0" wp14:anchorId="44A69CB4" wp14:editId="46D67F61">
                  <wp:extent cx="294640" cy="294640"/>
                  <wp:effectExtent l="0" t="0" r="0" b="0"/>
                  <wp:docPr id="119" name="Graphic 11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os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6731" cy="296731"/>
                          </a:xfrm>
                          <a:prstGeom prst="rect">
                            <a:avLst/>
                          </a:prstGeom>
                        </pic:spPr>
                      </pic:pic>
                    </a:graphicData>
                  </a:graphic>
                </wp:inline>
              </w:drawing>
            </w:r>
          </w:p>
        </w:tc>
        <w:tc>
          <w:tcPr>
            <w:tcW w:w="8056" w:type="dxa"/>
          </w:tcPr>
          <w:p w14:paraId="01B15E20" w14:textId="77777777" w:rsidR="00A10029" w:rsidRPr="00BB10E0" w:rsidRDefault="00A10029" w:rsidP="0018701C">
            <w:pPr>
              <w:spacing w:after="0"/>
              <w:rPr>
                <w:sz w:val="18"/>
                <w:szCs w:val="18"/>
              </w:rPr>
            </w:pPr>
            <w:r>
              <w:rPr>
                <w:sz w:val="18"/>
                <w:szCs w:val="18"/>
              </w:rPr>
              <w:t>T</w:t>
            </w:r>
            <w:r w:rsidRPr="00BB10E0">
              <w:rPr>
                <w:sz w:val="18"/>
                <w:szCs w:val="18"/>
              </w:rPr>
              <w:t>he activity is not captured under existing law (</w:t>
            </w:r>
            <w:r>
              <w:rPr>
                <w:sz w:val="18"/>
                <w:szCs w:val="18"/>
              </w:rPr>
              <w:t>for example, where</w:t>
            </w:r>
            <w:r w:rsidRPr="00BB10E0">
              <w:rPr>
                <w:sz w:val="18"/>
                <w:szCs w:val="18"/>
              </w:rPr>
              <w:t xml:space="preserve"> the activity is considered a summary offence)</w:t>
            </w:r>
            <w:r>
              <w:rPr>
                <w:sz w:val="18"/>
                <w:szCs w:val="18"/>
              </w:rPr>
              <w:t xml:space="preserve"> or it is not clear if the activity attracts a criminal offence that would be captured under existing governance standard three</w:t>
            </w:r>
          </w:p>
        </w:tc>
      </w:tr>
    </w:tbl>
    <w:p w14:paraId="400EC52A" w14:textId="77777777" w:rsidR="00704556" w:rsidRDefault="00704556" w:rsidP="007B3C65">
      <w:pPr>
        <w:spacing w:after="120"/>
      </w:pPr>
    </w:p>
    <w:p w14:paraId="4CC9D40C" w14:textId="7DF9EE48" w:rsidR="00DF5971" w:rsidRDefault="003E0C52" w:rsidP="00383DDA">
      <w:pPr>
        <w:rPr>
          <w:rFonts w:cstheme="minorHAnsi"/>
        </w:rPr>
      </w:pPr>
      <w:r>
        <w:t>In a</w:t>
      </w:r>
      <w:r w:rsidR="00EE466B">
        <w:rPr>
          <w:rFonts w:cstheme="minorHAnsi"/>
        </w:rPr>
        <w:t>ddition</w:t>
      </w:r>
      <w:r w:rsidR="00105C9F">
        <w:rPr>
          <w:rFonts w:cstheme="minorHAnsi"/>
        </w:rPr>
        <w:t xml:space="preserve">, </w:t>
      </w:r>
      <w:r>
        <w:t xml:space="preserve">the framing of governance standard three in terms of indictable offences under an Australian law means that </w:t>
      </w:r>
      <w:bookmarkStart w:id="14" w:name="_Hlk71112861"/>
      <w:r>
        <w:rPr>
          <w:rFonts w:cstheme="minorHAnsi"/>
        </w:rPr>
        <w:t>the</w:t>
      </w:r>
      <w:r w:rsidR="00383DDA" w:rsidRPr="00383DDA">
        <w:rPr>
          <w:rFonts w:cstheme="minorHAnsi"/>
        </w:rPr>
        <w:t xml:space="preserve"> scope of unlawful activities prohibited under governance standard three is not clear. </w:t>
      </w:r>
      <w:bookmarkStart w:id="15" w:name="_Hlk71112977"/>
      <w:bookmarkEnd w:id="14"/>
      <w:r w:rsidR="00383DDA" w:rsidRPr="00383DDA">
        <w:rPr>
          <w:rFonts w:cstheme="minorHAnsi"/>
        </w:rPr>
        <w:t xml:space="preserve">This creates </w:t>
      </w:r>
      <w:r w:rsidR="00123C8F">
        <w:rPr>
          <w:rFonts w:cstheme="minorHAnsi"/>
        </w:rPr>
        <w:t xml:space="preserve">uncertainty and </w:t>
      </w:r>
      <w:r w:rsidR="00383DDA" w:rsidRPr="00383DDA">
        <w:rPr>
          <w:rFonts w:cstheme="minorHAnsi"/>
        </w:rPr>
        <w:t xml:space="preserve">complexity for </w:t>
      </w:r>
      <w:r w:rsidR="00A21AD9" w:rsidRPr="00383DDA">
        <w:rPr>
          <w:rFonts w:cstheme="minorHAnsi"/>
        </w:rPr>
        <w:t>charities</w:t>
      </w:r>
      <w:r w:rsidR="00383DDA" w:rsidRPr="00383DDA">
        <w:rPr>
          <w:rFonts w:cstheme="minorHAnsi"/>
        </w:rPr>
        <w:t xml:space="preserve"> and the community more generally.  </w:t>
      </w:r>
    </w:p>
    <w:p w14:paraId="75D8AB65" w14:textId="16A09F17" w:rsidR="00946080" w:rsidRDefault="00AA7800" w:rsidP="00383DDA">
      <w:pPr>
        <w:rPr>
          <w:rFonts w:cstheme="minorHAnsi"/>
        </w:rPr>
      </w:pPr>
      <w:r>
        <w:rPr>
          <w:rFonts w:cstheme="minorHAnsi"/>
        </w:rPr>
        <w:t xml:space="preserve">For </w:t>
      </w:r>
      <w:r w:rsidR="00383DDA" w:rsidRPr="00383DDA">
        <w:rPr>
          <w:rFonts w:cstheme="minorHAnsi"/>
        </w:rPr>
        <w:t>a registered charity to comply with governance standard three, or to determine if a breach has occurred (requiring the charity to notify the ACNC Commissioner</w:t>
      </w:r>
      <w:r w:rsidR="00F46D0A">
        <w:rPr>
          <w:rStyle w:val="FootnoteReference"/>
          <w:rFonts w:cstheme="minorHAnsi"/>
        </w:rPr>
        <w:footnoteReference w:id="5"/>
      </w:r>
      <w:r w:rsidR="00383DDA" w:rsidRPr="00383DDA">
        <w:rPr>
          <w:rFonts w:cstheme="minorHAnsi"/>
        </w:rPr>
        <w:t xml:space="preserve">), </w:t>
      </w:r>
      <w:r>
        <w:rPr>
          <w:rFonts w:cstheme="minorHAnsi"/>
        </w:rPr>
        <w:t xml:space="preserve">a </w:t>
      </w:r>
      <w:r w:rsidR="00383DDA" w:rsidRPr="00383DDA">
        <w:rPr>
          <w:rFonts w:cstheme="minorHAnsi"/>
        </w:rPr>
        <w:t xml:space="preserve">charity must determine if the offence is an indictable offence in the jurisdictions they operate. </w:t>
      </w:r>
      <w:r>
        <w:rPr>
          <w:rFonts w:cstheme="minorHAnsi"/>
        </w:rPr>
        <w:t xml:space="preserve">It was evident during the public </w:t>
      </w:r>
      <w:r>
        <w:rPr>
          <w:rFonts w:cstheme="minorHAnsi"/>
        </w:rPr>
        <w:lastRenderedPageBreak/>
        <w:t>consultation that t</w:t>
      </w:r>
      <w:r w:rsidR="00383DDA" w:rsidRPr="00383DDA">
        <w:rPr>
          <w:rFonts w:cstheme="minorHAnsi"/>
        </w:rPr>
        <w:t xml:space="preserve">his determination can be difficult for charities to discern in the absence of legal advice given the </w:t>
      </w:r>
      <w:r>
        <w:rPr>
          <w:rFonts w:cstheme="minorHAnsi"/>
        </w:rPr>
        <w:t xml:space="preserve">inconsistent </w:t>
      </w:r>
      <w:r w:rsidR="00383DDA" w:rsidRPr="00383DDA">
        <w:rPr>
          <w:rFonts w:cstheme="minorHAnsi"/>
        </w:rPr>
        <w:t>treatment for the same offence between jurisdictions.</w:t>
      </w:r>
    </w:p>
    <w:bookmarkEnd w:id="15"/>
    <w:p w14:paraId="23C5B4DD" w14:textId="296B2E66" w:rsidR="00383DDA" w:rsidRPr="00383DDA" w:rsidRDefault="00383DDA" w:rsidP="00383DDA">
      <w:pPr>
        <w:rPr>
          <w:rFonts w:eastAsia="Calibri" w:cstheme="minorHAnsi"/>
          <w:lang w:val="en" w:eastAsia="en-AU"/>
        </w:rPr>
      </w:pPr>
      <w:r w:rsidRPr="00383DDA">
        <w:rPr>
          <w:rFonts w:eastAsia="Calibri" w:cstheme="minorHAnsi"/>
          <w:lang w:val="en" w:eastAsia="en-AU"/>
        </w:rPr>
        <w:t>For example, in the Northern Territory unlawful entry of a building may be considered an indictable offence, but forcibly entering or</w:t>
      </w:r>
      <w:r w:rsidR="00F46D0A">
        <w:rPr>
          <w:rFonts w:eastAsia="Calibri" w:cstheme="minorHAnsi"/>
          <w:lang w:val="en" w:eastAsia="en-AU"/>
        </w:rPr>
        <w:t xml:space="preserve"> remaining</w:t>
      </w:r>
      <w:r w:rsidRPr="00383DDA">
        <w:rPr>
          <w:rFonts w:eastAsia="Calibri" w:cstheme="minorHAnsi"/>
          <w:lang w:val="en" w:eastAsia="en-AU"/>
        </w:rPr>
        <w:t xml:space="preserve"> land is considered a summary offence. The differing treatment of unlawful activities means that the act of trespass on property in the Northern Territory is only partially covered under existing governance standard three. Another example of this complexity is theft of property in Western Australia, whereby theft may be considered an indictable offence if the value of the property stolen is in excess of $50,000. This means theft of property in Western Australia is only partially covered under existing governance standard three. </w:t>
      </w:r>
    </w:p>
    <w:p w14:paraId="72B83BAD" w14:textId="0FDFB635" w:rsidR="00383DDA" w:rsidRPr="00383DDA" w:rsidRDefault="00383DDA" w:rsidP="00383DDA">
      <w:pPr>
        <w:rPr>
          <w:rFonts w:eastAsia="Calibri" w:cstheme="minorHAnsi"/>
          <w:lang w:val="en" w:eastAsia="en-AU"/>
        </w:rPr>
      </w:pPr>
      <w:r w:rsidRPr="00383DDA">
        <w:rPr>
          <w:rFonts w:eastAsia="Calibri" w:cstheme="minorHAnsi"/>
          <w:lang w:val="en" w:eastAsia="en-AU"/>
        </w:rPr>
        <w:t>There is also uncertainty in the sector about whether a charity actively promoting others to engage in unlawful conduct is a breach of governance standard three and therefore places a charity’s registration at risk. This is because directing or inciting the commission of a crime is an indictable offence under some Australian laws</w:t>
      </w:r>
      <w:r w:rsidR="009447FF">
        <w:rPr>
          <w:rFonts w:eastAsia="Calibri" w:cstheme="minorHAnsi"/>
          <w:lang w:val="en" w:eastAsia="en-AU"/>
        </w:rPr>
        <w:t xml:space="preserve"> (as illustrated in Table 1)</w:t>
      </w:r>
      <w:r w:rsidRPr="00383DDA">
        <w:rPr>
          <w:rFonts w:eastAsia="Calibri" w:cstheme="minorHAnsi"/>
          <w:lang w:val="en" w:eastAsia="en-AU"/>
        </w:rPr>
        <w:t xml:space="preserve">. For example, incitement to commit a crime (e.g. encouraging another person to commit a criminal offence) is an indictable offence in Victoria. By contrast, in Western Australia, the Australian Capital Territory, Tasmania and the Northern Territory incitement attracts an equal, similar or lesser offence to the offence incited. Given this complexity, it is difficult for charities to discern, in the absence of legal advice, whether certain kinds of activities to incite a crime may breach governance standard three.  </w:t>
      </w:r>
    </w:p>
    <w:p w14:paraId="0B91E42B" w14:textId="35CAD2E6" w:rsidR="008C25E1" w:rsidRDefault="00383DDA" w:rsidP="00383DDA">
      <w:pPr>
        <w:rPr>
          <w:rFonts w:eastAsia="Calibri" w:cstheme="minorHAnsi"/>
          <w:lang w:val="en" w:eastAsia="en-AU"/>
        </w:rPr>
      </w:pPr>
      <w:r w:rsidRPr="00383DDA">
        <w:rPr>
          <w:rFonts w:eastAsia="Calibri" w:cstheme="minorHAnsi"/>
          <w:lang w:val="en" w:eastAsia="en-AU"/>
        </w:rPr>
        <w:t xml:space="preserve">To conclude, governance standard three as currently </w:t>
      </w:r>
      <w:r w:rsidR="00CB7AE6">
        <w:rPr>
          <w:rFonts w:eastAsia="Calibri" w:cstheme="minorHAnsi"/>
          <w:lang w:val="en" w:eastAsia="en-AU"/>
        </w:rPr>
        <w:t xml:space="preserve">defined in the </w:t>
      </w:r>
      <w:r w:rsidR="00B920ED">
        <w:rPr>
          <w:rFonts w:eastAsia="Calibri" w:cstheme="minorHAnsi"/>
          <w:lang w:val="en" w:eastAsia="en-AU"/>
        </w:rPr>
        <w:t>ACNC Regulations</w:t>
      </w:r>
      <w:r w:rsidR="00CB7AE6">
        <w:rPr>
          <w:rFonts w:eastAsia="Calibri" w:cstheme="minorHAnsi"/>
          <w:lang w:val="en" w:eastAsia="en-AU"/>
        </w:rPr>
        <w:t xml:space="preserve"> </w:t>
      </w:r>
      <w:r w:rsidR="00B23AA8">
        <w:rPr>
          <w:rFonts w:eastAsia="Calibri" w:cstheme="minorHAnsi"/>
          <w:lang w:val="en" w:eastAsia="en-AU"/>
        </w:rPr>
        <w:t>does not enable</w:t>
      </w:r>
      <w:r w:rsidR="00CB7AE6">
        <w:rPr>
          <w:rFonts w:eastAsia="Calibri" w:cstheme="minorHAnsi"/>
          <w:lang w:val="en" w:eastAsia="en-AU"/>
        </w:rPr>
        <w:t xml:space="preserve"> the </w:t>
      </w:r>
      <w:r w:rsidR="008A439D">
        <w:rPr>
          <w:rFonts w:eastAsia="Calibri" w:cstheme="minorHAnsi"/>
          <w:lang w:val="en" w:eastAsia="en-AU"/>
        </w:rPr>
        <w:t>ACNC Commissioner</w:t>
      </w:r>
      <w:r w:rsidR="00CB7AE6">
        <w:rPr>
          <w:rFonts w:eastAsia="Calibri" w:cstheme="minorHAnsi"/>
          <w:lang w:val="en" w:eastAsia="en-AU"/>
        </w:rPr>
        <w:t xml:space="preserve"> </w:t>
      </w:r>
      <w:r w:rsidR="00B23AA8">
        <w:rPr>
          <w:rFonts w:eastAsia="Calibri" w:cstheme="minorHAnsi"/>
          <w:lang w:val="en" w:eastAsia="en-AU"/>
        </w:rPr>
        <w:t>to</w:t>
      </w:r>
      <w:r w:rsidR="00CB7AE6">
        <w:rPr>
          <w:rFonts w:eastAsia="Calibri" w:cstheme="minorHAnsi"/>
          <w:lang w:val="en" w:eastAsia="en-AU"/>
        </w:rPr>
        <w:t xml:space="preserve"> investigat</w:t>
      </w:r>
      <w:r w:rsidR="00B23AA8">
        <w:rPr>
          <w:rFonts w:eastAsia="Calibri" w:cstheme="minorHAnsi"/>
          <w:lang w:val="en" w:eastAsia="en-AU"/>
        </w:rPr>
        <w:t xml:space="preserve">e </w:t>
      </w:r>
      <w:r w:rsidR="00C77BF8">
        <w:rPr>
          <w:rFonts w:eastAsia="Calibri" w:cstheme="minorHAnsi"/>
          <w:lang w:val="en" w:eastAsia="en-AU"/>
        </w:rPr>
        <w:t xml:space="preserve">potentially </w:t>
      </w:r>
      <w:r w:rsidR="00CB7AE6">
        <w:rPr>
          <w:rFonts w:eastAsia="Calibri" w:cstheme="minorHAnsi"/>
          <w:lang w:val="en" w:eastAsia="en-AU"/>
        </w:rPr>
        <w:t>serious breaches of the law by a charity</w:t>
      </w:r>
      <w:r w:rsidR="009E7284">
        <w:rPr>
          <w:rFonts w:eastAsia="Calibri" w:cstheme="minorHAnsi"/>
          <w:lang w:val="en" w:eastAsia="en-AU"/>
        </w:rPr>
        <w:t>. This is</w:t>
      </w:r>
      <w:r w:rsidR="00CB7AE6">
        <w:rPr>
          <w:rFonts w:eastAsia="Calibri" w:cstheme="minorHAnsi"/>
          <w:lang w:val="en" w:eastAsia="en-AU"/>
        </w:rPr>
        <w:t xml:space="preserve"> because </w:t>
      </w:r>
      <w:r w:rsidR="009E7284">
        <w:rPr>
          <w:rFonts w:eastAsia="Calibri" w:cstheme="minorHAnsi"/>
          <w:lang w:val="en" w:eastAsia="en-AU"/>
        </w:rPr>
        <w:t xml:space="preserve">jurisdictions define </w:t>
      </w:r>
      <w:r w:rsidR="00C77BF8">
        <w:rPr>
          <w:rFonts w:eastAsia="Calibri" w:cstheme="minorHAnsi"/>
          <w:lang w:val="en" w:eastAsia="en-AU"/>
        </w:rPr>
        <w:t xml:space="preserve">criminal </w:t>
      </w:r>
      <w:r w:rsidR="009E7284">
        <w:rPr>
          <w:rFonts w:eastAsia="Calibri" w:cstheme="minorHAnsi"/>
          <w:lang w:val="en" w:eastAsia="en-AU"/>
        </w:rPr>
        <w:t>offences differently, meaning that serious</w:t>
      </w:r>
      <w:r w:rsidR="00CB7AE6">
        <w:rPr>
          <w:rFonts w:eastAsia="Calibri" w:cstheme="minorHAnsi"/>
          <w:lang w:val="en" w:eastAsia="en-AU"/>
        </w:rPr>
        <w:t xml:space="preserve"> unlawful conduct </w:t>
      </w:r>
      <w:r w:rsidR="009E7284">
        <w:rPr>
          <w:rFonts w:eastAsia="Calibri" w:cstheme="minorHAnsi"/>
          <w:lang w:val="en" w:eastAsia="en-AU"/>
        </w:rPr>
        <w:t xml:space="preserve">may </w:t>
      </w:r>
      <w:r w:rsidR="00C77BF8">
        <w:rPr>
          <w:rFonts w:eastAsia="Calibri" w:cstheme="minorHAnsi"/>
          <w:lang w:val="en" w:eastAsia="en-AU"/>
        </w:rPr>
        <w:t>be beyond the scope of govern</w:t>
      </w:r>
      <w:r w:rsidR="00F46D0A">
        <w:rPr>
          <w:rFonts w:eastAsia="Calibri" w:cstheme="minorHAnsi"/>
          <w:lang w:val="en" w:eastAsia="en-AU"/>
        </w:rPr>
        <w:t>ance</w:t>
      </w:r>
      <w:r w:rsidR="00C77BF8">
        <w:rPr>
          <w:rFonts w:eastAsia="Calibri" w:cstheme="minorHAnsi"/>
          <w:lang w:val="en" w:eastAsia="en-AU"/>
        </w:rPr>
        <w:t xml:space="preserve"> standard three or only partially captured</w:t>
      </w:r>
      <w:r w:rsidR="00CB7AE6">
        <w:rPr>
          <w:rFonts w:eastAsia="Calibri" w:cstheme="minorHAnsi"/>
          <w:lang w:val="en" w:eastAsia="en-AU"/>
        </w:rPr>
        <w:t xml:space="preserve">. </w:t>
      </w:r>
      <w:r w:rsidR="00931FEE" w:rsidRPr="00931FEE">
        <w:rPr>
          <w:rFonts w:eastAsia="Calibri" w:cstheme="minorHAnsi"/>
          <w:lang w:val="en" w:eastAsia="en-AU"/>
        </w:rPr>
        <w:t xml:space="preserve">This compromises the ACNC’s </w:t>
      </w:r>
      <w:r w:rsidR="008C25E1">
        <w:rPr>
          <w:rFonts w:eastAsia="Calibri" w:cstheme="minorHAnsi"/>
          <w:lang w:val="en" w:eastAsia="en-AU"/>
        </w:rPr>
        <w:t>ability</w:t>
      </w:r>
      <w:r w:rsidR="00931FEE" w:rsidRPr="00931FEE">
        <w:rPr>
          <w:rFonts w:eastAsia="Calibri" w:cstheme="minorHAnsi"/>
          <w:lang w:val="en" w:eastAsia="en-AU"/>
        </w:rPr>
        <w:t xml:space="preserve"> to be an effective regulator, potentially undermining public trust and confidence in the charity sector.</w:t>
      </w:r>
      <w:r w:rsidR="00CB7AE6">
        <w:rPr>
          <w:rFonts w:eastAsia="Calibri" w:cstheme="minorHAnsi"/>
          <w:lang w:val="en" w:eastAsia="en-AU"/>
        </w:rPr>
        <w:t xml:space="preserve"> </w:t>
      </w:r>
    </w:p>
    <w:p w14:paraId="20D6614C" w14:textId="6B802284" w:rsidR="00383DDA" w:rsidRPr="00EC4BC2" w:rsidRDefault="00733D58" w:rsidP="00383DDA">
      <w:pPr>
        <w:rPr>
          <w:rFonts w:eastAsia="Calibri" w:cstheme="minorHAnsi"/>
          <w:lang w:val="en" w:eastAsia="en-AU"/>
        </w:rPr>
      </w:pPr>
      <w:r>
        <w:rPr>
          <w:rFonts w:eastAsia="Calibri" w:cstheme="minorHAnsi"/>
          <w:lang w:val="en" w:eastAsia="en-AU"/>
        </w:rPr>
        <w:t xml:space="preserve">Further, </w:t>
      </w:r>
      <w:r w:rsidR="008A439D">
        <w:rPr>
          <w:rFonts w:eastAsia="Calibri" w:cstheme="minorHAnsi"/>
          <w:lang w:val="en" w:eastAsia="en-AU"/>
        </w:rPr>
        <w:t xml:space="preserve">governance standard </w:t>
      </w:r>
      <w:r>
        <w:rPr>
          <w:rFonts w:eastAsia="Calibri" w:cstheme="minorHAnsi"/>
          <w:lang w:val="en" w:eastAsia="en-AU"/>
        </w:rPr>
        <w:t xml:space="preserve">three </w:t>
      </w:r>
      <w:r w:rsidR="00383DDA" w:rsidRPr="00383DDA">
        <w:rPr>
          <w:rFonts w:eastAsia="Calibri" w:cstheme="minorHAnsi"/>
          <w:lang w:val="en" w:eastAsia="en-AU"/>
        </w:rPr>
        <w:t xml:space="preserve">creates </w:t>
      </w:r>
      <w:r w:rsidR="00DE53B1" w:rsidRPr="00383DDA">
        <w:rPr>
          <w:rFonts w:eastAsia="Calibri" w:cstheme="minorHAnsi"/>
          <w:lang w:val="en" w:eastAsia="en-AU"/>
        </w:rPr>
        <w:t xml:space="preserve">uncertainty </w:t>
      </w:r>
      <w:r w:rsidR="00DE53B1">
        <w:rPr>
          <w:rFonts w:eastAsia="Calibri" w:cstheme="minorHAnsi"/>
          <w:lang w:val="en" w:eastAsia="en-AU"/>
        </w:rPr>
        <w:t xml:space="preserve">and </w:t>
      </w:r>
      <w:r w:rsidR="00383DDA" w:rsidRPr="00383DDA">
        <w:rPr>
          <w:rFonts w:eastAsia="Calibri" w:cstheme="minorHAnsi"/>
          <w:lang w:val="en" w:eastAsia="en-AU"/>
        </w:rPr>
        <w:t xml:space="preserve">complexity because </w:t>
      </w:r>
      <w:r>
        <w:rPr>
          <w:rFonts w:eastAsia="Calibri" w:cstheme="minorHAnsi"/>
          <w:lang w:val="en" w:eastAsia="en-AU"/>
        </w:rPr>
        <w:t xml:space="preserve">it is </w:t>
      </w:r>
      <w:r w:rsidR="00383DDA" w:rsidRPr="00383DDA">
        <w:rPr>
          <w:rFonts w:eastAsia="Calibri" w:cstheme="minorHAnsi"/>
          <w:lang w:val="en" w:eastAsia="en-AU"/>
        </w:rPr>
        <w:t xml:space="preserve">difficult for the charity sector, and the community more broadly, to discern the scope of unlawful activities prohibited in the jurisdictions they operate. This imposes an unreasonable </w:t>
      </w:r>
      <w:r>
        <w:rPr>
          <w:rFonts w:eastAsia="Calibri" w:cstheme="minorHAnsi"/>
          <w:lang w:val="en" w:eastAsia="en-AU"/>
        </w:rPr>
        <w:t xml:space="preserve">administrative </w:t>
      </w:r>
      <w:r w:rsidR="00383DDA" w:rsidRPr="00383DDA">
        <w:rPr>
          <w:rFonts w:eastAsia="Calibri" w:cstheme="minorHAnsi"/>
          <w:lang w:val="en" w:eastAsia="en-AU"/>
        </w:rPr>
        <w:t xml:space="preserve">burden on charities because to be confident they are complying with their obligations under the ACNC Act, many charities </w:t>
      </w:r>
      <w:r w:rsidR="00A810D0">
        <w:rPr>
          <w:rFonts w:eastAsia="Calibri" w:cstheme="minorHAnsi"/>
          <w:lang w:val="en" w:eastAsia="en-AU"/>
        </w:rPr>
        <w:t xml:space="preserve">may </w:t>
      </w:r>
      <w:r w:rsidR="00383DDA" w:rsidRPr="00383DDA">
        <w:rPr>
          <w:rFonts w:eastAsia="Calibri" w:cstheme="minorHAnsi"/>
          <w:lang w:val="en" w:eastAsia="en-AU"/>
        </w:rPr>
        <w:t xml:space="preserve">need to engage legal advisers to help them navigate the </w:t>
      </w:r>
      <w:r w:rsidR="00155A26">
        <w:rPr>
          <w:rFonts w:eastAsia="Calibri" w:cstheme="minorHAnsi"/>
          <w:lang w:val="en" w:eastAsia="en-AU"/>
        </w:rPr>
        <w:t>scope</w:t>
      </w:r>
      <w:r w:rsidR="00383DDA" w:rsidRPr="00383DDA">
        <w:rPr>
          <w:rFonts w:eastAsia="Calibri" w:cstheme="minorHAnsi"/>
          <w:lang w:val="en" w:eastAsia="en-AU"/>
        </w:rPr>
        <w:t xml:space="preserve"> of governance standard three. </w:t>
      </w:r>
      <w:r w:rsidR="0018701C">
        <w:rPr>
          <w:rFonts w:eastAsia="Calibri" w:cstheme="minorHAnsi"/>
          <w:lang w:val="en" w:eastAsia="en-AU"/>
        </w:rPr>
        <w:t>C</w:t>
      </w:r>
      <w:r w:rsidR="00383DDA" w:rsidRPr="00383DDA">
        <w:rPr>
          <w:rFonts w:eastAsia="Calibri" w:cstheme="minorHAnsi"/>
          <w:lang w:val="en" w:eastAsia="en-AU"/>
        </w:rPr>
        <w:t xml:space="preserve">onsultations </w:t>
      </w:r>
      <w:r w:rsidR="00A21AD9" w:rsidRPr="00383DDA">
        <w:rPr>
          <w:rFonts w:eastAsia="Calibri" w:cstheme="minorHAnsi"/>
          <w:lang w:val="en" w:eastAsia="en-AU"/>
        </w:rPr>
        <w:t>demonstrated</w:t>
      </w:r>
      <w:r w:rsidR="00383DDA" w:rsidRPr="00383DDA">
        <w:rPr>
          <w:rFonts w:eastAsia="Calibri" w:cstheme="minorHAnsi"/>
          <w:lang w:val="en" w:eastAsia="en-AU"/>
        </w:rPr>
        <w:t xml:space="preserve"> this is </w:t>
      </w:r>
      <w:r w:rsidR="00A21AD9" w:rsidRPr="00383DDA">
        <w:rPr>
          <w:rFonts w:eastAsia="Calibri" w:cstheme="minorHAnsi"/>
          <w:lang w:val="en" w:eastAsia="en-AU"/>
        </w:rPr>
        <w:t>particularly</w:t>
      </w:r>
      <w:r w:rsidR="00383DDA" w:rsidRPr="00383DDA">
        <w:rPr>
          <w:rFonts w:eastAsia="Calibri" w:cstheme="minorHAnsi"/>
          <w:lang w:val="en" w:eastAsia="en-AU"/>
        </w:rPr>
        <w:t xml:space="preserve"> a problem for large charities </w:t>
      </w:r>
      <w:r w:rsidR="00155A26">
        <w:rPr>
          <w:rFonts w:eastAsia="Calibri" w:cstheme="minorHAnsi"/>
          <w:lang w:val="en" w:eastAsia="en-AU"/>
        </w:rPr>
        <w:t>that</w:t>
      </w:r>
      <w:r w:rsidR="00383DDA" w:rsidRPr="00383DDA">
        <w:rPr>
          <w:rFonts w:eastAsia="Calibri" w:cstheme="minorHAnsi"/>
          <w:lang w:val="en" w:eastAsia="en-AU"/>
        </w:rPr>
        <w:t xml:space="preserve"> operate across multiple jurisdictions. Ultimately, resources spent on legal advisers</w:t>
      </w:r>
      <w:r w:rsidR="00A810D0">
        <w:rPr>
          <w:rFonts w:eastAsia="Calibri" w:cstheme="minorHAnsi"/>
          <w:lang w:val="en" w:eastAsia="en-AU"/>
        </w:rPr>
        <w:t xml:space="preserve"> and compliance with the governance standards diverts charitable funding</w:t>
      </w:r>
      <w:r w:rsidR="00383DDA" w:rsidRPr="00383DDA">
        <w:rPr>
          <w:rFonts w:eastAsia="Calibri" w:cstheme="minorHAnsi"/>
          <w:lang w:val="en" w:eastAsia="en-AU"/>
        </w:rPr>
        <w:t xml:space="preserve"> </w:t>
      </w:r>
      <w:r w:rsidR="00A810D0">
        <w:rPr>
          <w:rFonts w:eastAsia="Calibri" w:cstheme="minorHAnsi"/>
          <w:lang w:val="en" w:eastAsia="en-AU"/>
        </w:rPr>
        <w:t xml:space="preserve">away </w:t>
      </w:r>
      <w:r w:rsidR="00383DDA" w:rsidRPr="00383DDA">
        <w:rPr>
          <w:rFonts w:eastAsia="Calibri" w:cstheme="minorHAnsi"/>
          <w:lang w:val="en" w:eastAsia="en-AU"/>
        </w:rPr>
        <w:t>f</w:t>
      </w:r>
      <w:r w:rsidR="00A810D0">
        <w:rPr>
          <w:rFonts w:eastAsia="Calibri" w:cstheme="minorHAnsi"/>
          <w:lang w:val="en" w:eastAsia="en-AU"/>
        </w:rPr>
        <w:t>rom</w:t>
      </w:r>
      <w:r w:rsidR="00383DDA" w:rsidRPr="00383DDA">
        <w:rPr>
          <w:rFonts w:eastAsia="Calibri" w:cstheme="minorHAnsi"/>
          <w:lang w:val="en" w:eastAsia="en-AU"/>
        </w:rPr>
        <w:t xml:space="preserve"> charitable purposes</w:t>
      </w:r>
      <w:r w:rsidR="00A810D0">
        <w:rPr>
          <w:rFonts w:eastAsia="Calibri" w:cstheme="minorHAnsi"/>
          <w:lang w:val="en" w:eastAsia="en-AU"/>
        </w:rPr>
        <w:t xml:space="preserve">, </w:t>
      </w:r>
      <w:r w:rsidR="00155A26">
        <w:rPr>
          <w:rFonts w:eastAsia="Calibri" w:cstheme="minorHAnsi"/>
          <w:lang w:val="en" w:eastAsia="en-AU"/>
        </w:rPr>
        <w:t>resulting in</w:t>
      </w:r>
      <w:r w:rsidR="00A810D0">
        <w:rPr>
          <w:rFonts w:eastAsia="Calibri" w:cstheme="minorHAnsi"/>
          <w:lang w:val="en" w:eastAsia="en-AU"/>
        </w:rPr>
        <w:t xml:space="preserve"> less funding </w:t>
      </w:r>
      <w:r w:rsidR="00B920ED">
        <w:rPr>
          <w:rFonts w:eastAsia="Calibri" w:cstheme="minorHAnsi"/>
          <w:lang w:val="en" w:eastAsia="en-AU"/>
        </w:rPr>
        <w:t xml:space="preserve">being allocated </w:t>
      </w:r>
      <w:r w:rsidR="00A810D0">
        <w:rPr>
          <w:rFonts w:eastAsia="Calibri" w:cstheme="minorHAnsi"/>
          <w:lang w:val="en" w:eastAsia="en-AU"/>
        </w:rPr>
        <w:t>for activities and services that benefit the Australian community</w:t>
      </w:r>
      <w:r w:rsidR="00383DDA" w:rsidRPr="00383DDA">
        <w:rPr>
          <w:rFonts w:eastAsia="Calibri" w:cstheme="minorHAnsi"/>
          <w:lang w:val="en" w:eastAsia="en-AU"/>
        </w:rPr>
        <w:t>.</w:t>
      </w:r>
    </w:p>
    <w:p w14:paraId="760F404C" w14:textId="77777777" w:rsidR="00EA5697" w:rsidRPr="004B3F8E" w:rsidRDefault="00F34F9A" w:rsidP="00000BDB">
      <w:pPr>
        <w:pStyle w:val="Heading1numbered"/>
        <w:numPr>
          <w:ilvl w:val="0"/>
          <w:numId w:val="10"/>
        </w:numPr>
        <w:tabs>
          <w:tab w:val="clear" w:pos="567"/>
          <w:tab w:val="left" w:pos="360"/>
        </w:tabs>
      </w:pPr>
      <w:bookmarkStart w:id="17" w:name="_Toc58918221"/>
      <w:bookmarkStart w:id="18" w:name="_Toc72137343"/>
      <w:r w:rsidRPr="004B3F8E">
        <w:t>Why is Government action n</w:t>
      </w:r>
      <w:r w:rsidR="007C24F9" w:rsidRPr="004B3F8E">
        <w:t>eeded</w:t>
      </w:r>
      <w:r w:rsidR="00B80E4A" w:rsidRPr="004B3F8E">
        <w:t>?</w:t>
      </w:r>
      <w:bookmarkEnd w:id="17"/>
      <w:bookmarkEnd w:id="18"/>
    </w:p>
    <w:p w14:paraId="5AE16774" w14:textId="7E06B456" w:rsidR="00746945" w:rsidRDefault="00A810D0" w:rsidP="00746945">
      <w:pPr>
        <w:pStyle w:val="Bullet"/>
        <w:numPr>
          <w:ilvl w:val="0"/>
          <w:numId w:val="0"/>
        </w:numPr>
        <w:spacing w:before="240" w:after="200"/>
        <w:rPr>
          <w:rFonts w:cstheme="minorHAnsi"/>
        </w:rPr>
      </w:pPr>
      <w:r w:rsidRPr="00A810D0">
        <w:rPr>
          <w:rFonts w:cstheme="minorHAnsi"/>
        </w:rPr>
        <w:t xml:space="preserve">In recent years a small number of </w:t>
      </w:r>
      <w:bookmarkStart w:id="19" w:name="_Hlk71299032"/>
      <w:r w:rsidRPr="00A810D0">
        <w:rPr>
          <w:rFonts w:cstheme="minorHAnsi"/>
        </w:rPr>
        <w:t>registered charities</w:t>
      </w:r>
      <w:r w:rsidRPr="007B3C65">
        <w:rPr>
          <w:rFonts w:cstheme="minorHAnsi"/>
        </w:rPr>
        <w:t xml:space="preserve"> have engaged in </w:t>
      </w:r>
      <w:r>
        <w:rPr>
          <w:rFonts w:cstheme="minorHAnsi"/>
        </w:rPr>
        <w:t xml:space="preserve">serious </w:t>
      </w:r>
      <w:r w:rsidRPr="007B3C65">
        <w:rPr>
          <w:rFonts w:cstheme="minorHAnsi"/>
        </w:rPr>
        <w:t xml:space="preserve">unlawful </w:t>
      </w:r>
      <w:r>
        <w:rPr>
          <w:rFonts w:cstheme="minorHAnsi"/>
        </w:rPr>
        <w:t>conduct</w:t>
      </w:r>
      <w:r w:rsidRPr="007B3C65">
        <w:rPr>
          <w:rFonts w:cstheme="minorHAnsi"/>
        </w:rPr>
        <w:t xml:space="preserve"> or used their resources to actively promote </w:t>
      </w:r>
      <w:r>
        <w:rPr>
          <w:rFonts w:cstheme="minorHAnsi"/>
        </w:rPr>
        <w:t xml:space="preserve">serious unlawful conduct such as </w:t>
      </w:r>
      <w:r>
        <w:t xml:space="preserve">trespass, vandalism, theft, </w:t>
      </w:r>
      <w:r w:rsidR="009D61DA">
        <w:t xml:space="preserve">assault </w:t>
      </w:r>
      <w:r>
        <w:t>and threatening harm to persons.</w:t>
      </w:r>
      <w:bookmarkEnd w:id="19"/>
      <w:r w:rsidR="00791C50">
        <w:t xml:space="preserve"> This is evidenced by media coverage in recent years</w:t>
      </w:r>
      <w:r w:rsidRPr="007B3C65">
        <w:rPr>
          <w:rFonts w:cstheme="minorHAnsi"/>
        </w:rPr>
        <w:t xml:space="preserve"> in relation to protests on forestry, mining and farming lands.</w:t>
      </w:r>
      <w:r w:rsidR="00791C50">
        <w:rPr>
          <w:rFonts w:cstheme="minorHAnsi"/>
        </w:rPr>
        <w:t xml:space="preserve"> </w:t>
      </w:r>
      <w:r w:rsidR="009D61DA">
        <w:rPr>
          <w:rFonts w:cstheme="minorHAnsi"/>
        </w:rPr>
        <w:t>T</w:t>
      </w:r>
      <w:r w:rsidR="009527C2">
        <w:rPr>
          <w:rFonts w:cstheme="minorHAnsi"/>
        </w:rPr>
        <w:t xml:space="preserve">his does not represent the behaviour of the majority of registered charities, </w:t>
      </w:r>
      <w:r w:rsidR="009D61DA">
        <w:rPr>
          <w:rFonts w:cstheme="minorHAnsi"/>
        </w:rPr>
        <w:t xml:space="preserve">but </w:t>
      </w:r>
      <w:r w:rsidR="009527C2">
        <w:rPr>
          <w:rFonts w:cstheme="minorHAnsi"/>
        </w:rPr>
        <w:t>rather a small minority within the sector</w:t>
      </w:r>
      <w:r w:rsidR="009D61DA">
        <w:rPr>
          <w:rFonts w:cstheme="minorHAnsi"/>
        </w:rPr>
        <w:t>.</w:t>
      </w:r>
      <w:r w:rsidR="009527C2">
        <w:rPr>
          <w:rFonts w:cstheme="minorHAnsi"/>
        </w:rPr>
        <w:t xml:space="preserve"> </w:t>
      </w:r>
      <w:r w:rsidR="00DE292D">
        <w:rPr>
          <w:rFonts w:cstheme="minorHAnsi"/>
        </w:rPr>
        <w:t>Nevertheless,</w:t>
      </w:r>
      <w:r w:rsidR="009D61DA">
        <w:rPr>
          <w:rFonts w:cstheme="minorHAnsi"/>
        </w:rPr>
        <w:t xml:space="preserve"> </w:t>
      </w:r>
      <w:r w:rsidR="00746945">
        <w:rPr>
          <w:rFonts w:cstheme="minorHAnsi"/>
        </w:rPr>
        <w:t>a</w:t>
      </w:r>
      <w:r w:rsidR="00746945" w:rsidRPr="00383DDA">
        <w:rPr>
          <w:rFonts w:cstheme="minorHAnsi"/>
        </w:rPr>
        <w:t xml:space="preserve"> failure by a registered charity to comply with an Australian law </w:t>
      </w:r>
      <w:r w:rsidR="009D61DA">
        <w:rPr>
          <w:rFonts w:cstheme="minorHAnsi"/>
        </w:rPr>
        <w:t>compromises public trust and confidence in the sector as a whole</w:t>
      </w:r>
      <w:r w:rsidR="00C262E7">
        <w:rPr>
          <w:rFonts w:cstheme="minorHAnsi"/>
        </w:rPr>
        <w:t xml:space="preserve">, adversely </w:t>
      </w:r>
      <w:r w:rsidR="00746945" w:rsidRPr="00383DDA">
        <w:rPr>
          <w:rFonts w:cstheme="minorHAnsi"/>
        </w:rPr>
        <w:t>impact</w:t>
      </w:r>
      <w:r w:rsidR="00C262E7">
        <w:rPr>
          <w:rFonts w:cstheme="minorHAnsi"/>
        </w:rPr>
        <w:t>ing</w:t>
      </w:r>
      <w:r w:rsidR="00746945" w:rsidRPr="00383DDA">
        <w:rPr>
          <w:rFonts w:cstheme="minorHAnsi"/>
        </w:rPr>
        <w:t xml:space="preserve"> public philanthropy</w:t>
      </w:r>
      <w:r w:rsidR="00C262E7">
        <w:rPr>
          <w:rFonts w:cstheme="minorHAnsi"/>
        </w:rPr>
        <w:t xml:space="preserve">, </w:t>
      </w:r>
      <w:r w:rsidR="00746945" w:rsidRPr="00383DDA">
        <w:rPr>
          <w:rFonts w:cstheme="minorHAnsi"/>
        </w:rPr>
        <w:t xml:space="preserve">reducing funding available for charitable purposes. </w:t>
      </w:r>
      <w:r w:rsidR="00746945">
        <w:rPr>
          <w:rFonts w:cstheme="minorHAnsi"/>
        </w:rPr>
        <w:t xml:space="preserve"> </w:t>
      </w:r>
    </w:p>
    <w:p w14:paraId="74B1C5F8" w14:textId="653AF703" w:rsidR="00791C50" w:rsidRDefault="00791C50" w:rsidP="00791C50">
      <w:pPr>
        <w:rPr>
          <w:rFonts w:cstheme="minorHAnsi"/>
        </w:rPr>
      </w:pPr>
      <w:r>
        <w:rPr>
          <w:rFonts w:cstheme="minorHAnsi"/>
        </w:rPr>
        <w:t>Figure 1 illustrates th</w:t>
      </w:r>
      <w:r w:rsidR="00165637">
        <w:rPr>
          <w:rFonts w:cstheme="minorHAnsi"/>
        </w:rPr>
        <w:t>is risk by describing the</w:t>
      </w:r>
      <w:r>
        <w:rPr>
          <w:rFonts w:cstheme="minorHAnsi"/>
        </w:rPr>
        <w:t xml:space="preserve"> immediate and flow-on impacts to the Australian community </w:t>
      </w:r>
      <w:r w:rsidR="00165637">
        <w:rPr>
          <w:rFonts w:cstheme="minorHAnsi"/>
        </w:rPr>
        <w:t xml:space="preserve">of serious unlawful conduct, through </w:t>
      </w:r>
      <w:r>
        <w:rPr>
          <w:rFonts w:cstheme="minorHAnsi"/>
        </w:rPr>
        <w:t>using the example of a charity participating in trespass</w:t>
      </w:r>
      <w:r w:rsidR="00165637">
        <w:rPr>
          <w:rFonts w:cstheme="minorHAnsi"/>
        </w:rPr>
        <w:t>, vandalism</w:t>
      </w:r>
      <w:r>
        <w:rPr>
          <w:rFonts w:cstheme="minorHAnsi"/>
        </w:rPr>
        <w:t xml:space="preserve"> and common assault upon a business’ property and staff.</w:t>
      </w:r>
    </w:p>
    <w:p w14:paraId="22230E3A" w14:textId="77777777" w:rsidR="006641F0" w:rsidRDefault="006641F0" w:rsidP="00791C50"/>
    <w:p w14:paraId="6304BF1E" w14:textId="77777777" w:rsidR="00791C50" w:rsidRDefault="00791C50" w:rsidP="00791C50">
      <w:pPr>
        <w:pStyle w:val="TableHeading"/>
        <w:rPr>
          <w:rFonts w:cstheme="minorHAnsi"/>
          <w:b w:val="0"/>
          <w:i/>
        </w:rPr>
      </w:pPr>
      <w:r>
        <w:t>Figure 1</w:t>
      </w:r>
    </w:p>
    <w:p w14:paraId="465CE45E" w14:textId="4720DF69" w:rsidR="00791C50" w:rsidRDefault="00155A26" w:rsidP="00746945">
      <w:pPr>
        <w:rPr>
          <w:rFonts w:cstheme="minorHAnsi"/>
        </w:rPr>
      </w:pPr>
      <w:r>
        <w:rPr>
          <w:rFonts w:cstheme="minorHAnsi"/>
          <w:noProof/>
        </w:rPr>
        <w:drawing>
          <wp:inline distT="0" distB="0" distL="0" distR="0" wp14:anchorId="369A47B7" wp14:editId="272E63E5">
            <wp:extent cx="5580032" cy="29041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r="3432" b="7949"/>
                    <a:stretch/>
                  </pic:blipFill>
                  <pic:spPr bwMode="auto">
                    <a:xfrm>
                      <a:off x="0" y="0"/>
                      <a:ext cx="5605530" cy="2917405"/>
                    </a:xfrm>
                    <a:prstGeom prst="rect">
                      <a:avLst/>
                    </a:prstGeom>
                    <a:noFill/>
                    <a:ln>
                      <a:noFill/>
                    </a:ln>
                    <a:extLst>
                      <a:ext uri="{53640926-AAD7-44D8-BBD7-CCE9431645EC}">
                        <a14:shadowObscured xmlns:a14="http://schemas.microsoft.com/office/drawing/2010/main"/>
                      </a:ext>
                    </a:extLst>
                  </pic:spPr>
                </pic:pic>
              </a:graphicData>
            </a:graphic>
          </wp:inline>
        </w:drawing>
      </w:r>
    </w:p>
    <w:p w14:paraId="2866D8C2" w14:textId="2342A242" w:rsidR="00A810D0" w:rsidRPr="007B3C65" w:rsidRDefault="00383DDA" w:rsidP="00717AC1">
      <w:pPr>
        <w:rPr>
          <w:rFonts w:cstheme="minorHAnsi"/>
        </w:rPr>
      </w:pPr>
      <w:bookmarkStart w:id="20" w:name="_Hlk71621911"/>
      <w:r w:rsidRPr="00383DDA">
        <w:rPr>
          <w:rFonts w:cstheme="minorHAnsi"/>
        </w:rPr>
        <w:t xml:space="preserve">Government action is </w:t>
      </w:r>
      <w:r w:rsidR="00165637">
        <w:rPr>
          <w:rFonts w:cstheme="minorHAnsi"/>
        </w:rPr>
        <w:t>therefore needed to ensure the ACNC Commissioner is enabled</w:t>
      </w:r>
      <w:r w:rsidR="00746945">
        <w:rPr>
          <w:rFonts w:cstheme="minorHAnsi"/>
        </w:rPr>
        <w:t xml:space="preserve"> under law</w:t>
      </w:r>
      <w:r w:rsidR="00165637">
        <w:rPr>
          <w:rFonts w:cstheme="minorHAnsi"/>
        </w:rPr>
        <w:t xml:space="preserve"> to investigate and take enforcement action, if appropriate, in situations where a registered charity participates or actively promotes </w:t>
      </w:r>
      <w:r w:rsidR="00A810D0" w:rsidRPr="007B3C65">
        <w:rPr>
          <w:rFonts w:cstheme="minorHAnsi"/>
        </w:rPr>
        <w:t xml:space="preserve">offences of trespass, vandalism, theft, assault and </w:t>
      </w:r>
      <w:r w:rsidR="00C262E7">
        <w:rPr>
          <w:rFonts w:cstheme="minorHAnsi"/>
        </w:rPr>
        <w:t>threatening harm</w:t>
      </w:r>
      <w:r w:rsidR="00A810D0" w:rsidRPr="007B3C65">
        <w:rPr>
          <w:rFonts w:cstheme="minorHAnsi"/>
        </w:rPr>
        <w:t>.</w:t>
      </w:r>
      <w:bookmarkEnd w:id="20"/>
      <w:r w:rsidR="00A810D0" w:rsidRPr="007B3C65">
        <w:rPr>
          <w:rFonts w:cstheme="minorHAnsi"/>
        </w:rPr>
        <w:t xml:space="preserve"> </w:t>
      </w:r>
      <w:r w:rsidR="00746945">
        <w:rPr>
          <w:rFonts w:cstheme="minorHAnsi"/>
        </w:rPr>
        <w:t xml:space="preserve">This </w:t>
      </w:r>
      <w:r w:rsidR="00746945" w:rsidRPr="00383DDA">
        <w:rPr>
          <w:rFonts w:cstheme="minorHAnsi"/>
        </w:rPr>
        <w:t>will give the public trust and confidence that a registered charity is governed in a way that complies with Australian laws.</w:t>
      </w:r>
    </w:p>
    <w:p w14:paraId="6CA3159D" w14:textId="77777777" w:rsidR="00C262E7" w:rsidRDefault="00383DDA" w:rsidP="00717AC1">
      <w:pPr>
        <w:rPr>
          <w:rFonts w:cstheme="minorHAnsi"/>
        </w:rPr>
      </w:pPr>
      <w:r w:rsidRPr="00383DDA">
        <w:rPr>
          <w:rFonts w:cstheme="minorHAnsi"/>
        </w:rPr>
        <w:t xml:space="preserve">Government action is </w:t>
      </w:r>
      <w:r w:rsidR="00746945">
        <w:rPr>
          <w:rFonts w:cstheme="minorHAnsi"/>
        </w:rPr>
        <w:t xml:space="preserve">also </w:t>
      </w:r>
      <w:r w:rsidRPr="00383DDA">
        <w:rPr>
          <w:rFonts w:cstheme="minorHAnsi"/>
        </w:rPr>
        <w:t xml:space="preserve">needed to </w:t>
      </w:r>
      <w:r w:rsidR="00746945" w:rsidRPr="003133FD">
        <w:rPr>
          <w:rFonts w:cstheme="minorHAnsi"/>
        </w:rPr>
        <w:t>clarify uncertainty about the scope of unlawful activities prohibited under governance standard three</w:t>
      </w:r>
      <w:r w:rsidR="00746945">
        <w:rPr>
          <w:rFonts w:cstheme="minorHAnsi"/>
        </w:rPr>
        <w:t xml:space="preserve"> and</w:t>
      </w:r>
      <w:r w:rsidRPr="00383DDA">
        <w:rPr>
          <w:rFonts w:cstheme="minorHAnsi"/>
        </w:rPr>
        <w:t xml:space="preserve"> resolve the complexity of the law to make it easier </w:t>
      </w:r>
      <w:r w:rsidR="00B920ED">
        <w:rPr>
          <w:rFonts w:cstheme="minorHAnsi"/>
        </w:rPr>
        <w:t xml:space="preserve">and less costly </w:t>
      </w:r>
      <w:r w:rsidRPr="00383DDA">
        <w:rPr>
          <w:rFonts w:cstheme="minorHAnsi"/>
        </w:rPr>
        <w:t xml:space="preserve">for registered charities to understand their obligations under the governance standard. </w:t>
      </w:r>
      <w:r w:rsidR="00571318">
        <w:rPr>
          <w:rFonts w:cstheme="minorHAnsi"/>
        </w:rPr>
        <w:t xml:space="preserve">Reduced </w:t>
      </w:r>
      <w:r w:rsidR="00B920ED">
        <w:rPr>
          <w:rFonts w:cstheme="minorHAnsi"/>
        </w:rPr>
        <w:t xml:space="preserve">compliance costs will provide charities with the ability to allocate more of their resources toward </w:t>
      </w:r>
      <w:r w:rsidR="006A45B5">
        <w:rPr>
          <w:rFonts w:cstheme="minorHAnsi"/>
        </w:rPr>
        <w:t xml:space="preserve">charitable </w:t>
      </w:r>
      <w:r w:rsidR="00B920ED">
        <w:rPr>
          <w:rFonts w:cstheme="minorHAnsi"/>
        </w:rPr>
        <w:t xml:space="preserve">activities in line with their purpose. </w:t>
      </w:r>
    </w:p>
    <w:p w14:paraId="6643021B" w14:textId="4E578D2D" w:rsidR="006279B1" w:rsidRDefault="00124777" w:rsidP="00717AC1">
      <w:r w:rsidRPr="00717AC1">
        <w:t>During consultations a large charity that operates in multiple jurisdictions indicated to Treasury that the existing regulatory burden of complying with governance standard three (in terms of ensuring all the charity’s operations and staff are aware of their obligations and compliant with the current standard) is significant due to the charity’s size and activities. Whilst it is evident that this compliance cost exists, Treasury is unable to reliably quantify this cost due to insufficient information and data.</w:t>
      </w:r>
    </w:p>
    <w:p w14:paraId="52181672" w14:textId="77777777" w:rsidR="00EA5697" w:rsidRPr="004B3F8E" w:rsidRDefault="00B80E4A" w:rsidP="00000BDB">
      <w:pPr>
        <w:pStyle w:val="Heading1numbered"/>
        <w:numPr>
          <w:ilvl w:val="0"/>
          <w:numId w:val="10"/>
        </w:numPr>
        <w:tabs>
          <w:tab w:val="clear" w:pos="567"/>
          <w:tab w:val="left" w:pos="360"/>
        </w:tabs>
      </w:pPr>
      <w:bookmarkStart w:id="21" w:name="_Toc51682492"/>
      <w:bookmarkStart w:id="22" w:name="_Toc51687346"/>
      <w:bookmarkStart w:id="23" w:name="_Toc58918222"/>
      <w:bookmarkStart w:id="24" w:name="_Toc72137344"/>
      <w:r w:rsidRPr="004B3F8E">
        <w:t>What p</w:t>
      </w:r>
      <w:r w:rsidR="00EA5697" w:rsidRPr="004B3F8E">
        <w:t>olicy options</w:t>
      </w:r>
      <w:bookmarkEnd w:id="21"/>
      <w:bookmarkEnd w:id="22"/>
      <w:r w:rsidRPr="004B3F8E">
        <w:t xml:space="preserve"> are you considering?</w:t>
      </w:r>
      <w:bookmarkEnd w:id="23"/>
      <w:bookmarkEnd w:id="24"/>
    </w:p>
    <w:p w14:paraId="0F9D1102" w14:textId="77777777" w:rsidR="00EC4BC2" w:rsidRPr="00EC4BC2" w:rsidRDefault="00EC4BC2" w:rsidP="00EC4BC2">
      <w:pPr>
        <w:spacing w:after="120"/>
        <w:rPr>
          <w:bCs/>
          <w:i/>
        </w:rPr>
      </w:pPr>
      <w:r w:rsidRPr="00EC4BC2">
        <w:rPr>
          <w:b/>
          <w:bCs/>
          <w:i/>
        </w:rPr>
        <w:t>Option 1 – Maintain the status quo</w:t>
      </w:r>
    </w:p>
    <w:p w14:paraId="3EB0BF52" w14:textId="5045E0C7" w:rsidR="00145440" w:rsidRDefault="0062104F" w:rsidP="00EC4BC2">
      <w:pPr>
        <w:rPr>
          <w:rFonts w:cstheme="minorHAnsi"/>
        </w:rPr>
      </w:pPr>
      <w:r w:rsidRPr="0062104F">
        <w:t xml:space="preserve">Maintain the status quo, whereby </w:t>
      </w:r>
      <w:r w:rsidR="00E33B63">
        <w:t xml:space="preserve">governance standard three </w:t>
      </w:r>
      <w:r w:rsidR="00647EAB">
        <w:rPr>
          <w:rFonts w:eastAsia="Calibri" w:cstheme="minorHAnsi"/>
          <w:lang w:val="en" w:eastAsia="en-AU"/>
        </w:rPr>
        <w:t xml:space="preserve">does not enable the ACNC Commissioner to investigate </w:t>
      </w:r>
      <w:r w:rsidR="00E33B63">
        <w:rPr>
          <w:rFonts w:eastAsia="Calibri" w:cstheme="minorHAnsi"/>
          <w:lang w:val="en" w:eastAsia="en-AU"/>
        </w:rPr>
        <w:t>and take</w:t>
      </w:r>
      <w:r w:rsidR="00E57645">
        <w:rPr>
          <w:rFonts w:eastAsia="Calibri" w:cstheme="minorHAnsi"/>
          <w:lang w:val="en" w:eastAsia="en-AU"/>
        </w:rPr>
        <w:t xml:space="preserve"> appropriate</w:t>
      </w:r>
      <w:r w:rsidR="00E520DE">
        <w:rPr>
          <w:rFonts w:eastAsia="Calibri" w:cstheme="minorHAnsi"/>
          <w:lang w:val="en" w:eastAsia="en-AU"/>
        </w:rPr>
        <w:t xml:space="preserve"> </w:t>
      </w:r>
      <w:r w:rsidR="00E33B63">
        <w:rPr>
          <w:rFonts w:eastAsia="Calibri" w:cstheme="minorHAnsi"/>
          <w:lang w:val="en" w:eastAsia="en-AU"/>
        </w:rPr>
        <w:t xml:space="preserve">enforcement action in </w:t>
      </w:r>
      <w:r w:rsidR="00647EAB">
        <w:rPr>
          <w:rFonts w:eastAsia="Calibri" w:cstheme="minorHAnsi"/>
          <w:lang w:val="en" w:eastAsia="en-AU"/>
        </w:rPr>
        <w:t xml:space="preserve">all serious breaches of the law by a </w:t>
      </w:r>
      <w:r w:rsidR="00E33B63">
        <w:rPr>
          <w:rFonts w:eastAsia="Calibri" w:cstheme="minorHAnsi"/>
          <w:lang w:val="en" w:eastAsia="en-AU"/>
        </w:rPr>
        <w:t xml:space="preserve">registered </w:t>
      </w:r>
      <w:r w:rsidR="00647EAB">
        <w:rPr>
          <w:rFonts w:eastAsia="Calibri" w:cstheme="minorHAnsi"/>
          <w:lang w:val="en" w:eastAsia="en-AU"/>
        </w:rPr>
        <w:t>charity</w:t>
      </w:r>
      <w:r w:rsidR="00E1596B">
        <w:rPr>
          <w:rFonts w:eastAsia="Calibri" w:cstheme="minorHAnsi"/>
          <w:lang w:val="en" w:eastAsia="en-AU"/>
        </w:rPr>
        <w:t xml:space="preserve"> (</w:t>
      </w:r>
      <w:r w:rsidR="002B302A">
        <w:rPr>
          <w:rFonts w:eastAsia="Calibri" w:cstheme="minorHAnsi"/>
          <w:lang w:val="en" w:eastAsia="en-AU"/>
        </w:rPr>
        <w:t>refer T</w:t>
      </w:r>
      <w:r w:rsidR="00E1596B">
        <w:rPr>
          <w:rFonts w:eastAsia="Calibri" w:cstheme="minorHAnsi"/>
          <w:lang w:val="en" w:eastAsia="en-AU"/>
        </w:rPr>
        <w:t>able 1)</w:t>
      </w:r>
      <w:r w:rsidR="00E33B63">
        <w:rPr>
          <w:rFonts w:eastAsia="Calibri" w:cstheme="minorHAnsi"/>
          <w:lang w:val="en" w:eastAsia="en-AU"/>
        </w:rPr>
        <w:t xml:space="preserve">. </w:t>
      </w:r>
      <w:r w:rsidR="00145440">
        <w:rPr>
          <w:rFonts w:cstheme="minorHAnsi"/>
        </w:rPr>
        <w:t xml:space="preserve">This means that potentially serious unlawful conduct undertaken by a registered charity </w:t>
      </w:r>
      <w:r w:rsidR="001D0ADE">
        <w:rPr>
          <w:rFonts w:cstheme="minorHAnsi"/>
        </w:rPr>
        <w:t>(now or in future) will continue to</w:t>
      </w:r>
      <w:r w:rsidR="00145440">
        <w:rPr>
          <w:rFonts w:cstheme="minorHAnsi"/>
        </w:rPr>
        <w:t xml:space="preserve"> </w:t>
      </w:r>
      <w:r w:rsidR="002B302A">
        <w:rPr>
          <w:rFonts w:cstheme="minorHAnsi"/>
        </w:rPr>
        <w:t xml:space="preserve">undermine </w:t>
      </w:r>
      <w:r w:rsidR="00145440">
        <w:rPr>
          <w:rFonts w:cstheme="minorHAnsi"/>
        </w:rPr>
        <w:t xml:space="preserve">public trust and </w:t>
      </w:r>
      <w:proofErr w:type="gramStart"/>
      <w:r w:rsidR="00145440">
        <w:rPr>
          <w:rFonts w:cstheme="minorHAnsi"/>
        </w:rPr>
        <w:t xml:space="preserve">confidence, </w:t>
      </w:r>
      <w:r w:rsidR="002B302A">
        <w:rPr>
          <w:rFonts w:cstheme="minorHAnsi"/>
        </w:rPr>
        <w:t>and</w:t>
      </w:r>
      <w:proofErr w:type="gramEnd"/>
      <w:r w:rsidR="002B302A">
        <w:rPr>
          <w:rFonts w:cstheme="minorHAnsi"/>
        </w:rPr>
        <w:t xml:space="preserve"> put </w:t>
      </w:r>
      <w:r w:rsidR="00145440">
        <w:rPr>
          <w:rFonts w:cstheme="minorHAnsi"/>
        </w:rPr>
        <w:t>charitable assets at risk</w:t>
      </w:r>
      <w:r w:rsidR="00F638FF">
        <w:rPr>
          <w:rFonts w:cstheme="minorHAnsi"/>
        </w:rPr>
        <w:t xml:space="preserve"> (</w:t>
      </w:r>
      <w:r w:rsidR="002B302A">
        <w:rPr>
          <w:rFonts w:cstheme="minorHAnsi"/>
        </w:rPr>
        <w:t>refer F</w:t>
      </w:r>
      <w:r w:rsidR="00F638FF">
        <w:rPr>
          <w:rFonts w:cstheme="minorHAnsi"/>
        </w:rPr>
        <w:t>igure 1)</w:t>
      </w:r>
      <w:r w:rsidR="00145440">
        <w:rPr>
          <w:rFonts w:cstheme="minorHAnsi"/>
        </w:rPr>
        <w:t>.</w:t>
      </w:r>
    </w:p>
    <w:p w14:paraId="68BFFAC8" w14:textId="789D6E36" w:rsidR="00E33B63" w:rsidRDefault="00E33B63" w:rsidP="00EC4BC2">
      <w:r>
        <w:rPr>
          <w:rFonts w:eastAsia="Calibri" w:cstheme="minorHAnsi"/>
          <w:lang w:val="en" w:eastAsia="en-AU"/>
        </w:rPr>
        <w:lastRenderedPageBreak/>
        <w:t xml:space="preserve">Further, </w:t>
      </w:r>
      <w:r w:rsidR="001D0ADE">
        <w:rPr>
          <w:rFonts w:eastAsia="Calibri" w:cstheme="minorHAnsi"/>
          <w:lang w:val="en" w:eastAsia="en-AU"/>
        </w:rPr>
        <w:t xml:space="preserve">maintaining the status quo will also mean that </w:t>
      </w:r>
      <w:r w:rsidR="0062104F" w:rsidRPr="0062104F">
        <w:t>registered charities continue to incur the administrative burden of discern</w:t>
      </w:r>
      <w:r w:rsidR="005050DE">
        <w:t>ing</w:t>
      </w:r>
      <w:r w:rsidR="0062104F" w:rsidRPr="0062104F">
        <w:t xml:space="preserve"> the scope of unlawful activities prohibited under governance standard three</w:t>
      </w:r>
      <w:r w:rsidR="002B302A">
        <w:t xml:space="preserve"> due to </w:t>
      </w:r>
      <w:r w:rsidR="00504777">
        <w:t xml:space="preserve">uncertainty and </w:t>
      </w:r>
      <w:r w:rsidR="002B302A">
        <w:t>complexity in the law</w:t>
      </w:r>
      <w:r w:rsidR="0062104F" w:rsidRPr="0062104F">
        <w:t>.</w:t>
      </w:r>
    </w:p>
    <w:p w14:paraId="476D15DE" w14:textId="4A99FE62" w:rsidR="003F70D7" w:rsidRPr="00F43DC8" w:rsidRDefault="003F70D7" w:rsidP="00B05DD0">
      <w:pPr>
        <w:spacing w:after="120"/>
        <w:rPr>
          <w:bCs/>
          <w:i/>
        </w:rPr>
      </w:pPr>
      <w:r w:rsidRPr="00F43DC8">
        <w:rPr>
          <w:b/>
          <w:bCs/>
          <w:i/>
        </w:rPr>
        <w:t xml:space="preserve">Option </w:t>
      </w:r>
      <w:r w:rsidR="00C97397">
        <w:rPr>
          <w:b/>
          <w:bCs/>
          <w:i/>
        </w:rPr>
        <w:t>2</w:t>
      </w:r>
      <w:r w:rsidRPr="00F43DC8">
        <w:rPr>
          <w:b/>
          <w:bCs/>
          <w:i/>
        </w:rPr>
        <w:t xml:space="preserve"> – </w:t>
      </w:r>
      <w:r w:rsidR="00DF36DE">
        <w:rPr>
          <w:b/>
          <w:bCs/>
          <w:i/>
        </w:rPr>
        <w:t xml:space="preserve">Voluntary </w:t>
      </w:r>
      <w:r w:rsidR="001A58DC">
        <w:rPr>
          <w:b/>
          <w:bCs/>
          <w:i/>
        </w:rPr>
        <w:t>e</w:t>
      </w:r>
      <w:r w:rsidR="0022483C" w:rsidRPr="00F43DC8">
        <w:rPr>
          <w:b/>
          <w:bCs/>
          <w:i/>
        </w:rPr>
        <w:t>ducation</w:t>
      </w:r>
    </w:p>
    <w:p w14:paraId="3EECD255" w14:textId="0D2BE4D8" w:rsidR="002C7215" w:rsidRDefault="00BE5536" w:rsidP="00844AB7">
      <w:r>
        <w:t xml:space="preserve">This option involves undertaking further education </w:t>
      </w:r>
      <w:r w:rsidR="000A65C0">
        <w:t>with registered charities. Education and guidance material would be provided by the ACNC to ensure registered charities are aware of</w:t>
      </w:r>
      <w:r>
        <w:t xml:space="preserve"> their obligations</w:t>
      </w:r>
      <w:r w:rsidR="008725D6">
        <w:t xml:space="preserve"> under</w:t>
      </w:r>
      <w:r w:rsidR="003D6450">
        <w:t xml:space="preserve"> </w:t>
      </w:r>
      <w:r w:rsidR="00E0714E">
        <w:t xml:space="preserve">existing </w:t>
      </w:r>
      <w:r w:rsidR="003D6450">
        <w:t>governance standard three</w:t>
      </w:r>
      <w:r w:rsidR="001A1AD9">
        <w:t>.</w:t>
      </w:r>
      <w:r w:rsidR="003D6450">
        <w:t xml:space="preserve"> </w:t>
      </w:r>
      <w:r w:rsidR="00E24583">
        <w:t xml:space="preserve">Guidance material will </w:t>
      </w:r>
      <w:r w:rsidR="00AA3A80">
        <w:t xml:space="preserve">assist in reducing the </w:t>
      </w:r>
      <w:r w:rsidR="00E24583">
        <w:t xml:space="preserve"> uncertainty in the law by identifying which unlawful activities fall within the scope of governance standard three and therefore could be the subject of investigation and enforcement action by the ACNC Commissioner.  </w:t>
      </w:r>
      <w:r w:rsidR="0046161B">
        <w:t>As this option involves voluntary education, r</w:t>
      </w:r>
      <w:r w:rsidR="009B4F09">
        <w:t xml:space="preserve">egistered charities would </w:t>
      </w:r>
      <w:r w:rsidR="00B11CC4">
        <w:t xml:space="preserve">determine whether they need to </w:t>
      </w:r>
      <w:r w:rsidR="009B4F09">
        <w:t>engage with the education and guidance material</w:t>
      </w:r>
      <w:r w:rsidR="00B11CC4">
        <w:t>.</w:t>
      </w:r>
    </w:p>
    <w:p w14:paraId="44FEDFC9" w14:textId="7AD6B593" w:rsidR="00E1596B" w:rsidRPr="00844AB7" w:rsidRDefault="00C80F88" w:rsidP="00844AB7">
      <w:r>
        <w:t xml:space="preserve">However, </w:t>
      </w:r>
      <w:r w:rsidR="00E1596B">
        <w:t xml:space="preserve">Option 2 does not </w:t>
      </w:r>
      <w:r w:rsidR="00E1596B" w:rsidRPr="00E1596B">
        <w:t xml:space="preserve">enable the ACNC Commissioner to investigate and take </w:t>
      </w:r>
      <w:r w:rsidR="00E57645">
        <w:t xml:space="preserve">appropriate </w:t>
      </w:r>
      <w:r w:rsidR="00E1596B" w:rsidRPr="00E1596B">
        <w:t xml:space="preserve">enforcement action </w:t>
      </w:r>
      <w:r>
        <w:t xml:space="preserve">if a registered charity </w:t>
      </w:r>
      <w:r w:rsidR="005C1651">
        <w:t xml:space="preserve">operating in certain jurisdictions </w:t>
      </w:r>
      <w:r>
        <w:t xml:space="preserve">participates or actively </w:t>
      </w:r>
      <w:r>
        <w:rPr>
          <w:rFonts w:cstheme="minorHAnsi"/>
        </w:rPr>
        <w:t xml:space="preserve">promotes </w:t>
      </w:r>
      <w:r w:rsidRPr="007B3C65">
        <w:rPr>
          <w:rFonts w:cstheme="minorHAnsi"/>
        </w:rPr>
        <w:t xml:space="preserve">offences of trespass, vandalism, theft, assault and </w:t>
      </w:r>
      <w:r>
        <w:rPr>
          <w:rFonts w:cstheme="minorHAnsi"/>
        </w:rPr>
        <w:t>threatening harm</w:t>
      </w:r>
      <w:r w:rsidRPr="007B3C65">
        <w:rPr>
          <w:rFonts w:cstheme="minorHAnsi"/>
        </w:rPr>
        <w:t>.</w:t>
      </w:r>
    </w:p>
    <w:p w14:paraId="1E4DDF99" w14:textId="77777777" w:rsidR="00D51BC2" w:rsidRPr="00F43DC8" w:rsidRDefault="00B77401" w:rsidP="00487A71">
      <w:pPr>
        <w:rPr>
          <w:bCs/>
          <w:i/>
        </w:rPr>
      </w:pPr>
      <w:r w:rsidRPr="00F43DC8">
        <w:rPr>
          <w:b/>
          <w:bCs/>
          <w:i/>
        </w:rPr>
        <w:t xml:space="preserve">Option </w:t>
      </w:r>
      <w:r w:rsidR="00C97397">
        <w:rPr>
          <w:b/>
          <w:bCs/>
          <w:i/>
        </w:rPr>
        <w:t>3</w:t>
      </w:r>
      <w:r w:rsidRPr="00F43DC8">
        <w:rPr>
          <w:b/>
          <w:bCs/>
          <w:i/>
        </w:rPr>
        <w:t xml:space="preserve"> –</w:t>
      </w:r>
      <w:r w:rsidR="0022483C" w:rsidRPr="00F43DC8">
        <w:rPr>
          <w:b/>
          <w:bCs/>
          <w:i/>
        </w:rPr>
        <w:t xml:space="preserve"> Changes to governance standard three</w:t>
      </w:r>
    </w:p>
    <w:p w14:paraId="2C87A675" w14:textId="77777777" w:rsidR="00940A7A" w:rsidRPr="00940A7A" w:rsidRDefault="00940A7A" w:rsidP="00940A7A">
      <w:pPr>
        <w:rPr>
          <w:bCs/>
        </w:rPr>
      </w:pPr>
      <w:r>
        <w:rPr>
          <w:bCs/>
        </w:rPr>
        <w:t xml:space="preserve">This option involves amendments to the </w:t>
      </w:r>
      <w:r w:rsidR="009D1BC0" w:rsidRPr="00383DDA">
        <w:rPr>
          <w:rFonts w:cstheme="minorHAnsi"/>
          <w:iCs/>
        </w:rPr>
        <w:t>ACNC Regulations</w:t>
      </w:r>
      <w:r>
        <w:rPr>
          <w:rFonts w:cstheme="minorHAnsi"/>
        </w:rPr>
        <w:t>, to establish two changes to governance standard three:</w:t>
      </w:r>
    </w:p>
    <w:p w14:paraId="6B09A0FB" w14:textId="67F6EBC9" w:rsidR="00001CF4" w:rsidRDefault="00940A7A" w:rsidP="00940A7A">
      <w:pPr>
        <w:pStyle w:val="OutlineNumbered1"/>
        <w:jc w:val="left"/>
      </w:pPr>
      <w:r>
        <w:t>A r</w:t>
      </w:r>
      <w:r w:rsidRPr="00940A7A">
        <w:t>equire</w:t>
      </w:r>
      <w:r>
        <w:t>ment</w:t>
      </w:r>
      <w:r w:rsidRPr="00940A7A">
        <w:t xml:space="preserve"> that registered charities must not</w:t>
      </w:r>
      <w:r>
        <w:t xml:space="preserve"> directly</w:t>
      </w:r>
      <w:r w:rsidRPr="00940A7A">
        <w:t xml:space="preserve"> engage in certain kinds of </w:t>
      </w:r>
      <w:r w:rsidR="00390381">
        <w:t>unlawful conduct that may be dealt with as a summary</w:t>
      </w:r>
      <w:r w:rsidRPr="00940A7A">
        <w:t xml:space="preserve"> </w:t>
      </w:r>
      <w:r>
        <w:t>offence</w:t>
      </w:r>
      <w:r w:rsidR="00AA3A80">
        <w:t xml:space="preserve"> or an indictable offence</w:t>
      </w:r>
      <w:r>
        <w:t xml:space="preserve"> under an Australian law</w:t>
      </w:r>
      <w:r w:rsidR="00002D40">
        <w:t>. Th</w:t>
      </w:r>
      <w:r w:rsidR="00390381">
        <w:t xml:space="preserve">e </w:t>
      </w:r>
      <w:r w:rsidR="00AA3A80">
        <w:t>offences</w:t>
      </w:r>
      <w:r w:rsidR="00390381">
        <w:t xml:space="preserve"> in scope relate to the following</w:t>
      </w:r>
      <w:r w:rsidR="00355EB5">
        <w:t xml:space="preserve"> conduct</w:t>
      </w:r>
      <w:r w:rsidR="00001CF4">
        <w:t>:</w:t>
      </w:r>
    </w:p>
    <w:p w14:paraId="6B71AC26" w14:textId="54F709D5" w:rsidR="00001CF4" w:rsidRDefault="00001CF4" w:rsidP="00001CF4">
      <w:pPr>
        <w:pStyle w:val="Bullet"/>
      </w:pPr>
      <w:r>
        <w:t>entering or remaining on real or personal property</w:t>
      </w:r>
      <w:r w:rsidR="005C1651">
        <w:t xml:space="preserve"> (commonly known as trespass</w:t>
      </w:r>
      <w:proofErr w:type="gramStart"/>
      <w:r w:rsidR="005C1651">
        <w:t>)</w:t>
      </w:r>
      <w:r>
        <w:t>;</w:t>
      </w:r>
      <w:proofErr w:type="gramEnd"/>
    </w:p>
    <w:p w14:paraId="02E62E76" w14:textId="1A00D545" w:rsidR="00001CF4" w:rsidRDefault="00001CF4" w:rsidP="00001CF4">
      <w:pPr>
        <w:pStyle w:val="Bullet"/>
      </w:pPr>
      <w:r>
        <w:t>destroying or damaging real or personal property</w:t>
      </w:r>
      <w:r w:rsidR="005C1651">
        <w:t xml:space="preserve"> (i</w:t>
      </w:r>
      <w:r w:rsidR="00504777">
        <w:t>.</w:t>
      </w:r>
      <w:r w:rsidR="005C1651">
        <w:t>e. vandalism</w:t>
      </w:r>
      <w:proofErr w:type="gramStart"/>
      <w:r w:rsidR="005C1651">
        <w:t>)</w:t>
      </w:r>
      <w:r>
        <w:t>;</w:t>
      </w:r>
      <w:proofErr w:type="gramEnd"/>
    </w:p>
    <w:p w14:paraId="539113B2" w14:textId="62414485" w:rsidR="00001CF4" w:rsidRDefault="00001CF4" w:rsidP="00001CF4">
      <w:pPr>
        <w:pStyle w:val="Bullet"/>
      </w:pPr>
      <w:r>
        <w:t>appropriating personal property belonging to another entity</w:t>
      </w:r>
      <w:r w:rsidR="005C1651">
        <w:t xml:space="preserve"> (i</w:t>
      </w:r>
      <w:r w:rsidR="00504777">
        <w:t>.</w:t>
      </w:r>
      <w:r w:rsidR="005C1651">
        <w:t>e.</w:t>
      </w:r>
      <w:r w:rsidR="00DE292D">
        <w:t xml:space="preserve"> </w:t>
      </w:r>
      <w:r w:rsidR="005C1651">
        <w:t>theft</w:t>
      </w:r>
      <w:proofErr w:type="gramStart"/>
      <w:r w:rsidR="005C1651">
        <w:t>)</w:t>
      </w:r>
      <w:r>
        <w:t>;</w:t>
      </w:r>
      <w:proofErr w:type="gramEnd"/>
    </w:p>
    <w:p w14:paraId="7FAD81A8" w14:textId="7CEE9720" w:rsidR="00940A7A" w:rsidRDefault="00001CF4" w:rsidP="003514FD">
      <w:pPr>
        <w:pStyle w:val="Bullet"/>
      </w:pPr>
      <w:r>
        <w:t>causing personal injury to an individual or any other kind of impairment of an individual's health, including the risk or threat of such</w:t>
      </w:r>
      <w:r w:rsidR="005C1651">
        <w:t xml:space="preserve"> (i</w:t>
      </w:r>
      <w:r w:rsidR="00504777">
        <w:t>.</w:t>
      </w:r>
      <w:r w:rsidR="005C1651">
        <w:t>e</w:t>
      </w:r>
      <w:r w:rsidR="00DE292D">
        <w:t>.</w:t>
      </w:r>
      <w:r w:rsidR="005C1651">
        <w:t xml:space="preserve"> assault or threatening harm)</w:t>
      </w:r>
      <w:r>
        <w:t>.</w:t>
      </w:r>
    </w:p>
    <w:p w14:paraId="3E5413C0" w14:textId="6445C281" w:rsidR="0062104F" w:rsidRDefault="00940A7A" w:rsidP="00030452">
      <w:pPr>
        <w:pStyle w:val="OutlineNumbered1"/>
        <w:jc w:val="left"/>
      </w:pPr>
      <w:r>
        <w:t>A requirement that</w:t>
      </w:r>
      <w:r w:rsidRPr="00940A7A">
        <w:t xml:space="preserve"> registered charities </w:t>
      </w:r>
      <w:r w:rsidR="00564CD1">
        <w:t xml:space="preserve">must not </w:t>
      </w:r>
      <w:r w:rsidRPr="00940A7A">
        <w:t>actively promote unlawful activities captured under governance standard</w:t>
      </w:r>
      <w:r w:rsidR="00D34629">
        <w:t xml:space="preserve"> three</w:t>
      </w:r>
      <w:r w:rsidRPr="00940A7A">
        <w:t>.</w:t>
      </w:r>
      <w:r w:rsidR="00954680">
        <w:t xml:space="preserve"> </w:t>
      </w:r>
    </w:p>
    <w:p w14:paraId="3A868132" w14:textId="77777777" w:rsidR="0062104F" w:rsidRDefault="00030452" w:rsidP="0062104F">
      <w:pPr>
        <w:pStyle w:val="OutlineNumbered2"/>
      </w:pPr>
      <w:r>
        <w:t>T</w:t>
      </w:r>
      <w:r w:rsidRPr="00030452">
        <w:t>he term ‘actively promote’ has its ordinary meaning</w:t>
      </w:r>
      <w:r w:rsidR="000C3639">
        <w:t xml:space="preserve"> and requires a direct link to the unlawful activity. For example, a registered charity </w:t>
      </w:r>
      <w:r w:rsidR="00F5669F" w:rsidRPr="00F5669F">
        <w:t>organises an event to trespass onto the property of an Australian company</w:t>
      </w:r>
      <w:r w:rsidR="00F5669F">
        <w:t>.</w:t>
      </w:r>
      <w:r>
        <w:t xml:space="preserve"> </w:t>
      </w:r>
    </w:p>
    <w:p w14:paraId="551729D6" w14:textId="1E0B1B9B" w:rsidR="00954680" w:rsidRPr="00954680" w:rsidRDefault="00321423" w:rsidP="0062104F">
      <w:pPr>
        <w:pStyle w:val="OutlineNumbered2"/>
      </w:pPr>
      <w:r>
        <w:t xml:space="preserve">A registered charity will also be required to maintain reasonable internal control procedures to ensure that its resources are not used in way that contravenes governance standard three. </w:t>
      </w:r>
      <w:r w:rsidR="00954680" w:rsidRPr="00954680">
        <w:t xml:space="preserve">For the avoidance of doubt, a charity’s resources will include its employees, online </w:t>
      </w:r>
      <w:r w:rsidR="0008740B" w:rsidRPr="00954680">
        <w:t>presence,</w:t>
      </w:r>
      <w:r w:rsidR="00954680" w:rsidRPr="00954680">
        <w:t xml:space="preserve"> and communications materials (e.g. websites, social media accounts and mailing lists).</w:t>
      </w:r>
    </w:p>
    <w:p w14:paraId="6A462DB8" w14:textId="69A4F852" w:rsidR="002B3200" w:rsidRPr="00954680" w:rsidRDefault="002B3200" w:rsidP="00504777">
      <w:pPr>
        <w:pStyle w:val="OutlineNumbered1"/>
        <w:numPr>
          <w:ilvl w:val="0"/>
          <w:numId w:val="0"/>
        </w:numPr>
      </w:pPr>
      <w:r>
        <w:t xml:space="preserve">These amendments will enable the ACNC Commissioner to investigate and take enforcement action, if appropriate, where a registered charity engages in the listed unlawful conduct in circumstances where it is a summary offence </w:t>
      </w:r>
      <w:r w:rsidR="00AA3A80">
        <w:t xml:space="preserve">or an indictable offence </w:t>
      </w:r>
      <w:r>
        <w:t xml:space="preserve">under an Australian law. </w:t>
      </w:r>
    </w:p>
    <w:p w14:paraId="74ACEC4D" w14:textId="7848EAA1" w:rsidR="0062104F" w:rsidRDefault="00575643" w:rsidP="00954680">
      <w:pPr>
        <w:pStyle w:val="OutlineNumbered1"/>
        <w:numPr>
          <w:ilvl w:val="0"/>
          <w:numId w:val="0"/>
        </w:numPr>
        <w:jc w:val="left"/>
      </w:pPr>
      <w:r>
        <w:rPr>
          <w:bCs/>
        </w:rPr>
        <w:t>R</w:t>
      </w:r>
      <w:r w:rsidR="00002D40">
        <w:rPr>
          <w:bCs/>
        </w:rPr>
        <w:t xml:space="preserve">easonable internal control </w:t>
      </w:r>
      <w:r w:rsidR="00B715C6">
        <w:rPr>
          <w:bCs/>
        </w:rPr>
        <w:t>procedures</w:t>
      </w:r>
      <w:r w:rsidR="00002D40">
        <w:rPr>
          <w:bCs/>
        </w:rPr>
        <w:t xml:space="preserve"> </w:t>
      </w:r>
      <w:r w:rsidR="00954680">
        <w:rPr>
          <w:bCs/>
        </w:rPr>
        <w:t xml:space="preserve">are to be determined objectively </w:t>
      </w:r>
      <w:r w:rsidR="00001CF4">
        <w:rPr>
          <w:bCs/>
        </w:rPr>
        <w:t xml:space="preserve">by a registered charity </w:t>
      </w:r>
      <w:r w:rsidR="00954680">
        <w:rPr>
          <w:bCs/>
        </w:rPr>
        <w:t>and</w:t>
      </w:r>
      <w:r w:rsidR="00002D40">
        <w:rPr>
          <w:bCs/>
        </w:rPr>
        <w:t xml:space="preserve"> will </w:t>
      </w:r>
      <w:r w:rsidR="00002D40" w:rsidRPr="00002D40">
        <w:rPr>
          <w:bCs/>
        </w:rPr>
        <w:t xml:space="preserve">depend on the specific circumstances of the </w:t>
      </w:r>
      <w:r w:rsidR="00002D40">
        <w:rPr>
          <w:bCs/>
        </w:rPr>
        <w:t>charity</w:t>
      </w:r>
      <w:r w:rsidR="00002D40" w:rsidRPr="00002D40">
        <w:rPr>
          <w:bCs/>
        </w:rPr>
        <w:t xml:space="preserve">, including its size, </w:t>
      </w:r>
      <w:r w:rsidR="0008740B" w:rsidRPr="00002D40">
        <w:rPr>
          <w:bCs/>
        </w:rPr>
        <w:t>purpose,</w:t>
      </w:r>
      <w:r w:rsidR="00002D40" w:rsidRPr="00002D40">
        <w:rPr>
          <w:bCs/>
        </w:rPr>
        <w:t xml:space="preserve"> and activities</w:t>
      </w:r>
      <w:r w:rsidR="00954680">
        <w:rPr>
          <w:bCs/>
        </w:rPr>
        <w:t>. Examples of internal controls could include</w:t>
      </w:r>
      <w:r w:rsidR="0062104F">
        <w:rPr>
          <w:bCs/>
        </w:rPr>
        <w:t>:</w:t>
      </w:r>
      <w:r w:rsidR="00954680">
        <w:rPr>
          <w:bCs/>
        </w:rPr>
        <w:t xml:space="preserve"> controlling </w:t>
      </w:r>
      <w:r w:rsidR="00954680" w:rsidRPr="00002D40">
        <w:t xml:space="preserve">who can access and use the </w:t>
      </w:r>
      <w:r w:rsidR="00954680">
        <w:t>charity</w:t>
      </w:r>
      <w:r w:rsidR="00954680" w:rsidRPr="00002D40">
        <w:t xml:space="preserve">’s funds, </w:t>
      </w:r>
      <w:r w:rsidR="00954680" w:rsidRPr="00002D40">
        <w:lastRenderedPageBreak/>
        <w:t>office and social media accounts</w:t>
      </w:r>
      <w:r w:rsidR="00954680">
        <w:t xml:space="preserve">; </w:t>
      </w:r>
      <w:r w:rsidR="00002D40" w:rsidRPr="00002D40">
        <w:t xml:space="preserve">relevant training for responsible </w:t>
      </w:r>
      <w:r w:rsidR="00CB1EAA">
        <w:t xml:space="preserve">persons </w:t>
      </w:r>
      <w:r w:rsidR="00002D40" w:rsidRPr="00002D40">
        <w:t xml:space="preserve">and employees to ensure they understand their obligations under governance standard three; and addressing the improper use of the </w:t>
      </w:r>
      <w:r w:rsidR="00954680">
        <w:t>charity</w:t>
      </w:r>
      <w:r w:rsidR="00002D40" w:rsidRPr="00002D40">
        <w:t>’s resources promptly (for example, removing unauthorised posts on the entity’s social media accounts that actively promotes unlawful activities).</w:t>
      </w:r>
      <w:r w:rsidR="009D1B0D">
        <w:t xml:space="preserve"> </w:t>
      </w:r>
    </w:p>
    <w:p w14:paraId="28F245F4" w14:textId="205E1535" w:rsidR="00B12455" w:rsidRDefault="00B12455" w:rsidP="00954680">
      <w:pPr>
        <w:pStyle w:val="OutlineNumbered1"/>
        <w:numPr>
          <w:ilvl w:val="0"/>
          <w:numId w:val="0"/>
        </w:numPr>
        <w:jc w:val="left"/>
      </w:pPr>
      <w:r>
        <w:t xml:space="preserve">It would be reasonable for a </w:t>
      </w:r>
      <w:r w:rsidR="00F5669F">
        <w:t xml:space="preserve">small charity </w:t>
      </w:r>
      <w:r>
        <w:t xml:space="preserve">to take a light touch approach to internal controls where the charity has </w:t>
      </w:r>
      <w:r w:rsidR="00F5669F">
        <w:t>a basic IT system, minimal social media presence</w:t>
      </w:r>
      <w:r>
        <w:t xml:space="preserve"> and </w:t>
      </w:r>
      <w:r w:rsidR="00F5669F">
        <w:t xml:space="preserve">does not </w:t>
      </w:r>
      <w:r>
        <w:t xml:space="preserve">involve itself </w:t>
      </w:r>
      <w:r w:rsidR="003514FD">
        <w:t xml:space="preserve">or </w:t>
      </w:r>
      <w:r w:rsidR="00575643">
        <w:t>its</w:t>
      </w:r>
      <w:r w:rsidR="003514FD">
        <w:t xml:space="preserve"> employees </w:t>
      </w:r>
      <w:r>
        <w:t xml:space="preserve">in promoting or attending protests. In contrast, a large charity operating across multiple jurisdictions with a significant social media presence and large workforce would be expected to have more sophisticated internal controls in </w:t>
      </w:r>
      <w:r w:rsidR="003514FD">
        <w:t>line</w:t>
      </w:r>
      <w:r>
        <w:t xml:space="preserve"> with modern business practices.</w:t>
      </w:r>
    </w:p>
    <w:p w14:paraId="71725E68" w14:textId="36E74255" w:rsidR="00002D40" w:rsidRDefault="00C47FA2" w:rsidP="00954680">
      <w:pPr>
        <w:pStyle w:val="OutlineNumbered1"/>
        <w:numPr>
          <w:ilvl w:val="0"/>
          <w:numId w:val="0"/>
        </w:numPr>
        <w:jc w:val="left"/>
      </w:pPr>
      <w:r w:rsidRPr="00C47FA2">
        <w:t xml:space="preserve">Charities are not expected to keep extensive written records to comply with </w:t>
      </w:r>
      <w:r>
        <w:t>option 3</w:t>
      </w:r>
      <w:r w:rsidRPr="00C47FA2">
        <w:t xml:space="preserve">. </w:t>
      </w:r>
      <w:r w:rsidR="00893622" w:rsidRPr="00893622">
        <w:t>Th</w:t>
      </w:r>
      <w:r>
        <w:t xml:space="preserve">e requirement to maintain </w:t>
      </w:r>
      <w:r w:rsidR="00A018C6">
        <w:t>reasonable</w:t>
      </w:r>
      <w:r>
        <w:t xml:space="preserve"> internal control procedures </w:t>
      </w:r>
      <w:r w:rsidR="00893622" w:rsidRPr="00893622">
        <w:t xml:space="preserve">is consistent with the application of similar requirements for registered </w:t>
      </w:r>
      <w:r w:rsidR="00CD20E7">
        <w:t>charities</w:t>
      </w:r>
      <w:r w:rsidR="00893622" w:rsidRPr="00893622">
        <w:t xml:space="preserve"> (such as the existing requirement for registered </w:t>
      </w:r>
      <w:r w:rsidR="00CD20E7">
        <w:t>charities</w:t>
      </w:r>
      <w:r w:rsidR="00893622" w:rsidRPr="00893622">
        <w:t xml:space="preserve"> to maintain reasonable internal control procedures under the external conduct standards</w:t>
      </w:r>
      <w:r w:rsidR="003717E9">
        <w:rPr>
          <w:rStyle w:val="FootnoteReference"/>
        </w:rPr>
        <w:footnoteReference w:id="6"/>
      </w:r>
      <w:r w:rsidR="00893622" w:rsidRPr="00893622">
        <w:t xml:space="preserve"> in the </w:t>
      </w:r>
      <w:r w:rsidR="006573AB" w:rsidRPr="00383DDA">
        <w:t>ACNC Regulations</w:t>
      </w:r>
      <w:r w:rsidR="00893622" w:rsidRPr="00893622">
        <w:t>).</w:t>
      </w:r>
    </w:p>
    <w:p w14:paraId="4B9CA189" w14:textId="391812E6" w:rsidR="00954680" w:rsidRPr="00002D40" w:rsidRDefault="00954680" w:rsidP="00893503">
      <w:pPr>
        <w:spacing w:before="240"/>
        <w:ind w:right="91"/>
      </w:pPr>
      <w:r>
        <w:t>The revised governance standard will be administered by the ACNC, as per its ordinary regulatory functions.</w:t>
      </w:r>
      <w:r w:rsidR="00FC411E" w:rsidRPr="00FC411E">
        <w:t xml:space="preserve"> </w:t>
      </w:r>
      <w:r w:rsidR="00FC411E">
        <w:t xml:space="preserve">The ACNC will provide guidance and education to registered </w:t>
      </w:r>
      <w:r w:rsidR="00CD20E7">
        <w:t>charities</w:t>
      </w:r>
      <w:r w:rsidR="00FC411E">
        <w:t xml:space="preserve"> to help them understand and comply with </w:t>
      </w:r>
      <w:r w:rsidR="003514FD">
        <w:t>option 3</w:t>
      </w:r>
      <w:r w:rsidR="00FC411E">
        <w:t>. Where a registered charity fails to comply with the governance standards, the ACNC may take appropriate enforcement action</w:t>
      </w:r>
      <w:r w:rsidR="003C0E79">
        <w:t xml:space="preserve"> (for example, the ACNC Commissioner</w:t>
      </w:r>
      <w:r w:rsidR="003717E9">
        <w:t xml:space="preserve"> could</w:t>
      </w:r>
      <w:r w:rsidR="003C0E79">
        <w:t xml:space="preserve"> </w:t>
      </w:r>
      <w:r w:rsidR="003717E9">
        <w:t xml:space="preserve">in certain circumstances issue formal warnings or give directions to comply with the provisions, or </w:t>
      </w:r>
      <w:r w:rsidR="003C0E79">
        <w:t>could consider revocation of a charity’s registration)</w:t>
      </w:r>
      <w:r w:rsidR="00FC411E">
        <w:t>.</w:t>
      </w:r>
    </w:p>
    <w:p w14:paraId="52EDD205" w14:textId="77777777" w:rsidR="00D10D59" w:rsidRPr="00F43DC8" w:rsidRDefault="00D10D59" w:rsidP="00D10D59">
      <w:pPr>
        <w:rPr>
          <w:b/>
          <w:bCs/>
          <w:i/>
        </w:rPr>
      </w:pPr>
      <w:r w:rsidRPr="00F43DC8" w:rsidDel="003B3E8F">
        <w:rPr>
          <w:b/>
          <w:bCs/>
          <w:i/>
        </w:rPr>
        <w:t xml:space="preserve">Option </w:t>
      </w:r>
      <w:r w:rsidR="00C97397">
        <w:rPr>
          <w:b/>
          <w:bCs/>
          <w:i/>
        </w:rPr>
        <w:t>4</w:t>
      </w:r>
      <w:r w:rsidRPr="00F43DC8" w:rsidDel="003B3E8F">
        <w:rPr>
          <w:b/>
          <w:bCs/>
          <w:i/>
        </w:rPr>
        <w:t xml:space="preserve"> – </w:t>
      </w:r>
      <w:r w:rsidR="0022483C" w:rsidRPr="00F43DC8">
        <w:rPr>
          <w:b/>
          <w:bCs/>
          <w:i/>
        </w:rPr>
        <w:t>Amendments to the Charities Act 2013</w:t>
      </w:r>
      <w:r w:rsidRPr="00F43DC8" w:rsidDel="003B3E8F">
        <w:rPr>
          <w:b/>
          <w:bCs/>
          <w:i/>
        </w:rPr>
        <w:t xml:space="preserve"> </w:t>
      </w:r>
    </w:p>
    <w:p w14:paraId="089EEE13" w14:textId="73ECCEEB" w:rsidR="00406F9D" w:rsidRDefault="00FF77FA" w:rsidP="00406F9D">
      <w:r w:rsidRPr="00FF77FA">
        <w:rPr>
          <w:bCs/>
        </w:rPr>
        <w:t xml:space="preserve">This </w:t>
      </w:r>
      <w:r>
        <w:rPr>
          <w:bCs/>
        </w:rPr>
        <w:t xml:space="preserve">option involves </w:t>
      </w:r>
      <w:r w:rsidR="00194148">
        <w:rPr>
          <w:bCs/>
        </w:rPr>
        <w:t xml:space="preserve">amendments to the </w:t>
      </w:r>
      <w:r w:rsidR="00194148">
        <w:rPr>
          <w:bCs/>
          <w:i/>
        </w:rPr>
        <w:t xml:space="preserve">Charities Act 2013 </w:t>
      </w:r>
      <w:r w:rsidR="00194148">
        <w:rPr>
          <w:bCs/>
        </w:rPr>
        <w:t xml:space="preserve">to provide additional clarity around the meaning of and circumstances where a registered charity may have a </w:t>
      </w:r>
      <w:r w:rsidR="00194148" w:rsidRPr="00194148">
        <w:rPr>
          <w:bCs/>
          <w:iCs/>
        </w:rPr>
        <w:t>disqualifying purpose</w:t>
      </w:r>
      <w:r w:rsidR="00194148" w:rsidRPr="00194148">
        <w:rPr>
          <w:bCs/>
        </w:rPr>
        <w:t> </w:t>
      </w:r>
      <w:r w:rsidR="00194148">
        <w:rPr>
          <w:bCs/>
        </w:rPr>
        <w:t>o</w:t>
      </w:r>
      <w:r w:rsidR="00194148" w:rsidRPr="00194148">
        <w:rPr>
          <w:bCs/>
        </w:rPr>
        <w:t xml:space="preserve">f </w:t>
      </w:r>
      <w:r w:rsidR="00194148">
        <w:rPr>
          <w:bCs/>
        </w:rPr>
        <w:t>‘</w:t>
      </w:r>
      <w:r w:rsidR="00194148" w:rsidRPr="00194148">
        <w:rPr>
          <w:bCs/>
        </w:rPr>
        <w:t>engaging in, or promoting, activities that are unlawful or contrary to public policy</w:t>
      </w:r>
      <w:r w:rsidR="00194148">
        <w:rPr>
          <w:bCs/>
        </w:rPr>
        <w:t>’.</w:t>
      </w:r>
      <w:r w:rsidR="00194148">
        <w:rPr>
          <w:rStyle w:val="FootnoteReference"/>
          <w:bCs/>
        </w:rPr>
        <w:footnoteReference w:id="7"/>
      </w:r>
      <w:r w:rsidR="00194148">
        <w:rPr>
          <w:bCs/>
        </w:rPr>
        <w:t xml:space="preserve"> </w:t>
      </w:r>
      <w:r w:rsidR="00F23A41">
        <w:t>The amendments could include examples of activities that are in scope and out of scope</w:t>
      </w:r>
      <w:r w:rsidR="00FF7109">
        <w:t xml:space="preserve"> (</w:t>
      </w:r>
      <w:r w:rsidR="000C0BB7">
        <w:t>including those</w:t>
      </w:r>
      <w:r w:rsidR="00FF7109">
        <w:t xml:space="preserve"> described in Option 3)</w:t>
      </w:r>
      <w:r w:rsidR="00F23A41">
        <w:t xml:space="preserve"> </w:t>
      </w:r>
      <w:r w:rsidR="00F73FB4">
        <w:t xml:space="preserve">in terms of what may contribute to a charity being at risk of having a disqualifying purpose, as well as clarification around what constitutes ‘promoting’ unlawful activities. </w:t>
      </w:r>
      <w:bookmarkStart w:id="25" w:name="_Toc58918223"/>
      <w:bookmarkStart w:id="26" w:name="_Toc51682493"/>
      <w:bookmarkStart w:id="27" w:name="_Toc51687347"/>
    </w:p>
    <w:p w14:paraId="6B3BD294" w14:textId="77777777" w:rsidR="00406F9D" w:rsidRDefault="00924C01" w:rsidP="00406F9D">
      <w:pPr>
        <w:pStyle w:val="Heading1numbered"/>
        <w:numPr>
          <w:ilvl w:val="0"/>
          <w:numId w:val="10"/>
        </w:numPr>
        <w:tabs>
          <w:tab w:val="clear" w:pos="567"/>
          <w:tab w:val="left" w:pos="360"/>
        </w:tabs>
      </w:pPr>
      <w:bookmarkStart w:id="28" w:name="_Toc72137345"/>
      <w:r w:rsidRPr="0055196E">
        <w:t>What is the l</w:t>
      </w:r>
      <w:r w:rsidR="00AC0515" w:rsidRPr="0055196E">
        <w:t>ikely net benefit of each option</w:t>
      </w:r>
      <w:r w:rsidRPr="0055196E">
        <w:t>?</w:t>
      </w:r>
      <w:bookmarkEnd w:id="25"/>
      <w:bookmarkEnd w:id="28"/>
    </w:p>
    <w:p w14:paraId="710A7A10" w14:textId="77777777" w:rsidR="00406F9D" w:rsidRPr="00504777" w:rsidRDefault="00EC4BC2" w:rsidP="00406F9D">
      <w:pPr>
        <w:rPr>
          <w:b/>
          <w:bCs/>
          <w:i/>
        </w:rPr>
      </w:pPr>
      <w:r w:rsidRPr="00504777">
        <w:rPr>
          <w:b/>
          <w:bCs/>
          <w:i/>
        </w:rPr>
        <w:t xml:space="preserve">Option </w:t>
      </w:r>
      <w:r w:rsidR="00C97397" w:rsidRPr="00504777">
        <w:rPr>
          <w:b/>
          <w:bCs/>
          <w:i/>
        </w:rPr>
        <w:t>1</w:t>
      </w:r>
      <w:r w:rsidRPr="00504777">
        <w:rPr>
          <w:b/>
          <w:bCs/>
          <w:i/>
        </w:rPr>
        <w:t xml:space="preserve"> – Maintain the status quo</w:t>
      </w:r>
    </w:p>
    <w:p w14:paraId="290E9BBA" w14:textId="05692710" w:rsidR="00216A23" w:rsidRPr="001607A4" w:rsidRDefault="00216A23" w:rsidP="00406F9D">
      <w:r w:rsidRPr="001607A4">
        <w:t>By its nature, this option would have no regulatory or compliance costs for registered charities, with the existing governance standard continuing unchanged.</w:t>
      </w:r>
    </w:p>
    <w:p w14:paraId="27B6D89B" w14:textId="06C07C81" w:rsidR="00C2135B" w:rsidRPr="001607A4" w:rsidRDefault="00216A23" w:rsidP="00C2135B">
      <w:r w:rsidRPr="001607A4">
        <w:t>However,</w:t>
      </w:r>
      <w:r w:rsidR="00C2135B" w:rsidRPr="001607A4">
        <w:t xml:space="preserve"> </w:t>
      </w:r>
      <w:r w:rsidR="00AA3A80">
        <w:t>i</w:t>
      </w:r>
      <w:r w:rsidR="00C2135B" w:rsidRPr="001607A4">
        <w:t xml:space="preserve">n the absence of a change in Australian Government policy the ACNC Commissioner would be unable to investigate and take appropriate enforcement action in </w:t>
      </w:r>
      <w:r w:rsidR="00EA0161">
        <w:t xml:space="preserve">potentially </w:t>
      </w:r>
      <w:r w:rsidR="00C2135B" w:rsidRPr="001607A4">
        <w:t>serious breaches of the law by a registered charity</w:t>
      </w:r>
      <w:r w:rsidR="00EA0161">
        <w:t xml:space="preserve"> in certain jurisdictions</w:t>
      </w:r>
      <w:r w:rsidR="00C2135B" w:rsidRPr="001607A4">
        <w:t xml:space="preserve">. </w:t>
      </w:r>
      <w:r w:rsidR="00EA0161">
        <w:t>C</w:t>
      </w:r>
      <w:r w:rsidR="00EA0161" w:rsidRPr="001607A4">
        <w:t xml:space="preserve">ontinued and unaddressed serious unlawful conduct by some charities </w:t>
      </w:r>
      <w:r w:rsidR="00C2135B" w:rsidRPr="001607A4">
        <w:t>compromises public perception of the ACNC as an effective regulator, potentially undermin</w:t>
      </w:r>
      <w:r w:rsidR="00EA0161">
        <w:t>ing</w:t>
      </w:r>
      <w:r w:rsidR="00C2135B" w:rsidRPr="001607A4">
        <w:t xml:space="preserve"> public trust and confidence in the charity </w:t>
      </w:r>
      <w:r w:rsidR="00DE292D" w:rsidRPr="001607A4">
        <w:t>sector</w:t>
      </w:r>
      <w:r w:rsidR="00DE292D">
        <w:t>.</w:t>
      </w:r>
      <w:r w:rsidR="00C2135B" w:rsidRPr="001607A4">
        <w:t xml:space="preserve"> </w:t>
      </w:r>
    </w:p>
    <w:p w14:paraId="22EEA4DB" w14:textId="670CFBD3" w:rsidR="00C2135B" w:rsidRPr="001607A4" w:rsidRDefault="00C2135B" w:rsidP="00C2135B">
      <w:r w:rsidRPr="001607A4">
        <w:t xml:space="preserve">As illustrated in </w:t>
      </w:r>
      <w:r w:rsidR="00B14B1F">
        <w:t>F</w:t>
      </w:r>
      <w:r w:rsidRPr="001607A4">
        <w:t xml:space="preserve">igure 1, serious unlawful conduct </w:t>
      </w:r>
      <w:r w:rsidR="00332D28">
        <w:t xml:space="preserve">can impose </w:t>
      </w:r>
      <w:r w:rsidR="00F278FD">
        <w:t xml:space="preserve">physical and economic harm </w:t>
      </w:r>
      <w:r w:rsidR="00332D28">
        <w:t xml:space="preserve">on </w:t>
      </w:r>
      <w:r w:rsidRPr="001607A4">
        <w:t xml:space="preserve">individuals or businesses </w:t>
      </w:r>
      <w:r w:rsidR="00332D28">
        <w:t xml:space="preserve">targeted by the </w:t>
      </w:r>
      <w:r w:rsidRPr="001607A4">
        <w:t>charit</w:t>
      </w:r>
      <w:r w:rsidR="00332D28">
        <w:t>y</w:t>
      </w:r>
      <w:r w:rsidRPr="001607A4">
        <w:t xml:space="preserve">. Stakeholder feedback (by a forestry industry </w:t>
      </w:r>
      <w:r w:rsidRPr="001607A4">
        <w:lastRenderedPageBreak/>
        <w:t xml:space="preserve">association) indicated that when registered charities have engaged in unlawful activities (such as trespass on private property, </w:t>
      </w:r>
      <w:r w:rsidR="002F181F">
        <w:t xml:space="preserve">vandalism </w:t>
      </w:r>
      <w:r w:rsidR="00A7786E">
        <w:t xml:space="preserve">or </w:t>
      </w:r>
      <w:r w:rsidR="002F181F">
        <w:t xml:space="preserve">theft </w:t>
      </w:r>
      <w:r w:rsidRPr="001607A4">
        <w:t xml:space="preserve">), it has directly cost the industry millions of dollars a year in disruptions to operations, and caused considerable distress to workers who are often </w:t>
      </w:r>
      <w:r w:rsidR="00A7786E">
        <w:t xml:space="preserve">subject to </w:t>
      </w:r>
      <w:r w:rsidRPr="001607A4">
        <w:t>intimidat</w:t>
      </w:r>
      <w:r w:rsidR="00A7786E">
        <w:t xml:space="preserve">ion </w:t>
      </w:r>
      <w:r w:rsidRPr="001607A4">
        <w:t>and harass</w:t>
      </w:r>
      <w:r w:rsidR="00A7786E">
        <w:t>ment</w:t>
      </w:r>
      <w:r w:rsidRPr="001607A4">
        <w:t>.</w:t>
      </w:r>
      <w:r w:rsidR="0060192D">
        <w:t xml:space="preserve"> Further, serious unlawful conduct</w:t>
      </w:r>
      <w:r w:rsidR="0060192D" w:rsidRPr="001607A4">
        <w:t xml:space="preserve"> </w:t>
      </w:r>
      <w:r w:rsidR="00A7786E">
        <w:t xml:space="preserve">can </w:t>
      </w:r>
      <w:r w:rsidR="0060192D" w:rsidRPr="001607A4">
        <w:t>also result in reputational costs and damage to the broader charity sector (including members, employees, volunteers and beneficiaries).</w:t>
      </w:r>
    </w:p>
    <w:p w14:paraId="082C9DF7" w14:textId="6A282F89" w:rsidR="00216A23" w:rsidRDefault="00C2135B" w:rsidP="00C2135B">
      <w:r w:rsidRPr="001607A4">
        <w:t>Additionally, in the absence of the Government clari</w:t>
      </w:r>
      <w:r w:rsidR="00A7786E">
        <w:t>fying</w:t>
      </w:r>
      <w:r w:rsidRPr="001607A4">
        <w:t xml:space="preserve"> the existing uncertainty and complexity in the law, charities (particularly those that operate across multiple jurisdictions) will continue to incur the administrative burden and expense of discerning the scope of unlawful activities prohibited under governance standard three.</w:t>
      </w:r>
    </w:p>
    <w:p w14:paraId="70765E10" w14:textId="22B478BB" w:rsidR="00D45EE7" w:rsidRPr="0055196E" w:rsidRDefault="00D45EE7" w:rsidP="006938BD">
      <w:pPr>
        <w:rPr>
          <w:b/>
          <w:i/>
        </w:rPr>
      </w:pPr>
      <w:r w:rsidRPr="0055196E">
        <w:rPr>
          <w:b/>
          <w:i/>
        </w:rPr>
        <w:t xml:space="preserve">Option </w:t>
      </w:r>
      <w:r w:rsidR="00535D1F">
        <w:rPr>
          <w:b/>
          <w:i/>
        </w:rPr>
        <w:t>2</w:t>
      </w:r>
      <w:r w:rsidRPr="0055196E">
        <w:rPr>
          <w:b/>
          <w:i/>
        </w:rPr>
        <w:t xml:space="preserve"> – </w:t>
      </w:r>
      <w:r w:rsidR="00DF36DE">
        <w:rPr>
          <w:b/>
          <w:i/>
        </w:rPr>
        <w:t xml:space="preserve">Voluntary </w:t>
      </w:r>
      <w:r w:rsidR="001A58DC">
        <w:rPr>
          <w:b/>
          <w:i/>
        </w:rPr>
        <w:t>e</w:t>
      </w:r>
      <w:r w:rsidR="00F43DC8">
        <w:rPr>
          <w:b/>
          <w:i/>
        </w:rPr>
        <w:t>ducation</w:t>
      </w:r>
    </w:p>
    <w:p w14:paraId="5664F3B3" w14:textId="0D200759" w:rsidR="00C2135B" w:rsidRPr="001607A4" w:rsidRDefault="00C2135B" w:rsidP="00D951C0">
      <w:r w:rsidRPr="001607A4">
        <w:t xml:space="preserve">This option would have little or no regulatory or compliance costs for registered charities as the </w:t>
      </w:r>
      <w:r w:rsidR="00A7786E">
        <w:t xml:space="preserve">sector would engage with the guidance material on a voluntary basis </w:t>
      </w:r>
      <w:r w:rsidRPr="001607A4">
        <w:t>and the existing governance standard w</w:t>
      </w:r>
      <w:r w:rsidR="00A7786E">
        <w:t xml:space="preserve">ould remain </w:t>
      </w:r>
      <w:r w:rsidRPr="001607A4">
        <w:t>unchanged.</w:t>
      </w:r>
    </w:p>
    <w:p w14:paraId="421CD71B" w14:textId="075E6FFC" w:rsidR="00227577" w:rsidRPr="001607A4" w:rsidRDefault="002A1DAF" w:rsidP="00D951C0">
      <w:r w:rsidRPr="001607A4">
        <w:t>The provision of guidance and education will provide some benefit to the sector as it would clarify that some serious offences related to trespa</w:t>
      </w:r>
      <w:r w:rsidR="00227577" w:rsidRPr="001607A4">
        <w:t>ss</w:t>
      </w:r>
      <w:r w:rsidR="00A53DFE">
        <w:t xml:space="preserve">, vandalism, theft, assault, </w:t>
      </w:r>
      <w:r w:rsidR="00E87E0B">
        <w:t xml:space="preserve">threatening harm, </w:t>
      </w:r>
      <w:r w:rsidRPr="001607A4">
        <w:t xml:space="preserve">and inciting another person to commit an offence are indictable offences in some Australian jurisdictions. In this sense, this option </w:t>
      </w:r>
      <w:r w:rsidR="00E87E0B">
        <w:t xml:space="preserve">will </w:t>
      </w:r>
      <w:r w:rsidRPr="001607A4">
        <w:t>provide clarity to charities where there is uncertainty about the scope of unlawful activities prohibited under governance standard three.</w:t>
      </w:r>
    </w:p>
    <w:p w14:paraId="2B752523" w14:textId="062025C7" w:rsidR="002A1DAF" w:rsidRDefault="00227577" w:rsidP="00D951C0">
      <w:r w:rsidRPr="001607A4">
        <w:t xml:space="preserve">However, option 2, like option 1, does not allow the ACNC to investigate some serious breaches of the law by a charity even where action is warranted to protect the charity’s assets, the people it serves, and more broadly, public trust and confidence in the charity sector. The cost of such inaction is </w:t>
      </w:r>
      <w:r w:rsidR="00E87E0B">
        <w:t xml:space="preserve">illustrated </w:t>
      </w:r>
      <w:r w:rsidRPr="001607A4">
        <w:t xml:space="preserve">in </w:t>
      </w:r>
      <w:r w:rsidR="00E87E0B">
        <w:t>F</w:t>
      </w:r>
      <w:r w:rsidRPr="001607A4">
        <w:t xml:space="preserve">igure 1 </w:t>
      </w:r>
      <w:r w:rsidR="00E87E0B">
        <w:t xml:space="preserve">and is supported by a written submission from </w:t>
      </w:r>
      <w:r w:rsidRPr="001607A4">
        <w:t>a forestry industry association that such serious breaches of the law are costing the sector millions of dollars per year in lost production.</w:t>
      </w:r>
    </w:p>
    <w:p w14:paraId="29B9BCF7" w14:textId="77777777" w:rsidR="00575081" w:rsidRPr="0055196E" w:rsidRDefault="00B77401" w:rsidP="00575081">
      <w:pPr>
        <w:rPr>
          <w:bCs/>
        </w:rPr>
      </w:pPr>
      <w:r w:rsidRPr="001C719F">
        <w:rPr>
          <w:b/>
          <w:bCs/>
          <w:i/>
        </w:rPr>
        <w:t xml:space="preserve">Option </w:t>
      </w:r>
      <w:r w:rsidR="00535D1F">
        <w:rPr>
          <w:b/>
          <w:bCs/>
          <w:i/>
        </w:rPr>
        <w:t>3</w:t>
      </w:r>
      <w:r w:rsidRPr="001C719F">
        <w:rPr>
          <w:b/>
          <w:bCs/>
          <w:i/>
        </w:rPr>
        <w:t xml:space="preserve"> – </w:t>
      </w:r>
      <w:r w:rsidR="001C719F" w:rsidRPr="001C719F">
        <w:rPr>
          <w:b/>
          <w:bCs/>
          <w:i/>
        </w:rPr>
        <w:t>Changes</w:t>
      </w:r>
      <w:r w:rsidR="001C719F" w:rsidRPr="00F43DC8">
        <w:rPr>
          <w:b/>
          <w:bCs/>
          <w:i/>
        </w:rPr>
        <w:t xml:space="preserve"> to governance standard three</w:t>
      </w:r>
    </w:p>
    <w:p w14:paraId="53AD75C9" w14:textId="2175055B" w:rsidR="002319C2" w:rsidRDefault="00471A04" w:rsidP="00644BE1">
      <w:r>
        <w:t>Option 3 is estimated to have a one-off regulatory cost of $1.4 million for large charities operating across multiple jurisdictions</w:t>
      </w:r>
      <w:r>
        <w:rPr>
          <w:rStyle w:val="FootnoteReference"/>
        </w:rPr>
        <w:footnoteReference w:id="8"/>
      </w:r>
      <w:r>
        <w:t>.</w:t>
      </w:r>
      <w:r w:rsidR="00D61A44">
        <w:t xml:space="preserve"> </w:t>
      </w:r>
      <w:r w:rsidR="00A2387A" w:rsidRPr="00A2387A">
        <w:t xml:space="preserve">This regulatory cost will be offset by </w:t>
      </w:r>
      <w:r w:rsidR="007C587B">
        <w:t xml:space="preserve">long term </w:t>
      </w:r>
      <w:r w:rsidR="00A2387A" w:rsidRPr="00A2387A">
        <w:t xml:space="preserve">reductions in </w:t>
      </w:r>
      <w:r w:rsidR="007C587B">
        <w:t xml:space="preserve">the </w:t>
      </w:r>
      <w:r w:rsidR="00A2387A" w:rsidRPr="00A2387A">
        <w:t xml:space="preserve">administrative burden for all registered charities who will no longer need to discern the scope of unlawful activities prohibited under governance standard three. </w:t>
      </w:r>
    </w:p>
    <w:p w14:paraId="098D26EB" w14:textId="77777777" w:rsidR="00075949" w:rsidRPr="00626F3B" w:rsidRDefault="00075949" w:rsidP="00075949">
      <w:pPr>
        <w:rPr>
          <w:rFonts w:cstheme="minorHAnsi"/>
          <w:i/>
        </w:rPr>
      </w:pPr>
      <w:r w:rsidRPr="00626F3B">
        <w:rPr>
          <w:rFonts w:cstheme="minorHAnsi"/>
          <w:i/>
        </w:rPr>
        <w:t>Existing regulatory burden</w:t>
      </w:r>
    </w:p>
    <w:p w14:paraId="36C8719C" w14:textId="0A257EF4" w:rsidR="004D5756" w:rsidRPr="00626F3B" w:rsidRDefault="004D5756" w:rsidP="004221CF">
      <w:pPr>
        <w:rPr>
          <w:rFonts w:cstheme="minorHAnsi"/>
        </w:rPr>
      </w:pPr>
      <w:r>
        <w:rPr>
          <w:rFonts w:cstheme="minorHAnsi"/>
        </w:rPr>
        <w:t xml:space="preserve">The revised governance standard does not impose a new burden on charities as they are already required to follow Australian laws. Acting lawfully protects a charity’s assets, reputation, and the people it works with. </w:t>
      </w:r>
      <w:r w:rsidR="004221CF">
        <w:rPr>
          <w:rFonts w:cstheme="minorHAnsi"/>
        </w:rPr>
        <w:t xml:space="preserve">Therefore, </w:t>
      </w:r>
      <w:r>
        <w:rPr>
          <w:rFonts w:cstheme="minorHAnsi"/>
        </w:rPr>
        <w:t xml:space="preserve">registered charities </w:t>
      </w:r>
      <w:r w:rsidR="004221CF">
        <w:rPr>
          <w:rFonts w:cstheme="minorHAnsi"/>
        </w:rPr>
        <w:t xml:space="preserve">already </w:t>
      </w:r>
      <w:r>
        <w:rPr>
          <w:rFonts w:cstheme="minorHAnsi"/>
        </w:rPr>
        <w:t>should have governance processes in place to ensure they do not engage in such activities</w:t>
      </w:r>
      <w:r w:rsidR="004221CF">
        <w:rPr>
          <w:rFonts w:cstheme="minorHAnsi"/>
        </w:rPr>
        <w:t>, including</w:t>
      </w:r>
      <w:r>
        <w:rPr>
          <w:rFonts w:cstheme="minorHAnsi"/>
        </w:rPr>
        <w:t>:</w:t>
      </w:r>
    </w:p>
    <w:p w14:paraId="42BB49E9" w14:textId="71F5648B" w:rsidR="004D5756" w:rsidRPr="00626F3B" w:rsidRDefault="004221CF" w:rsidP="004D5756">
      <w:pPr>
        <w:pStyle w:val="Bullet"/>
        <w:rPr>
          <w:rFonts w:cstheme="minorHAnsi"/>
        </w:rPr>
      </w:pPr>
      <w:r>
        <w:rPr>
          <w:rFonts w:cstheme="minorHAnsi"/>
        </w:rPr>
        <w:t>i</w:t>
      </w:r>
      <w:r w:rsidR="004D5756">
        <w:rPr>
          <w:rFonts w:cstheme="minorHAnsi"/>
        </w:rPr>
        <w:t>nternal controls,</w:t>
      </w:r>
      <w:r w:rsidR="004D5756" w:rsidRPr="00626F3B">
        <w:rPr>
          <w:rFonts w:cstheme="minorHAnsi"/>
        </w:rPr>
        <w:t xml:space="preserve"> policies and procedures</w:t>
      </w:r>
      <w:r w:rsidR="004D5756">
        <w:rPr>
          <w:rFonts w:cstheme="minorHAnsi"/>
        </w:rPr>
        <w:t xml:space="preserve"> to ensure the proper use of the c</w:t>
      </w:r>
      <w:r w:rsidR="004D5756" w:rsidRPr="00626F3B">
        <w:rPr>
          <w:rFonts w:cstheme="minorHAnsi"/>
        </w:rPr>
        <w:t>harit</w:t>
      </w:r>
      <w:r w:rsidR="004D5756">
        <w:rPr>
          <w:rFonts w:cstheme="minorHAnsi"/>
        </w:rPr>
        <w:t xml:space="preserve">y’s resources (e.g. access controls for who can use the charity’s funds, office and </w:t>
      </w:r>
      <w:r w:rsidR="004D5756" w:rsidRPr="00626F3B">
        <w:rPr>
          <w:rFonts w:cstheme="minorHAnsi"/>
        </w:rPr>
        <w:t>social media</w:t>
      </w:r>
      <w:r w:rsidR="004D5756">
        <w:rPr>
          <w:rFonts w:cstheme="minorHAnsi"/>
        </w:rPr>
        <w:t xml:space="preserve"> accounts</w:t>
      </w:r>
      <w:proofErr w:type="gramStart"/>
      <w:r w:rsidR="004D5756">
        <w:rPr>
          <w:rFonts w:cstheme="minorHAnsi"/>
        </w:rPr>
        <w:t>)</w:t>
      </w:r>
      <w:r>
        <w:rPr>
          <w:rFonts w:cstheme="minorHAnsi"/>
        </w:rPr>
        <w:t>;</w:t>
      </w:r>
      <w:proofErr w:type="gramEnd"/>
    </w:p>
    <w:p w14:paraId="260F3A20" w14:textId="3BF35227" w:rsidR="004D5756" w:rsidRPr="00626F3B" w:rsidRDefault="004221CF" w:rsidP="004D5756">
      <w:pPr>
        <w:pStyle w:val="Bullet"/>
        <w:rPr>
          <w:rFonts w:cstheme="minorHAnsi"/>
        </w:rPr>
      </w:pPr>
      <w:r>
        <w:rPr>
          <w:rFonts w:cstheme="minorHAnsi"/>
        </w:rPr>
        <w:t>s</w:t>
      </w:r>
      <w:r w:rsidR="004D5756" w:rsidRPr="00626F3B">
        <w:rPr>
          <w:rFonts w:cstheme="minorHAnsi"/>
        </w:rPr>
        <w:t xml:space="preserve">taff </w:t>
      </w:r>
      <w:proofErr w:type="gramStart"/>
      <w:r w:rsidR="004D5756" w:rsidRPr="00626F3B">
        <w:rPr>
          <w:rFonts w:cstheme="minorHAnsi"/>
        </w:rPr>
        <w:t>training</w:t>
      </w:r>
      <w:r>
        <w:rPr>
          <w:rFonts w:cstheme="minorHAnsi"/>
        </w:rPr>
        <w:t>;</w:t>
      </w:r>
      <w:proofErr w:type="gramEnd"/>
    </w:p>
    <w:p w14:paraId="3135A63B" w14:textId="1974BA70" w:rsidR="004D5756" w:rsidRDefault="004221CF" w:rsidP="004D5756">
      <w:pPr>
        <w:pStyle w:val="Bullet"/>
        <w:rPr>
          <w:rFonts w:cstheme="minorHAnsi"/>
        </w:rPr>
      </w:pPr>
      <w:r>
        <w:rPr>
          <w:rFonts w:cstheme="minorHAnsi"/>
        </w:rPr>
        <w:lastRenderedPageBreak/>
        <w:t>a</w:t>
      </w:r>
      <w:r w:rsidR="004D5756" w:rsidRPr="00626F3B">
        <w:rPr>
          <w:rFonts w:cstheme="minorHAnsi"/>
        </w:rPr>
        <w:t>d hoc risk assessments on an on-going basis</w:t>
      </w:r>
      <w:r>
        <w:rPr>
          <w:rFonts w:cstheme="minorHAnsi"/>
        </w:rPr>
        <w:t>; and</w:t>
      </w:r>
    </w:p>
    <w:p w14:paraId="42FA5174" w14:textId="48F3AA19" w:rsidR="004D5756" w:rsidRPr="00FB1889" w:rsidRDefault="004221CF" w:rsidP="004D5756">
      <w:pPr>
        <w:pStyle w:val="Bullet"/>
        <w:rPr>
          <w:rFonts w:cstheme="minorHAnsi"/>
        </w:rPr>
      </w:pPr>
      <w:r w:rsidRPr="001E0583">
        <w:rPr>
          <w:rFonts w:cstheme="minorHAnsi"/>
        </w:rPr>
        <w:t>p</w:t>
      </w:r>
      <w:r w:rsidR="004D5756" w:rsidRPr="001E0583">
        <w:rPr>
          <w:rFonts w:cstheme="minorHAnsi"/>
        </w:rPr>
        <w:t>rocedures</w:t>
      </w:r>
      <w:r w:rsidR="004D5756">
        <w:t xml:space="preserve"> to address misuse promptly where a charity’s resources have been </w:t>
      </w:r>
      <w:r w:rsidR="004D5756" w:rsidRPr="0001223B">
        <w:t>improper</w:t>
      </w:r>
      <w:r w:rsidR="004D5756">
        <w:t>ly</w:t>
      </w:r>
      <w:r w:rsidR="004D5756" w:rsidRPr="0001223B">
        <w:t xml:space="preserve"> use</w:t>
      </w:r>
      <w:r w:rsidR="004D5756">
        <w:t>d.</w:t>
      </w:r>
    </w:p>
    <w:p w14:paraId="071AAD01" w14:textId="7EBA53F7" w:rsidR="00075949" w:rsidRDefault="00BA596B" w:rsidP="00075949">
      <w:pPr>
        <w:rPr>
          <w:rFonts w:cstheme="minorHAnsi"/>
        </w:rPr>
      </w:pPr>
      <w:r>
        <w:t xml:space="preserve">Further, </w:t>
      </w:r>
      <w:r w:rsidR="00D242E4">
        <w:rPr>
          <w:rFonts w:cstheme="minorHAnsi"/>
        </w:rPr>
        <w:t>i</w:t>
      </w:r>
      <w:r w:rsidR="00075949">
        <w:rPr>
          <w:rFonts w:cstheme="minorHAnsi"/>
        </w:rPr>
        <w:t>n addition to the current obligations under governance standard three,</w:t>
      </w:r>
      <w:r>
        <w:rPr>
          <w:rFonts w:cstheme="minorHAnsi"/>
        </w:rPr>
        <w:t xml:space="preserve"> </w:t>
      </w:r>
      <w:r w:rsidR="00D242E4">
        <w:rPr>
          <w:rFonts w:cstheme="minorHAnsi"/>
        </w:rPr>
        <w:t>govern</w:t>
      </w:r>
      <w:r w:rsidR="00B14B1F">
        <w:rPr>
          <w:rFonts w:cstheme="minorHAnsi"/>
        </w:rPr>
        <w:t>ance</w:t>
      </w:r>
      <w:r w:rsidR="00D242E4">
        <w:rPr>
          <w:rFonts w:cstheme="minorHAnsi"/>
        </w:rPr>
        <w:t xml:space="preserve"> standard five </w:t>
      </w:r>
      <w:r>
        <w:rPr>
          <w:rFonts w:cstheme="minorHAnsi"/>
        </w:rPr>
        <w:t xml:space="preserve">requires </w:t>
      </w:r>
      <w:r w:rsidR="00075949">
        <w:rPr>
          <w:rFonts w:cstheme="minorHAnsi"/>
        </w:rPr>
        <w:t>r</w:t>
      </w:r>
      <w:r w:rsidR="00075949" w:rsidRPr="00626F3B">
        <w:rPr>
          <w:rFonts w:cstheme="minorHAnsi"/>
        </w:rPr>
        <w:t xml:space="preserve">esponsible persons of charities </w:t>
      </w:r>
      <w:r>
        <w:rPr>
          <w:rFonts w:cstheme="minorHAnsi"/>
        </w:rPr>
        <w:t>(i</w:t>
      </w:r>
      <w:r w:rsidR="00B14B1F">
        <w:rPr>
          <w:rFonts w:cstheme="minorHAnsi"/>
        </w:rPr>
        <w:t>.</w:t>
      </w:r>
      <w:r>
        <w:rPr>
          <w:rFonts w:cstheme="minorHAnsi"/>
        </w:rPr>
        <w:t>e</w:t>
      </w:r>
      <w:r w:rsidR="00B14B1F">
        <w:rPr>
          <w:rFonts w:cstheme="minorHAnsi"/>
        </w:rPr>
        <w:t>.</w:t>
      </w:r>
      <w:r>
        <w:rPr>
          <w:rFonts w:cstheme="minorHAnsi"/>
        </w:rPr>
        <w:t xml:space="preserve"> directors) </w:t>
      </w:r>
      <w:r w:rsidR="00075949" w:rsidRPr="00626F3B">
        <w:rPr>
          <w:rFonts w:cstheme="minorHAnsi"/>
        </w:rPr>
        <w:t xml:space="preserve">to ensure a charity’s financial affairs are managed in a responsible manner. </w:t>
      </w:r>
      <w:r w:rsidR="00D242E4">
        <w:rPr>
          <w:rFonts w:cstheme="minorHAnsi"/>
        </w:rPr>
        <w:t>This means c</w:t>
      </w:r>
      <w:r w:rsidR="00075949" w:rsidRPr="00626F3B">
        <w:rPr>
          <w:rFonts w:cstheme="minorHAnsi"/>
        </w:rPr>
        <w:t>harities should have governance processes, internal controls and safeguards in place to ensure good, safe and responsible governance of the</w:t>
      </w:r>
      <w:r w:rsidR="00075949">
        <w:rPr>
          <w:rFonts w:cstheme="minorHAnsi"/>
        </w:rPr>
        <w:t xml:space="preserve">ir financial affairs and assets. </w:t>
      </w:r>
      <w:r w:rsidR="00D242E4">
        <w:rPr>
          <w:rFonts w:cstheme="minorHAnsi"/>
        </w:rPr>
        <w:t xml:space="preserve"> </w:t>
      </w:r>
      <w:r w:rsidR="00075949">
        <w:rPr>
          <w:rFonts w:cstheme="minorHAnsi"/>
        </w:rPr>
        <w:t xml:space="preserve">For </w:t>
      </w:r>
      <w:r w:rsidR="00075949" w:rsidRPr="00626F3B">
        <w:rPr>
          <w:rFonts w:cstheme="minorHAnsi"/>
        </w:rPr>
        <w:t>example</w:t>
      </w:r>
      <w:r w:rsidR="00075949">
        <w:rPr>
          <w:rFonts w:cstheme="minorHAnsi"/>
        </w:rPr>
        <w:t xml:space="preserve">, a registered charity may have access controls in place to ensure only authorised persons can access and use </w:t>
      </w:r>
      <w:r w:rsidR="00075949" w:rsidRPr="00626F3B">
        <w:rPr>
          <w:rFonts w:cstheme="minorHAnsi"/>
        </w:rPr>
        <w:t xml:space="preserve">the registered charity’s </w:t>
      </w:r>
      <w:r w:rsidR="00075949">
        <w:rPr>
          <w:rFonts w:cstheme="minorHAnsi"/>
        </w:rPr>
        <w:t>bank account and</w:t>
      </w:r>
      <w:r w:rsidR="00075949" w:rsidRPr="00626F3B">
        <w:rPr>
          <w:rFonts w:cstheme="minorHAnsi"/>
        </w:rPr>
        <w:t xml:space="preserve"> premises.</w:t>
      </w:r>
    </w:p>
    <w:p w14:paraId="521D6C5A" w14:textId="76690863" w:rsidR="00D242E4" w:rsidRDefault="00D242E4" w:rsidP="00D242E4">
      <w:pPr>
        <w:spacing w:before="240"/>
        <w:rPr>
          <w:rFonts w:cstheme="minorHAnsi"/>
        </w:rPr>
      </w:pPr>
      <w:r w:rsidRPr="00626F3B">
        <w:rPr>
          <w:rFonts w:cstheme="minorHAnsi"/>
        </w:rPr>
        <w:t>A</w:t>
      </w:r>
      <w:r>
        <w:rPr>
          <w:rFonts w:cstheme="minorHAnsi"/>
        </w:rPr>
        <w:t>dditionally, a</w:t>
      </w:r>
      <w:r w:rsidRPr="00626F3B">
        <w:rPr>
          <w:rFonts w:cstheme="minorHAnsi"/>
        </w:rPr>
        <w:t xml:space="preserve"> registered charity is required to notify the ACNC Commissioner of any fact or circumstance that may affect their entitlement to registration</w:t>
      </w:r>
      <w:r>
        <w:rPr>
          <w:rFonts w:cstheme="minorHAnsi"/>
        </w:rPr>
        <w:t>,</w:t>
      </w:r>
      <w:r w:rsidRPr="00626F3B">
        <w:rPr>
          <w:rFonts w:cstheme="minorHAnsi"/>
        </w:rPr>
        <w:t xml:space="preserve"> including if the charity does not comply with a governance standard or external conduct standard.</w:t>
      </w:r>
      <w:r>
        <w:rPr>
          <w:rStyle w:val="FootnoteReference"/>
          <w:rFonts w:cstheme="minorHAnsi"/>
        </w:rPr>
        <w:footnoteReference w:id="9"/>
      </w:r>
      <w:r>
        <w:rPr>
          <w:rFonts w:cstheme="minorHAnsi"/>
        </w:rPr>
        <w:t xml:space="preserve"> </w:t>
      </w:r>
      <w:r w:rsidRPr="00444BB1">
        <w:rPr>
          <w:rFonts w:cstheme="minorHAnsi"/>
        </w:rPr>
        <w:t xml:space="preserve">Under the ACNC Act </w:t>
      </w:r>
      <w:r>
        <w:rPr>
          <w:rFonts w:cstheme="minorHAnsi"/>
        </w:rPr>
        <w:t>a registered charity m</w:t>
      </w:r>
      <w:r w:rsidRPr="00444BB1">
        <w:rPr>
          <w:rFonts w:cstheme="minorHAnsi"/>
        </w:rPr>
        <w:t xml:space="preserve">ust notify </w:t>
      </w:r>
      <w:r>
        <w:rPr>
          <w:rFonts w:cstheme="minorHAnsi"/>
        </w:rPr>
        <w:t xml:space="preserve">the ACNC </w:t>
      </w:r>
      <w:r w:rsidRPr="00444BB1">
        <w:rPr>
          <w:rFonts w:cstheme="minorHAnsi"/>
        </w:rPr>
        <w:t xml:space="preserve">within 28 days of becoming aware </w:t>
      </w:r>
      <w:r>
        <w:rPr>
          <w:rFonts w:cstheme="minorHAnsi"/>
        </w:rPr>
        <w:t>that it may have contravened the new provisions.</w:t>
      </w:r>
      <w:r w:rsidR="00090514">
        <w:rPr>
          <w:rFonts w:cstheme="minorHAnsi"/>
        </w:rPr>
        <w:t xml:space="preserve">  </w:t>
      </w:r>
    </w:p>
    <w:p w14:paraId="6F71B9A9" w14:textId="35A01C7C" w:rsidR="00075949" w:rsidRDefault="007A5BDC" w:rsidP="00075949">
      <w:pPr>
        <w:spacing w:before="240"/>
        <w:rPr>
          <w:rFonts w:cstheme="minorHAnsi"/>
        </w:rPr>
      </w:pPr>
      <w:r>
        <w:rPr>
          <w:rFonts w:cstheme="minorHAnsi"/>
        </w:rPr>
        <w:t xml:space="preserve">Accordingly, all registered charities will have </w:t>
      </w:r>
      <w:r w:rsidR="007E6882">
        <w:rPr>
          <w:rFonts w:cstheme="minorHAnsi"/>
        </w:rPr>
        <w:t xml:space="preserve">some </w:t>
      </w:r>
      <w:r>
        <w:rPr>
          <w:rFonts w:cstheme="minorHAnsi"/>
        </w:rPr>
        <w:t>established governance processes in place to m</w:t>
      </w:r>
      <w:r w:rsidR="007E6882">
        <w:rPr>
          <w:rFonts w:cstheme="minorHAnsi"/>
        </w:rPr>
        <w:t>e</w:t>
      </w:r>
      <w:r>
        <w:rPr>
          <w:rFonts w:cstheme="minorHAnsi"/>
        </w:rPr>
        <w:t xml:space="preserve">et their existing obligations under </w:t>
      </w:r>
      <w:r w:rsidR="007E6882">
        <w:rPr>
          <w:rFonts w:cstheme="minorHAnsi"/>
        </w:rPr>
        <w:t xml:space="preserve">Australian laws and </w:t>
      </w:r>
      <w:r>
        <w:rPr>
          <w:rFonts w:cstheme="minorHAnsi"/>
        </w:rPr>
        <w:t xml:space="preserve">the ACNC Act.  </w:t>
      </w:r>
      <w:r w:rsidR="007E6882">
        <w:rPr>
          <w:rFonts w:cstheme="minorHAnsi"/>
        </w:rPr>
        <w:t xml:space="preserve">However, the </w:t>
      </w:r>
      <w:r w:rsidR="001A58DC">
        <w:rPr>
          <w:rFonts w:cstheme="minorHAnsi"/>
        </w:rPr>
        <w:t xml:space="preserve">extent of the internal controls implemented by a registered charity </w:t>
      </w:r>
      <w:r w:rsidR="00075949" w:rsidRPr="00EF106F">
        <w:rPr>
          <w:rFonts w:cstheme="minorHAnsi"/>
        </w:rPr>
        <w:t xml:space="preserve">will </w:t>
      </w:r>
      <w:r w:rsidR="00075949">
        <w:rPr>
          <w:rFonts w:cstheme="minorHAnsi"/>
        </w:rPr>
        <w:t xml:space="preserve">inevitably </w:t>
      </w:r>
      <w:r w:rsidR="00075949" w:rsidRPr="00EF106F">
        <w:rPr>
          <w:rFonts w:cstheme="minorHAnsi"/>
        </w:rPr>
        <w:t xml:space="preserve">depend on </w:t>
      </w:r>
      <w:r w:rsidR="00D242E4">
        <w:rPr>
          <w:rFonts w:cstheme="minorHAnsi"/>
        </w:rPr>
        <w:t xml:space="preserve">its </w:t>
      </w:r>
      <w:r w:rsidR="00075949" w:rsidRPr="00626F3B">
        <w:rPr>
          <w:rFonts w:cstheme="minorHAnsi"/>
        </w:rPr>
        <w:t>particular circumstances</w:t>
      </w:r>
      <w:r w:rsidR="00075949">
        <w:rPr>
          <w:rFonts w:cstheme="minorHAnsi"/>
        </w:rPr>
        <w:t xml:space="preserve">. For example, a small charity that does not have a social media presence and does not involve itself in protest-based advocacy activities </w:t>
      </w:r>
      <w:r w:rsidR="001D4AB4">
        <w:rPr>
          <w:rFonts w:cstheme="minorHAnsi"/>
        </w:rPr>
        <w:t>would only be expected to have simple governance processes in place</w:t>
      </w:r>
      <w:r w:rsidR="001A58DC">
        <w:rPr>
          <w:rFonts w:cstheme="minorHAnsi"/>
        </w:rPr>
        <w:t>.</w:t>
      </w:r>
    </w:p>
    <w:p w14:paraId="35BE9336" w14:textId="77777777" w:rsidR="00075949" w:rsidRPr="00626F3B" w:rsidRDefault="00075949" w:rsidP="00075949">
      <w:pPr>
        <w:rPr>
          <w:rFonts w:cstheme="minorHAnsi"/>
          <w:i/>
        </w:rPr>
      </w:pPr>
      <w:r w:rsidRPr="00626F3B">
        <w:rPr>
          <w:rFonts w:cstheme="minorHAnsi"/>
          <w:i/>
        </w:rPr>
        <w:t>Regulatory burden associated with the change</w:t>
      </w:r>
    </w:p>
    <w:p w14:paraId="01F89D50" w14:textId="067C24C2" w:rsidR="004F563D" w:rsidRDefault="00075949" w:rsidP="00717AC1">
      <w:pPr>
        <w:rPr>
          <w:rFonts w:cstheme="minorHAnsi"/>
        </w:rPr>
      </w:pPr>
      <w:r w:rsidRPr="001A7FC7">
        <w:t>Given the existing regulator</w:t>
      </w:r>
      <w:r w:rsidRPr="009118BE">
        <w:t xml:space="preserve">y burden </w:t>
      </w:r>
      <w:r w:rsidR="001A58DC" w:rsidRPr="009118BE">
        <w:t>to</w:t>
      </w:r>
      <w:r w:rsidRPr="009118BE">
        <w:t xml:space="preserve"> comply with current </w:t>
      </w:r>
      <w:r w:rsidR="001D4AB4">
        <w:t>obligations under Australian laws and the ACNC Act</w:t>
      </w:r>
      <w:r w:rsidRPr="009118BE">
        <w:t>,</w:t>
      </w:r>
      <w:r w:rsidRPr="009118BE">
        <w:rPr>
          <w:rFonts w:cstheme="minorHAnsi"/>
        </w:rPr>
        <w:t xml:space="preserve"> this option is not expected to create additional ongoing regulatory costs for registered charities. </w:t>
      </w:r>
    </w:p>
    <w:p w14:paraId="45C8B513" w14:textId="673EE70A" w:rsidR="00DC7BDE" w:rsidRPr="00717AC1" w:rsidRDefault="004F563D" w:rsidP="00717AC1">
      <w:pPr>
        <w:rPr>
          <w:rFonts w:cstheme="minorHAnsi"/>
        </w:rPr>
      </w:pPr>
      <w:r>
        <w:rPr>
          <w:rFonts w:cstheme="minorHAnsi"/>
        </w:rPr>
        <w:t>However, i</w:t>
      </w:r>
      <w:r w:rsidR="00DC7BDE" w:rsidRPr="00717AC1">
        <w:rPr>
          <w:rFonts w:cstheme="minorHAnsi"/>
        </w:rPr>
        <w:t xml:space="preserve">t is expected that </w:t>
      </w:r>
      <w:r>
        <w:rPr>
          <w:rFonts w:cstheme="minorHAnsi"/>
        </w:rPr>
        <w:t xml:space="preserve">some </w:t>
      </w:r>
      <w:r w:rsidR="00DC7BDE" w:rsidRPr="00717AC1">
        <w:rPr>
          <w:rFonts w:cstheme="minorHAnsi"/>
        </w:rPr>
        <w:t>registered charities</w:t>
      </w:r>
      <w:r w:rsidR="00E518EB">
        <w:rPr>
          <w:rFonts w:cstheme="minorHAnsi"/>
        </w:rPr>
        <w:t xml:space="preserve"> </w:t>
      </w:r>
      <w:r w:rsidR="00DC7BDE" w:rsidRPr="00717AC1">
        <w:rPr>
          <w:rFonts w:cstheme="minorHAnsi"/>
        </w:rPr>
        <w:t xml:space="preserve">may </w:t>
      </w:r>
      <w:r w:rsidR="009D255A">
        <w:rPr>
          <w:rFonts w:cstheme="minorHAnsi"/>
        </w:rPr>
        <w:t xml:space="preserve">initiate </w:t>
      </w:r>
      <w:r w:rsidR="00DC7BDE" w:rsidRPr="00717AC1">
        <w:rPr>
          <w:rFonts w:cstheme="minorHAnsi"/>
        </w:rPr>
        <w:t xml:space="preserve">a </w:t>
      </w:r>
      <w:r w:rsidR="00CA149D">
        <w:rPr>
          <w:rFonts w:cstheme="minorHAnsi"/>
        </w:rPr>
        <w:t xml:space="preserve">one-off </w:t>
      </w:r>
      <w:r w:rsidR="00DC7BDE" w:rsidRPr="00717AC1">
        <w:rPr>
          <w:rFonts w:cstheme="minorHAnsi"/>
        </w:rPr>
        <w:t xml:space="preserve">review of their existing internal control procedures to ensure that they are compliant with existing requirements as well as the revised governance standard three. Specifically, charities would need to ensure their internal control procedures appropriately and reasonably protect their resources from being used to actively promote unlawful activities. </w:t>
      </w:r>
    </w:p>
    <w:p w14:paraId="7CAB02CC" w14:textId="25B8BA41" w:rsidR="00CA149D" w:rsidRPr="00B8658F" w:rsidRDefault="00CA149D" w:rsidP="00CA149D">
      <w:pPr>
        <w:rPr>
          <w:bCs/>
        </w:rPr>
      </w:pPr>
      <w:r w:rsidRPr="00717AC1">
        <w:rPr>
          <w:bCs/>
        </w:rPr>
        <w:t>The requirement to maintain reasonable internal control procedures needs to be determined objectively and take into consideration the specific circumstances of the registered charity (including its size, purpose, and activities). The vast majority of registered charities are small in size</w:t>
      </w:r>
      <w:r w:rsidR="00263E00">
        <w:rPr>
          <w:bCs/>
        </w:rPr>
        <w:t xml:space="preserve">, with only around half maintaining an online presence.  These charities </w:t>
      </w:r>
      <w:r w:rsidRPr="00717AC1">
        <w:rPr>
          <w:bCs/>
        </w:rPr>
        <w:t xml:space="preserve">could be expected to have simple internal control arrangements which may not require being reviewed as a result of the change. In contrast, large charities operating across multiple jurisdictions will have established more sophisticated internal procedures which may need to be reviewed. </w:t>
      </w:r>
    </w:p>
    <w:p w14:paraId="2F0D3B88" w14:textId="334775D3" w:rsidR="004E5A77" w:rsidRDefault="00DC7BDE" w:rsidP="00DC7BDE">
      <w:pPr>
        <w:rPr>
          <w:rFonts w:cstheme="minorHAnsi"/>
        </w:rPr>
      </w:pPr>
      <w:r w:rsidRPr="00717AC1">
        <w:rPr>
          <w:rFonts w:cstheme="minorHAnsi"/>
        </w:rPr>
        <w:t xml:space="preserve">Based on ACNC data, it is estimated that around 50,000 </w:t>
      </w:r>
      <w:r w:rsidR="009D255A">
        <w:rPr>
          <w:rFonts w:cstheme="minorHAnsi"/>
        </w:rPr>
        <w:t xml:space="preserve">registered </w:t>
      </w:r>
      <w:r w:rsidRPr="00717AC1">
        <w:rPr>
          <w:rFonts w:cstheme="minorHAnsi"/>
        </w:rPr>
        <w:t>charities would be required to comply with the revised governance standard. This estimate does not include Basic Religious Charities which do not have to comply with the governance standards</w:t>
      </w:r>
      <w:r w:rsidR="00922537">
        <w:rPr>
          <w:rStyle w:val="FootnoteReference"/>
          <w:rFonts w:cstheme="minorHAnsi"/>
        </w:rPr>
        <w:footnoteReference w:id="10"/>
      </w:r>
      <w:r w:rsidRPr="00717AC1">
        <w:rPr>
          <w:rFonts w:cstheme="minorHAnsi"/>
        </w:rPr>
        <w:t xml:space="preserve">. </w:t>
      </w:r>
      <w:r w:rsidR="00684149">
        <w:rPr>
          <w:rFonts w:cstheme="minorHAnsi"/>
        </w:rPr>
        <w:t xml:space="preserve">Of these </w:t>
      </w:r>
      <w:r w:rsidR="00263E00">
        <w:rPr>
          <w:rFonts w:cstheme="minorHAnsi"/>
        </w:rPr>
        <w:t xml:space="preserve">registered charities, around 9,500 are large charities, that is, they have revenue of $1 million or more </w:t>
      </w:r>
      <w:r w:rsidR="00FD24E6">
        <w:rPr>
          <w:rFonts w:cstheme="minorHAnsi"/>
        </w:rPr>
        <w:t xml:space="preserve">per annum.  Assuming that </w:t>
      </w:r>
      <w:r w:rsidR="006F3E03">
        <w:rPr>
          <w:rFonts w:cstheme="minorHAnsi"/>
        </w:rPr>
        <w:t xml:space="preserve">all large </w:t>
      </w:r>
      <w:r w:rsidR="00FD24E6">
        <w:rPr>
          <w:rFonts w:cstheme="minorHAnsi"/>
        </w:rPr>
        <w:t xml:space="preserve">registered charities undertake a one-off </w:t>
      </w:r>
      <w:r w:rsidR="007639E8">
        <w:rPr>
          <w:rFonts w:cstheme="minorHAnsi"/>
        </w:rPr>
        <w:t>two-hour</w:t>
      </w:r>
      <w:r w:rsidR="00FD24E6">
        <w:rPr>
          <w:rFonts w:cstheme="minorHAnsi"/>
        </w:rPr>
        <w:t xml:space="preserve"> review of their internal </w:t>
      </w:r>
      <w:r w:rsidR="00FD24E6">
        <w:rPr>
          <w:rFonts w:cstheme="minorHAnsi"/>
        </w:rPr>
        <w:lastRenderedPageBreak/>
        <w:t>control procedures, this would impose a one-off regulatory cost of $1.4 million for large charities</w:t>
      </w:r>
      <w:r w:rsidR="00295371">
        <w:rPr>
          <w:rFonts w:cstheme="minorHAnsi"/>
        </w:rPr>
        <w:t xml:space="preserve"> (refer Table</w:t>
      </w:r>
      <w:r w:rsidR="004E5A77">
        <w:rPr>
          <w:rFonts w:cstheme="minorHAnsi"/>
        </w:rPr>
        <w:t xml:space="preserve"> </w:t>
      </w:r>
      <w:r w:rsidR="00295371">
        <w:rPr>
          <w:rFonts w:cstheme="minorHAnsi"/>
        </w:rPr>
        <w:t>2)</w:t>
      </w:r>
      <w:r w:rsidR="00192E03">
        <w:rPr>
          <w:rStyle w:val="FootnoteReference"/>
          <w:rFonts w:cstheme="minorHAnsi"/>
        </w:rPr>
        <w:footnoteReference w:id="11"/>
      </w:r>
      <w:r w:rsidR="00FD24E6">
        <w:rPr>
          <w:rFonts w:cstheme="minorHAnsi"/>
        </w:rPr>
        <w:t xml:space="preserve">.  </w:t>
      </w:r>
      <w:r w:rsidR="00295371">
        <w:rPr>
          <w:rFonts w:cstheme="minorHAnsi"/>
        </w:rPr>
        <w:t xml:space="preserve"> </w:t>
      </w:r>
    </w:p>
    <w:p w14:paraId="2DF84C0B" w14:textId="27BE1A64" w:rsidR="004E5A77" w:rsidRPr="006F3E03" w:rsidRDefault="004E5A77" w:rsidP="004E5A77">
      <w:pPr>
        <w:pStyle w:val="TableHeading"/>
      </w:pPr>
      <w:r>
        <w:t>Table 2</w:t>
      </w:r>
      <w:r w:rsidR="00DE292D">
        <w:t xml:space="preserve"> one-off regulatory burden estimate</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03"/>
        <w:gridCol w:w="1803"/>
        <w:gridCol w:w="1803"/>
        <w:gridCol w:w="1803"/>
        <w:gridCol w:w="1804"/>
      </w:tblGrid>
      <w:tr w:rsidR="00684149" w:rsidRPr="009118BE" w14:paraId="2C228B38" w14:textId="77777777" w:rsidTr="007057CC">
        <w:tc>
          <w:tcPr>
            <w:tcW w:w="9016" w:type="dxa"/>
            <w:gridSpan w:val="5"/>
            <w:shd w:val="clear" w:color="auto" w:fill="FF0000"/>
          </w:tcPr>
          <w:p w14:paraId="6E7F7E70" w14:textId="11105D2E" w:rsidR="00684149" w:rsidRPr="00A2387A" w:rsidRDefault="00684149" w:rsidP="007057CC">
            <w:pPr>
              <w:spacing w:after="0"/>
              <w:ind w:right="91"/>
              <w:rPr>
                <w:rFonts w:asciiTheme="minorHAnsi" w:hAnsiTheme="minorHAnsi" w:cstheme="minorHAnsi"/>
                <w:b/>
                <w:sz w:val="22"/>
                <w:szCs w:val="22"/>
              </w:rPr>
            </w:pPr>
            <w:r w:rsidRPr="00A2387A">
              <w:rPr>
                <w:rFonts w:cstheme="minorHAnsi"/>
                <w:b/>
                <w:color w:val="FFFFFF" w:themeColor="background1"/>
              </w:rPr>
              <w:t>One-off regulatory cost (from business as usual)</w:t>
            </w:r>
          </w:p>
        </w:tc>
      </w:tr>
      <w:tr w:rsidR="00684149" w:rsidRPr="009118BE" w14:paraId="6BDA64A5" w14:textId="77777777" w:rsidTr="007057CC">
        <w:trPr>
          <w:trHeight w:val="601"/>
        </w:trPr>
        <w:tc>
          <w:tcPr>
            <w:tcW w:w="1803" w:type="dxa"/>
          </w:tcPr>
          <w:p w14:paraId="4443B8FD"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Change in costs ($ million)</w:t>
            </w:r>
          </w:p>
        </w:tc>
        <w:tc>
          <w:tcPr>
            <w:tcW w:w="1803" w:type="dxa"/>
          </w:tcPr>
          <w:p w14:paraId="751C8CFC"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Business</w:t>
            </w:r>
          </w:p>
        </w:tc>
        <w:tc>
          <w:tcPr>
            <w:tcW w:w="1803" w:type="dxa"/>
          </w:tcPr>
          <w:p w14:paraId="63599FE6" w14:textId="77777777" w:rsidR="00684149" w:rsidRPr="00A2387A" w:rsidRDefault="00684149" w:rsidP="007057CC">
            <w:pPr>
              <w:spacing w:after="0"/>
              <w:ind w:right="91"/>
              <w:rPr>
                <w:rFonts w:asciiTheme="minorHAnsi" w:hAnsiTheme="minorHAnsi" w:cstheme="minorHAnsi"/>
                <w:sz w:val="22"/>
                <w:szCs w:val="22"/>
              </w:rPr>
            </w:pPr>
            <w:r>
              <w:rPr>
                <w:rFonts w:cstheme="minorHAnsi"/>
              </w:rPr>
              <w:t xml:space="preserve">Registered charities </w:t>
            </w:r>
          </w:p>
        </w:tc>
        <w:tc>
          <w:tcPr>
            <w:tcW w:w="1803" w:type="dxa"/>
          </w:tcPr>
          <w:p w14:paraId="00581A3E"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Individuals</w:t>
            </w:r>
          </w:p>
        </w:tc>
        <w:tc>
          <w:tcPr>
            <w:tcW w:w="1804" w:type="dxa"/>
          </w:tcPr>
          <w:p w14:paraId="4EF36E46"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Total change in cost ($ million)</w:t>
            </w:r>
          </w:p>
        </w:tc>
      </w:tr>
      <w:tr w:rsidR="00684149" w:rsidRPr="009118BE" w14:paraId="0F03B0F4" w14:textId="77777777" w:rsidTr="007057CC">
        <w:trPr>
          <w:trHeight w:val="297"/>
        </w:trPr>
        <w:tc>
          <w:tcPr>
            <w:tcW w:w="1803" w:type="dxa"/>
          </w:tcPr>
          <w:p w14:paraId="345407C7"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Total, by sector</w:t>
            </w:r>
          </w:p>
        </w:tc>
        <w:tc>
          <w:tcPr>
            <w:tcW w:w="1803" w:type="dxa"/>
          </w:tcPr>
          <w:p w14:paraId="16BB1E42"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nil</w:t>
            </w:r>
          </w:p>
        </w:tc>
        <w:tc>
          <w:tcPr>
            <w:tcW w:w="1803" w:type="dxa"/>
          </w:tcPr>
          <w:p w14:paraId="23848FF6"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($1.4)</w:t>
            </w:r>
          </w:p>
        </w:tc>
        <w:tc>
          <w:tcPr>
            <w:tcW w:w="1803" w:type="dxa"/>
          </w:tcPr>
          <w:p w14:paraId="2F939CDF" w14:textId="77777777" w:rsidR="00684149" w:rsidRPr="00A2387A" w:rsidRDefault="00684149" w:rsidP="007057CC">
            <w:pPr>
              <w:spacing w:after="0"/>
              <w:ind w:right="91"/>
              <w:rPr>
                <w:rFonts w:asciiTheme="minorHAnsi" w:hAnsiTheme="minorHAnsi" w:cstheme="minorHAnsi"/>
                <w:sz w:val="22"/>
                <w:szCs w:val="22"/>
              </w:rPr>
            </w:pPr>
            <w:r>
              <w:rPr>
                <w:rFonts w:cstheme="minorHAnsi"/>
              </w:rPr>
              <w:t>n</w:t>
            </w:r>
            <w:r w:rsidRPr="00A2387A">
              <w:rPr>
                <w:rFonts w:cstheme="minorHAnsi"/>
              </w:rPr>
              <w:t>il</w:t>
            </w:r>
          </w:p>
        </w:tc>
        <w:tc>
          <w:tcPr>
            <w:tcW w:w="1804" w:type="dxa"/>
          </w:tcPr>
          <w:p w14:paraId="4CF5DBF2" w14:textId="77777777" w:rsidR="00684149" w:rsidRPr="00A2387A" w:rsidRDefault="00684149" w:rsidP="007057CC">
            <w:pPr>
              <w:spacing w:after="0"/>
              <w:ind w:right="91"/>
              <w:rPr>
                <w:rFonts w:asciiTheme="minorHAnsi" w:hAnsiTheme="minorHAnsi" w:cstheme="minorHAnsi"/>
                <w:sz w:val="22"/>
                <w:szCs w:val="22"/>
              </w:rPr>
            </w:pPr>
            <w:r w:rsidRPr="00A2387A">
              <w:rPr>
                <w:rFonts w:cstheme="minorHAnsi"/>
              </w:rPr>
              <w:t>($1.4)</w:t>
            </w:r>
          </w:p>
        </w:tc>
      </w:tr>
    </w:tbl>
    <w:p w14:paraId="0CCA38F4" w14:textId="38A1D801" w:rsidR="006F3E03" w:rsidRDefault="006F3E03" w:rsidP="004E5A77">
      <w:pPr>
        <w:spacing w:before="240"/>
        <w:rPr>
          <w:rFonts w:cstheme="minorHAnsi"/>
        </w:rPr>
      </w:pPr>
      <w:r>
        <w:rPr>
          <w:rFonts w:cstheme="minorHAnsi"/>
        </w:rPr>
        <w:t xml:space="preserve">In </w:t>
      </w:r>
      <w:r w:rsidR="006244C8">
        <w:rPr>
          <w:rFonts w:cstheme="minorHAnsi"/>
        </w:rPr>
        <w:t>addition,</w:t>
      </w:r>
      <w:r>
        <w:rPr>
          <w:rFonts w:cstheme="minorHAnsi"/>
        </w:rPr>
        <w:t xml:space="preserve"> a </w:t>
      </w:r>
      <w:r w:rsidR="006244C8">
        <w:rPr>
          <w:rFonts w:cstheme="minorHAnsi"/>
        </w:rPr>
        <w:t xml:space="preserve">handful </w:t>
      </w:r>
      <w:r>
        <w:rPr>
          <w:rFonts w:cstheme="minorHAnsi"/>
        </w:rPr>
        <w:t xml:space="preserve">of </w:t>
      </w:r>
      <w:r w:rsidR="001E1E43">
        <w:rPr>
          <w:rFonts w:cstheme="minorHAnsi"/>
        </w:rPr>
        <w:t xml:space="preserve">activist </w:t>
      </w:r>
      <w:r>
        <w:rPr>
          <w:rFonts w:cstheme="minorHAnsi"/>
        </w:rPr>
        <w:t xml:space="preserve">charities who engage in </w:t>
      </w:r>
      <w:r w:rsidR="001E1E43">
        <w:rPr>
          <w:rFonts w:cstheme="minorHAnsi"/>
        </w:rPr>
        <w:t xml:space="preserve">unlawful protest action </w:t>
      </w:r>
      <w:r>
        <w:rPr>
          <w:rFonts w:cstheme="minorHAnsi"/>
        </w:rPr>
        <w:t>will need to review their internal controls and potentially curb their activities where their conduct is unlawful.  Due to the small number of such charities the additional regulatory burden is</w:t>
      </w:r>
      <w:r w:rsidR="006244C8">
        <w:rPr>
          <w:rFonts w:cstheme="minorHAnsi"/>
        </w:rPr>
        <w:t xml:space="preserve"> </w:t>
      </w:r>
      <w:r>
        <w:rPr>
          <w:rFonts w:cstheme="minorHAnsi"/>
        </w:rPr>
        <w:t xml:space="preserve">expected to be </w:t>
      </w:r>
      <w:r w:rsidR="006244C8">
        <w:rPr>
          <w:rFonts w:cstheme="minorHAnsi"/>
        </w:rPr>
        <w:t>im</w:t>
      </w:r>
      <w:r>
        <w:rPr>
          <w:rFonts w:cstheme="minorHAnsi"/>
        </w:rPr>
        <w:t xml:space="preserve">material </w:t>
      </w:r>
      <w:r w:rsidR="006244C8">
        <w:rPr>
          <w:rFonts w:cstheme="minorHAnsi"/>
        </w:rPr>
        <w:t xml:space="preserve">both with respect to transitional and on-going costs.  </w:t>
      </w:r>
      <w:r>
        <w:rPr>
          <w:rFonts w:cstheme="minorHAnsi"/>
        </w:rPr>
        <w:t xml:space="preserve"> </w:t>
      </w:r>
    </w:p>
    <w:p w14:paraId="54F51F58" w14:textId="697ABFE9" w:rsidR="009118BE" w:rsidRDefault="009118BE" w:rsidP="008562CC">
      <w:pPr>
        <w:rPr>
          <w:rFonts w:cstheme="minorHAnsi"/>
          <w:i/>
        </w:rPr>
      </w:pPr>
      <w:r w:rsidRPr="00B8658F">
        <w:rPr>
          <w:rFonts w:cstheme="minorHAnsi"/>
        </w:rPr>
        <w:t xml:space="preserve">Several stakeholders have submitted that the proposed changes will introduce new uncertainty and may require charities to obtain additional legal advice. </w:t>
      </w:r>
      <w:r w:rsidR="00381C38">
        <w:rPr>
          <w:rFonts w:cstheme="minorHAnsi"/>
        </w:rPr>
        <w:t>Option three will provide greater clarity and a consistent approach for certain serious offences</w:t>
      </w:r>
      <w:r w:rsidR="00D523AE">
        <w:rPr>
          <w:rFonts w:cstheme="minorHAnsi"/>
        </w:rPr>
        <w:t xml:space="preserve">, however, where charities </w:t>
      </w:r>
      <w:r w:rsidR="00145573">
        <w:rPr>
          <w:rFonts w:cstheme="minorHAnsi"/>
        </w:rPr>
        <w:t>continue to</w:t>
      </w:r>
      <w:r w:rsidR="00D523AE">
        <w:rPr>
          <w:rFonts w:cstheme="minorHAnsi"/>
        </w:rPr>
        <w:t xml:space="preserve"> experience some uncertainty</w:t>
      </w:r>
      <w:r w:rsidR="00145573">
        <w:rPr>
          <w:rFonts w:cstheme="minorHAnsi"/>
        </w:rPr>
        <w:t xml:space="preserve"> </w:t>
      </w:r>
      <w:r w:rsidRPr="00B8658F">
        <w:rPr>
          <w:rFonts w:cstheme="minorHAnsi"/>
        </w:rPr>
        <w:t>education and guidance material will be provided by the ACNC. This material is expected to minimise the burden on registered charities and assist them in understanding the range of unlawful activities falling within the scope of the revised governance standard three.</w:t>
      </w:r>
    </w:p>
    <w:p w14:paraId="3006FDD5" w14:textId="353BDF5F" w:rsidR="008562CC" w:rsidRPr="00626F3B" w:rsidRDefault="00075949" w:rsidP="008562CC">
      <w:pPr>
        <w:rPr>
          <w:rFonts w:cstheme="minorHAnsi"/>
          <w:i/>
        </w:rPr>
      </w:pPr>
      <w:r>
        <w:rPr>
          <w:rFonts w:cstheme="minorHAnsi"/>
          <w:i/>
        </w:rPr>
        <w:t>Benefits of option 3</w:t>
      </w:r>
    </w:p>
    <w:p w14:paraId="503A0CEB" w14:textId="703ED109" w:rsidR="004931E0" w:rsidRDefault="00626F3B" w:rsidP="00FF77FA">
      <w:pPr>
        <w:spacing w:before="240"/>
        <w:ind w:right="91"/>
      </w:pPr>
      <w:r>
        <w:t xml:space="preserve">The benefit of this option is that it </w:t>
      </w:r>
      <w:r w:rsidR="00D47FCD">
        <w:t xml:space="preserve">enables the ACNC Commissioner to investigate and take appropriate enforcement action </w:t>
      </w:r>
      <w:r w:rsidR="00AC15C4">
        <w:t xml:space="preserve">in cases </w:t>
      </w:r>
      <w:r w:rsidR="00D47FCD">
        <w:t>where a registered charity engages in serious unlawful conduct</w:t>
      </w:r>
      <w:r w:rsidR="00AC15C4">
        <w:t xml:space="preserve">, namely </w:t>
      </w:r>
      <w:r w:rsidR="002031C2" w:rsidRPr="00940A7A">
        <w:t>trespass</w:t>
      </w:r>
      <w:r w:rsidR="002031C2">
        <w:t xml:space="preserve">, </w:t>
      </w:r>
      <w:r w:rsidR="002031C2" w:rsidRPr="00940A7A">
        <w:t>vandalism</w:t>
      </w:r>
      <w:r w:rsidR="002031C2">
        <w:t xml:space="preserve">, </w:t>
      </w:r>
      <w:r w:rsidR="002031C2" w:rsidRPr="00940A7A">
        <w:t>theft</w:t>
      </w:r>
      <w:r w:rsidR="002031C2">
        <w:t>, assault</w:t>
      </w:r>
      <w:r w:rsidR="006244C8">
        <w:t>,</w:t>
      </w:r>
      <w:r w:rsidR="002031C2">
        <w:t xml:space="preserve"> and threatening harm</w:t>
      </w:r>
      <w:r w:rsidR="00AC15C4">
        <w:t xml:space="preserve">. This amendment </w:t>
      </w:r>
      <w:r w:rsidR="006244C8">
        <w:t>addresses</w:t>
      </w:r>
      <w:r w:rsidR="00AC15C4">
        <w:t xml:space="preserve"> the existing complexity in the law, particularly where the unlawful conduct in question is only partially considered an indictable offence or where it is defined as a summary offence in an Australian jurisdiction</w:t>
      </w:r>
      <w:r w:rsidR="002031C2">
        <w:t>.</w:t>
      </w:r>
      <w:r w:rsidR="00A84421">
        <w:t xml:space="preserve"> </w:t>
      </w:r>
      <w:r w:rsidR="004931E0">
        <w:t xml:space="preserve">This means that </w:t>
      </w:r>
      <w:r w:rsidR="00665E61">
        <w:t xml:space="preserve">the ACNC Commissioner can take appropriate regulatory action to protect </w:t>
      </w:r>
      <w:r w:rsidR="0068352A">
        <w:rPr>
          <w:rFonts w:cstheme="minorHAnsi"/>
        </w:rPr>
        <w:t xml:space="preserve">the registered charity’s assets, reputation and the people it serves </w:t>
      </w:r>
      <w:r w:rsidR="004931E0">
        <w:t xml:space="preserve">where a charity’s unlawful conduct places </w:t>
      </w:r>
      <w:r w:rsidR="00665E61">
        <w:t>these at risk, consistent with the original policy intent of governance standard three.</w:t>
      </w:r>
      <w:r w:rsidR="001A7C0E">
        <w:t xml:space="preserve"> </w:t>
      </w:r>
    </w:p>
    <w:p w14:paraId="55932B5E" w14:textId="7D7A3DD7" w:rsidR="00626F3B" w:rsidRDefault="00507E4F" w:rsidP="00717AC1">
      <w:r>
        <w:t xml:space="preserve">Additionally, option 3 </w:t>
      </w:r>
      <w:r w:rsidR="003A4356">
        <w:t xml:space="preserve">is expected to reduce the existing administrative burden and </w:t>
      </w:r>
      <w:r w:rsidR="003A4356" w:rsidRPr="0062104F">
        <w:t xml:space="preserve">expense </w:t>
      </w:r>
      <w:r w:rsidR="003A4356">
        <w:t xml:space="preserve">for </w:t>
      </w:r>
      <w:r w:rsidR="00C50F71">
        <w:t xml:space="preserve">registered </w:t>
      </w:r>
      <w:r w:rsidR="003A4356">
        <w:t>charities in</w:t>
      </w:r>
      <w:r w:rsidR="003A4356" w:rsidRPr="0062104F">
        <w:t xml:space="preserve"> discerning the scope of unlawful activities prohibited under governance standard three</w:t>
      </w:r>
      <w:r w:rsidR="003A4356">
        <w:t xml:space="preserve"> in the long term. </w:t>
      </w:r>
      <w:r w:rsidR="00A84421">
        <w:t xml:space="preserve">Table </w:t>
      </w:r>
      <w:r w:rsidR="00644BE1">
        <w:t>3</w:t>
      </w:r>
      <w:r w:rsidR="00A84421">
        <w:t xml:space="preserve"> below illustrates how the uncertainty has been resolved by ensuring comprehensive coverage of </w:t>
      </w:r>
      <w:r w:rsidR="00C50F71">
        <w:t xml:space="preserve">serious </w:t>
      </w:r>
      <w:r w:rsidR="00E90DE1">
        <w:t>breaches of Australian law</w:t>
      </w:r>
      <w:r w:rsidR="00A84421">
        <w:t>.</w:t>
      </w:r>
      <w:r w:rsidR="002031C2" w:rsidRPr="002031C2">
        <w:t xml:space="preserve"> </w:t>
      </w:r>
    </w:p>
    <w:p w14:paraId="09F3949C" w14:textId="22AF2771" w:rsidR="002823A1" w:rsidRPr="006B02CF" w:rsidRDefault="002823A1" w:rsidP="00DE292D">
      <w:pPr>
        <w:spacing w:after="200" w:line="276" w:lineRule="auto"/>
        <w:rPr>
          <w:b/>
          <w:bCs/>
          <w:i/>
          <w:iCs/>
        </w:rPr>
      </w:pPr>
      <w:r w:rsidRPr="006B02CF">
        <w:rPr>
          <w:b/>
          <w:bCs/>
          <w:i/>
          <w:iCs/>
        </w:rPr>
        <w:t xml:space="preserve">Table </w:t>
      </w:r>
      <w:r w:rsidR="002E1C0C">
        <w:rPr>
          <w:b/>
          <w:bCs/>
          <w:i/>
          <w:iCs/>
        </w:rPr>
        <w:t>3</w:t>
      </w:r>
    </w:p>
    <w:tbl>
      <w:tblPr>
        <w:tblStyle w:val="TableGrid"/>
        <w:tblW w:w="5000" w:type="pct"/>
        <w:tblLook w:val="04A0" w:firstRow="1" w:lastRow="0" w:firstColumn="1" w:lastColumn="0" w:noHBand="0" w:noVBand="1"/>
      </w:tblPr>
      <w:tblGrid>
        <w:gridCol w:w="1721"/>
        <w:gridCol w:w="1364"/>
        <w:gridCol w:w="1426"/>
        <w:gridCol w:w="1461"/>
        <w:gridCol w:w="1394"/>
        <w:gridCol w:w="1650"/>
      </w:tblGrid>
      <w:tr w:rsidR="00AE6B29" w:rsidRPr="00E726EF" w14:paraId="7314E623" w14:textId="77777777" w:rsidTr="00E86BE0">
        <w:trPr>
          <w:tblHeader/>
        </w:trPr>
        <w:tc>
          <w:tcPr>
            <w:tcW w:w="954" w:type="pct"/>
            <w:shd w:val="clear" w:color="auto" w:fill="D9D9D9" w:themeFill="background1" w:themeFillShade="D9"/>
          </w:tcPr>
          <w:p w14:paraId="41BE63CF" w14:textId="77777777" w:rsidR="00AE6B29" w:rsidRPr="00E726EF" w:rsidRDefault="00AE6B29" w:rsidP="00644BE1">
            <w:pPr>
              <w:spacing w:after="0"/>
              <w:rPr>
                <w:b/>
              </w:rPr>
            </w:pPr>
            <w:r w:rsidRPr="00E726EF">
              <w:rPr>
                <w:b/>
              </w:rPr>
              <w:t>Jurisdiction</w:t>
            </w:r>
          </w:p>
        </w:tc>
        <w:tc>
          <w:tcPr>
            <w:tcW w:w="756" w:type="pct"/>
            <w:shd w:val="clear" w:color="auto" w:fill="D9D9D9" w:themeFill="background1" w:themeFillShade="D9"/>
          </w:tcPr>
          <w:p w14:paraId="4007CA20" w14:textId="77777777" w:rsidR="00AE6B29" w:rsidRPr="00E726EF" w:rsidRDefault="00AE6B29" w:rsidP="00644BE1">
            <w:pPr>
              <w:spacing w:after="0"/>
              <w:rPr>
                <w:b/>
              </w:rPr>
            </w:pPr>
            <w:r w:rsidRPr="00E726EF">
              <w:rPr>
                <w:b/>
              </w:rPr>
              <w:t>Entering or remaining on property (trespass)</w:t>
            </w:r>
          </w:p>
        </w:tc>
        <w:tc>
          <w:tcPr>
            <w:tcW w:w="791" w:type="pct"/>
            <w:shd w:val="clear" w:color="auto" w:fill="D9D9D9" w:themeFill="background1" w:themeFillShade="D9"/>
          </w:tcPr>
          <w:p w14:paraId="05E203DF" w14:textId="77777777" w:rsidR="00AE6B29" w:rsidRPr="00E726EF" w:rsidRDefault="00AE6B29" w:rsidP="00644BE1">
            <w:pPr>
              <w:spacing w:after="0"/>
              <w:rPr>
                <w:b/>
              </w:rPr>
            </w:pPr>
            <w:r w:rsidRPr="00E726EF">
              <w:rPr>
                <w:b/>
              </w:rPr>
              <w:t>Destroying or damaging property</w:t>
            </w:r>
            <w:r>
              <w:rPr>
                <w:b/>
              </w:rPr>
              <w:t xml:space="preserve"> </w:t>
            </w:r>
            <w:r w:rsidRPr="00E726EF">
              <w:rPr>
                <w:b/>
              </w:rPr>
              <w:t>(</w:t>
            </w:r>
            <w:r>
              <w:rPr>
                <w:b/>
              </w:rPr>
              <w:t>vandalism</w:t>
            </w:r>
            <w:r w:rsidRPr="00E726EF">
              <w:rPr>
                <w:b/>
              </w:rPr>
              <w:t>)</w:t>
            </w:r>
          </w:p>
        </w:tc>
        <w:tc>
          <w:tcPr>
            <w:tcW w:w="810" w:type="pct"/>
            <w:shd w:val="clear" w:color="auto" w:fill="D9D9D9" w:themeFill="background1" w:themeFillShade="D9"/>
          </w:tcPr>
          <w:p w14:paraId="4ABB381C" w14:textId="77777777" w:rsidR="00AE6B29" w:rsidRPr="00E726EF" w:rsidRDefault="00AE6B29" w:rsidP="00644BE1">
            <w:pPr>
              <w:spacing w:after="0"/>
              <w:rPr>
                <w:b/>
              </w:rPr>
            </w:pPr>
            <w:r>
              <w:rPr>
                <w:b/>
              </w:rPr>
              <w:t xml:space="preserve">Appropriating </w:t>
            </w:r>
            <w:r w:rsidRPr="00E726EF">
              <w:rPr>
                <w:b/>
              </w:rPr>
              <w:t>property</w:t>
            </w:r>
            <w:r>
              <w:rPr>
                <w:b/>
              </w:rPr>
              <w:t xml:space="preserve"> (theft)</w:t>
            </w:r>
          </w:p>
        </w:tc>
        <w:tc>
          <w:tcPr>
            <w:tcW w:w="773" w:type="pct"/>
            <w:shd w:val="clear" w:color="auto" w:fill="D9D9D9" w:themeFill="background1" w:themeFillShade="D9"/>
          </w:tcPr>
          <w:p w14:paraId="0B64698F" w14:textId="77777777" w:rsidR="00AE6B29" w:rsidRPr="00E726EF" w:rsidRDefault="00AE6B29" w:rsidP="00644BE1">
            <w:pPr>
              <w:spacing w:after="0"/>
              <w:rPr>
                <w:b/>
              </w:rPr>
            </w:pPr>
            <w:r>
              <w:rPr>
                <w:b/>
              </w:rPr>
              <w:t>Causing harm to persons (assault)</w:t>
            </w:r>
            <w:r w:rsidRPr="00E726EF">
              <w:rPr>
                <w:b/>
              </w:rPr>
              <w:t xml:space="preserve"> </w:t>
            </w:r>
          </w:p>
        </w:tc>
        <w:tc>
          <w:tcPr>
            <w:tcW w:w="915" w:type="pct"/>
            <w:shd w:val="clear" w:color="auto" w:fill="D9D9D9" w:themeFill="background1" w:themeFillShade="D9"/>
          </w:tcPr>
          <w:p w14:paraId="26324F32" w14:textId="77777777" w:rsidR="00AE6B29" w:rsidRPr="00E726EF" w:rsidRDefault="00AE6B29" w:rsidP="00644BE1">
            <w:pPr>
              <w:spacing w:after="0"/>
              <w:rPr>
                <w:b/>
              </w:rPr>
            </w:pPr>
            <w:r w:rsidRPr="00E726EF">
              <w:rPr>
                <w:b/>
              </w:rPr>
              <w:t xml:space="preserve">Risk or threat of causing </w:t>
            </w:r>
            <w:r>
              <w:rPr>
                <w:b/>
              </w:rPr>
              <w:t>harm</w:t>
            </w:r>
            <w:r w:rsidRPr="00E726EF">
              <w:rPr>
                <w:b/>
              </w:rPr>
              <w:t xml:space="preserve"> to persons</w:t>
            </w:r>
            <w:r>
              <w:rPr>
                <w:b/>
              </w:rPr>
              <w:t xml:space="preserve"> (threatening harm)</w:t>
            </w:r>
          </w:p>
        </w:tc>
      </w:tr>
      <w:tr w:rsidR="004B3AA7" w:rsidRPr="00E726EF" w14:paraId="413B9336" w14:textId="77777777" w:rsidTr="00644BE1">
        <w:tc>
          <w:tcPr>
            <w:tcW w:w="954" w:type="pct"/>
          </w:tcPr>
          <w:p w14:paraId="03CDB6AB" w14:textId="77777777" w:rsidR="004B3AA7" w:rsidRPr="00ED1973" w:rsidRDefault="004B3AA7" w:rsidP="004B3AA7">
            <w:pPr>
              <w:spacing w:after="0"/>
            </w:pPr>
            <w:r w:rsidRPr="00ED1973">
              <w:t>New South Wales</w:t>
            </w:r>
          </w:p>
        </w:tc>
        <w:tc>
          <w:tcPr>
            <w:tcW w:w="756" w:type="pct"/>
          </w:tcPr>
          <w:p w14:paraId="05E56B9B" w14:textId="77777777" w:rsidR="004B3AA7" w:rsidRDefault="004B3AA7" w:rsidP="004B3AA7">
            <w:pPr>
              <w:spacing w:after="0"/>
              <w:rPr>
                <w:noProof/>
              </w:rPr>
            </w:pPr>
            <w:r>
              <w:rPr>
                <w:noProof/>
              </w:rPr>
              <w:drawing>
                <wp:inline distT="0" distB="0" distL="0" distR="0" wp14:anchorId="4334F13F" wp14:editId="4FD588BE">
                  <wp:extent cx="295154" cy="295154"/>
                  <wp:effectExtent l="0" t="0" r="0" b="0"/>
                  <wp:docPr id="142" name="Graphic 1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4D5DD699" w14:textId="4409C9FE" w:rsidR="004B3AA7" w:rsidRDefault="004B3AA7" w:rsidP="004B3AA7">
            <w:pPr>
              <w:spacing w:after="0"/>
              <w:rPr>
                <w:noProof/>
              </w:rPr>
            </w:pPr>
            <w:r w:rsidRPr="00D7703A">
              <w:rPr>
                <w:noProof/>
              </w:rPr>
              <w:drawing>
                <wp:inline distT="0" distB="0" distL="0" distR="0" wp14:anchorId="4696DCFB" wp14:editId="24A85C81">
                  <wp:extent cx="295154" cy="295154"/>
                  <wp:effectExtent l="0" t="0" r="0" b="0"/>
                  <wp:docPr id="74" name="Graphic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23FE9BC0" w14:textId="69F19A1A" w:rsidR="004B3AA7" w:rsidRDefault="004B3AA7" w:rsidP="004B3AA7">
            <w:pPr>
              <w:spacing w:after="0"/>
              <w:rPr>
                <w:noProof/>
              </w:rPr>
            </w:pPr>
            <w:r w:rsidRPr="00D7703A">
              <w:rPr>
                <w:noProof/>
              </w:rPr>
              <w:drawing>
                <wp:inline distT="0" distB="0" distL="0" distR="0" wp14:anchorId="74B1BE18" wp14:editId="61D69913">
                  <wp:extent cx="295154" cy="295154"/>
                  <wp:effectExtent l="0" t="0" r="0" b="0"/>
                  <wp:docPr id="75" name="Graphic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79A9EB5D" w14:textId="00BB5F93" w:rsidR="004B3AA7" w:rsidRDefault="004B3AA7" w:rsidP="004B3AA7">
            <w:pPr>
              <w:spacing w:after="0"/>
              <w:rPr>
                <w:noProof/>
              </w:rPr>
            </w:pPr>
            <w:r w:rsidRPr="00D7703A">
              <w:rPr>
                <w:noProof/>
              </w:rPr>
              <w:drawing>
                <wp:inline distT="0" distB="0" distL="0" distR="0" wp14:anchorId="2F4E2C92" wp14:editId="6510B049">
                  <wp:extent cx="295154" cy="295154"/>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06B74E18" w14:textId="4C47BE4B" w:rsidR="004B3AA7" w:rsidRDefault="004B3AA7" w:rsidP="004B3AA7">
            <w:pPr>
              <w:spacing w:after="0"/>
              <w:rPr>
                <w:noProof/>
              </w:rPr>
            </w:pPr>
            <w:r w:rsidRPr="00D7703A">
              <w:rPr>
                <w:noProof/>
              </w:rPr>
              <w:drawing>
                <wp:inline distT="0" distB="0" distL="0" distR="0" wp14:anchorId="775C1643" wp14:editId="22CF126F">
                  <wp:extent cx="295154" cy="295154"/>
                  <wp:effectExtent l="0" t="0" r="0" b="0"/>
                  <wp:docPr id="76" name="Graphic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11A2D0F7" w14:textId="77777777" w:rsidTr="00644BE1">
        <w:tc>
          <w:tcPr>
            <w:tcW w:w="954" w:type="pct"/>
          </w:tcPr>
          <w:p w14:paraId="258B43B4" w14:textId="77777777" w:rsidR="004B3AA7" w:rsidRPr="00ED1973" w:rsidRDefault="004B3AA7" w:rsidP="004B3AA7">
            <w:pPr>
              <w:spacing w:after="0"/>
            </w:pPr>
            <w:r w:rsidRPr="00ED1973">
              <w:t>Victoria</w:t>
            </w:r>
          </w:p>
        </w:tc>
        <w:tc>
          <w:tcPr>
            <w:tcW w:w="756" w:type="pct"/>
          </w:tcPr>
          <w:p w14:paraId="6AB115FF" w14:textId="49EB0AEA" w:rsidR="004B3AA7" w:rsidRDefault="004B3AA7" w:rsidP="004B3AA7">
            <w:pPr>
              <w:spacing w:after="0"/>
              <w:rPr>
                <w:noProof/>
              </w:rPr>
            </w:pPr>
            <w:r w:rsidRPr="005C29E5">
              <w:rPr>
                <w:noProof/>
              </w:rPr>
              <w:drawing>
                <wp:inline distT="0" distB="0" distL="0" distR="0" wp14:anchorId="590E7D7C" wp14:editId="1BF0ED05">
                  <wp:extent cx="295154" cy="295154"/>
                  <wp:effectExtent l="0" t="0" r="0" b="0"/>
                  <wp:docPr id="81" name="Graphic 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26A5CE06" w14:textId="04C18CAC" w:rsidR="004B3AA7" w:rsidRDefault="004B3AA7" w:rsidP="004B3AA7">
            <w:pPr>
              <w:spacing w:after="0"/>
              <w:rPr>
                <w:noProof/>
              </w:rPr>
            </w:pPr>
            <w:r w:rsidRPr="005C29E5">
              <w:rPr>
                <w:noProof/>
              </w:rPr>
              <w:drawing>
                <wp:inline distT="0" distB="0" distL="0" distR="0" wp14:anchorId="103E4A46" wp14:editId="40B42437">
                  <wp:extent cx="295154" cy="295154"/>
                  <wp:effectExtent l="0" t="0" r="0" b="0"/>
                  <wp:docPr id="82" name="Graphic 8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41DD95B8" w14:textId="59DE2214" w:rsidR="004B3AA7" w:rsidRDefault="004B3AA7" w:rsidP="004B3AA7">
            <w:pPr>
              <w:spacing w:after="0"/>
              <w:rPr>
                <w:noProof/>
              </w:rPr>
            </w:pPr>
            <w:r w:rsidRPr="005C29E5">
              <w:rPr>
                <w:noProof/>
              </w:rPr>
              <w:drawing>
                <wp:inline distT="0" distB="0" distL="0" distR="0" wp14:anchorId="39CE39C6" wp14:editId="378B38F9">
                  <wp:extent cx="295154" cy="295154"/>
                  <wp:effectExtent l="0" t="0" r="0" b="0"/>
                  <wp:docPr id="83" name="Graphic 8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6CC59001" w14:textId="73156C57" w:rsidR="004B3AA7" w:rsidRDefault="004B3AA7" w:rsidP="004B3AA7">
            <w:pPr>
              <w:spacing w:after="0"/>
              <w:rPr>
                <w:noProof/>
              </w:rPr>
            </w:pPr>
            <w:r w:rsidRPr="005C29E5">
              <w:rPr>
                <w:noProof/>
              </w:rPr>
              <w:drawing>
                <wp:inline distT="0" distB="0" distL="0" distR="0" wp14:anchorId="17EA352D" wp14:editId="0F06C4A9">
                  <wp:extent cx="295154" cy="295154"/>
                  <wp:effectExtent l="0" t="0" r="0" b="0"/>
                  <wp:docPr id="84" name="Graphic 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7232603C" w14:textId="11B33B8C" w:rsidR="004B3AA7" w:rsidRDefault="004B3AA7" w:rsidP="004B3AA7">
            <w:pPr>
              <w:spacing w:after="0"/>
              <w:rPr>
                <w:noProof/>
              </w:rPr>
            </w:pPr>
            <w:r w:rsidRPr="005C29E5">
              <w:rPr>
                <w:noProof/>
              </w:rPr>
              <w:drawing>
                <wp:inline distT="0" distB="0" distL="0" distR="0" wp14:anchorId="24002D86" wp14:editId="35DF21FB">
                  <wp:extent cx="295154" cy="295154"/>
                  <wp:effectExtent l="0" t="0" r="0" b="0"/>
                  <wp:docPr id="85" name="Graphic 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053B9AF2" w14:textId="77777777" w:rsidTr="00644BE1">
        <w:tc>
          <w:tcPr>
            <w:tcW w:w="954" w:type="pct"/>
          </w:tcPr>
          <w:p w14:paraId="2E374E40" w14:textId="77777777" w:rsidR="004B3AA7" w:rsidRPr="00ED1973" w:rsidRDefault="004B3AA7" w:rsidP="004B3AA7">
            <w:pPr>
              <w:spacing w:after="0"/>
            </w:pPr>
            <w:r w:rsidRPr="00ED1973">
              <w:lastRenderedPageBreak/>
              <w:t>Queensland</w:t>
            </w:r>
          </w:p>
        </w:tc>
        <w:tc>
          <w:tcPr>
            <w:tcW w:w="756" w:type="pct"/>
          </w:tcPr>
          <w:p w14:paraId="1AC1C1C6" w14:textId="6916EF20" w:rsidR="004B3AA7" w:rsidRDefault="004B3AA7" w:rsidP="004B3AA7">
            <w:pPr>
              <w:spacing w:after="0"/>
              <w:rPr>
                <w:noProof/>
              </w:rPr>
            </w:pPr>
            <w:r w:rsidRPr="00AA7189">
              <w:rPr>
                <w:noProof/>
              </w:rPr>
              <w:drawing>
                <wp:inline distT="0" distB="0" distL="0" distR="0" wp14:anchorId="2FE09D08" wp14:editId="56F4FFCA">
                  <wp:extent cx="295154" cy="295154"/>
                  <wp:effectExtent l="0" t="0" r="0" b="0"/>
                  <wp:docPr id="86" name="Graphic 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16337836" w14:textId="1005D7F4" w:rsidR="004B3AA7" w:rsidRDefault="004B3AA7" w:rsidP="004B3AA7">
            <w:pPr>
              <w:spacing w:after="0"/>
              <w:rPr>
                <w:noProof/>
              </w:rPr>
            </w:pPr>
            <w:r w:rsidRPr="00AA7189">
              <w:rPr>
                <w:noProof/>
              </w:rPr>
              <w:drawing>
                <wp:inline distT="0" distB="0" distL="0" distR="0" wp14:anchorId="4B3A70E0" wp14:editId="1C0914EC">
                  <wp:extent cx="295154" cy="295154"/>
                  <wp:effectExtent l="0" t="0" r="0" b="0"/>
                  <wp:docPr id="87" name="Graphic 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4F977AB2" w14:textId="23746985" w:rsidR="004B3AA7" w:rsidRDefault="004B3AA7" w:rsidP="004B3AA7">
            <w:pPr>
              <w:spacing w:after="0"/>
              <w:rPr>
                <w:noProof/>
              </w:rPr>
            </w:pPr>
            <w:r w:rsidRPr="00AA7189">
              <w:rPr>
                <w:noProof/>
              </w:rPr>
              <w:drawing>
                <wp:inline distT="0" distB="0" distL="0" distR="0" wp14:anchorId="4400C73E" wp14:editId="6CE86AA4">
                  <wp:extent cx="295154" cy="295154"/>
                  <wp:effectExtent l="0" t="0" r="0" b="0"/>
                  <wp:docPr id="88" name="Graphic 8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014AD8A8" w14:textId="2B4FFC9B" w:rsidR="004B3AA7" w:rsidRDefault="004B3AA7" w:rsidP="004B3AA7">
            <w:pPr>
              <w:spacing w:after="0"/>
              <w:rPr>
                <w:noProof/>
              </w:rPr>
            </w:pPr>
            <w:r w:rsidRPr="00AA7189">
              <w:rPr>
                <w:noProof/>
              </w:rPr>
              <w:drawing>
                <wp:inline distT="0" distB="0" distL="0" distR="0" wp14:anchorId="369A96DB" wp14:editId="639A3383">
                  <wp:extent cx="295154" cy="295154"/>
                  <wp:effectExtent l="0" t="0" r="0" b="0"/>
                  <wp:docPr id="89" name="Graphic 8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2F665E47" w14:textId="2DB70E45" w:rsidR="004B3AA7" w:rsidRDefault="004B3AA7" w:rsidP="004B3AA7">
            <w:pPr>
              <w:spacing w:after="0"/>
              <w:rPr>
                <w:noProof/>
              </w:rPr>
            </w:pPr>
            <w:r w:rsidRPr="00AA7189">
              <w:rPr>
                <w:noProof/>
              </w:rPr>
              <w:drawing>
                <wp:inline distT="0" distB="0" distL="0" distR="0" wp14:anchorId="62AB3333" wp14:editId="5CD805F7">
                  <wp:extent cx="295154" cy="295154"/>
                  <wp:effectExtent l="0" t="0" r="0" b="0"/>
                  <wp:docPr id="90" name="Graphic 9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3F7AE002" w14:textId="77777777" w:rsidTr="00644BE1">
        <w:tc>
          <w:tcPr>
            <w:tcW w:w="954" w:type="pct"/>
          </w:tcPr>
          <w:p w14:paraId="5AB3EA06" w14:textId="77777777" w:rsidR="004B3AA7" w:rsidRPr="00ED1973" w:rsidRDefault="004B3AA7" w:rsidP="004B3AA7">
            <w:pPr>
              <w:spacing w:after="0"/>
            </w:pPr>
            <w:r w:rsidRPr="00ED1973">
              <w:t>Western Australia</w:t>
            </w:r>
          </w:p>
        </w:tc>
        <w:tc>
          <w:tcPr>
            <w:tcW w:w="756" w:type="pct"/>
          </w:tcPr>
          <w:p w14:paraId="4325E1E7" w14:textId="0F992E63" w:rsidR="004B3AA7" w:rsidRDefault="004B3AA7" w:rsidP="004B3AA7">
            <w:pPr>
              <w:spacing w:after="0"/>
              <w:rPr>
                <w:noProof/>
              </w:rPr>
            </w:pPr>
            <w:r w:rsidRPr="00E60F95">
              <w:rPr>
                <w:noProof/>
              </w:rPr>
              <w:drawing>
                <wp:inline distT="0" distB="0" distL="0" distR="0" wp14:anchorId="02954510" wp14:editId="33873A06">
                  <wp:extent cx="295154" cy="295154"/>
                  <wp:effectExtent l="0" t="0" r="0" b="0"/>
                  <wp:docPr id="91" name="Graphic 9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1F582480" w14:textId="523C7035" w:rsidR="004B3AA7" w:rsidRDefault="004B3AA7" w:rsidP="004B3AA7">
            <w:pPr>
              <w:spacing w:after="0"/>
              <w:rPr>
                <w:noProof/>
              </w:rPr>
            </w:pPr>
            <w:r w:rsidRPr="00E60F95">
              <w:rPr>
                <w:noProof/>
              </w:rPr>
              <w:drawing>
                <wp:inline distT="0" distB="0" distL="0" distR="0" wp14:anchorId="73A97E50" wp14:editId="485FB3D4">
                  <wp:extent cx="295154" cy="295154"/>
                  <wp:effectExtent l="0" t="0" r="0" b="0"/>
                  <wp:docPr id="92" name="Graphic 9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137D0437" w14:textId="453FC13A" w:rsidR="004B3AA7" w:rsidRDefault="004B3AA7" w:rsidP="004B3AA7">
            <w:pPr>
              <w:spacing w:after="0"/>
              <w:rPr>
                <w:noProof/>
              </w:rPr>
            </w:pPr>
            <w:r w:rsidRPr="00E60F95">
              <w:rPr>
                <w:noProof/>
              </w:rPr>
              <w:drawing>
                <wp:inline distT="0" distB="0" distL="0" distR="0" wp14:anchorId="39E4AEE1" wp14:editId="1515BB4B">
                  <wp:extent cx="295154" cy="295154"/>
                  <wp:effectExtent l="0" t="0" r="0" b="0"/>
                  <wp:docPr id="93" name="Graphic 9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3E1770EC" w14:textId="1CA3F49E" w:rsidR="004B3AA7" w:rsidRDefault="004B3AA7" w:rsidP="004B3AA7">
            <w:pPr>
              <w:spacing w:after="0"/>
              <w:rPr>
                <w:noProof/>
              </w:rPr>
            </w:pPr>
            <w:r w:rsidRPr="00E60F95">
              <w:rPr>
                <w:noProof/>
              </w:rPr>
              <w:drawing>
                <wp:inline distT="0" distB="0" distL="0" distR="0" wp14:anchorId="58EC0EEA" wp14:editId="730505B7">
                  <wp:extent cx="295154" cy="295154"/>
                  <wp:effectExtent l="0" t="0" r="0" b="0"/>
                  <wp:docPr id="94" name="Graphic 9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2453D764" w14:textId="0919048D" w:rsidR="004B3AA7" w:rsidRDefault="004B3AA7" w:rsidP="004B3AA7">
            <w:pPr>
              <w:spacing w:after="0"/>
              <w:rPr>
                <w:noProof/>
              </w:rPr>
            </w:pPr>
            <w:r w:rsidRPr="00E60F95">
              <w:rPr>
                <w:noProof/>
              </w:rPr>
              <w:drawing>
                <wp:inline distT="0" distB="0" distL="0" distR="0" wp14:anchorId="1FD03A3E" wp14:editId="1257112A">
                  <wp:extent cx="295154" cy="295154"/>
                  <wp:effectExtent l="0" t="0" r="0" b="0"/>
                  <wp:docPr id="95" name="Graphic 9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2F795F7A" w14:textId="77777777" w:rsidTr="00644BE1">
        <w:tc>
          <w:tcPr>
            <w:tcW w:w="954" w:type="pct"/>
          </w:tcPr>
          <w:p w14:paraId="67F08DE8" w14:textId="77777777" w:rsidR="004B3AA7" w:rsidRPr="00ED1973" w:rsidRDefault="004B3AA7" w:rsidP="004B3AA7">
            <w:pPr>
              <w:spacing w:after="0"/>
            </w:pPr>
            <w:r w:rsidRPr="00ED1973">
              <w:t>South Australia</w:t>
            </w:r>
          </w:p>
        </w:tc>
        <w:tc>
          <w:tcPr>
            <w:tcW w:w="756" w:type="pct"/>
          </w:tcPr>
          <w:p w14:paraId="1280EDAD" w14:textId="65C9CF66" w:rsidR="004B3AA7" w:rsidRDefault="004B3AA7" w:rsidP="004B3AA7">
            <w:pPr>
              <w:spacing w:after="0"/>
              <w:rPr>
                <w:noProof/>
              </w:rPr>
            </w:pPr>
            <w:r w:rsidRPr="00E60F95">
              <w:rPr>
                <w:noProof/>
              </w:rPr>
              <w:drawing>
                <wp:inline distT="0" distB="0" distL="0" distR="0" wp14:anchorId="0A265705" wp14:editId="7BE521EC">
                  <wp:extent cx="295154" cy="295154"/>
                  <wp:effectExtent l="0" t="0" r="0" b="0"/>
                  <wp:docPr id="96" name="Graphic 9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772ACB01" w14:textId="1A82B418" w:rsidR="004B3AA7" w:rsidRDefault="004B3AA7" w:rsidP="004B3AA7">
            <w:pPr>
              <w:spacing w:after="0"/>
              <w:rPr>
                <w:noProof/>
              </w:rPr>
            </w:pPr>
            <w:r w:rsidRPr="00E60F95">
              <w:rPr>
                <w:noProof/>
              </w:rPr>
              <w:drawing>
                <wp:inline distT="0" distB="0" distL="0" distR="0" wp14:anchorId="2343BBA9" wp14:editId="78830C0C">
                  <wp:extent cx="295154" cy="295154"/>
                  <wp:effectExtent l="0" t="0" r="0" b="0"/>
                  <wp:docPr id="97" name="Graphic 9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3FBAD84E" w14:textId="7DBEDFA5" w:rsidR="004B3AA7" w:rsidRDefault="004B3AA7" w:rsidP="004B3AA7">
            <w:pPr>
              <w:spacing w:after="0"/>
              <w:rPr>
                <w:noProof/>
              </w:rPr>
            </w:pPr>
            <w:r w:rsidRPr="00E60F95">
              <w:rPr>
                <w:noProof/>
              </w:rPr>
              <w:drawing>
                <wp:inline distT="0" distB="0" distL="0" distR="0" wp14:anchorId="1E96AE03" wp14:editId="159E6051">
                  <wp:extent cx="295154" cy="295154"/>
                  <wp:effectExtent l="0" t="0" r="0" b="0"/>
                  <wp:docPr id="98" name="Graphic 9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7E08F462" w14:textId="22B92E1A" w:rsidR="004B3AA7" w:rsidRDefault="004B3AA7" w:rsidP="004B3AA7">
            <w:pPr>
              <w:spacing w:after="0"/>
              <w:rPr>
                <w:noProof/>
              </w:rPr>
            </w:pPr>
            <w:r w:rsidRPr="00E60F95">
              <w:rPr>
                <w:noProof/>
              </w:rPr>
              <w:drawing>
                <wp:inline distT="0" distB="0" distL="0" distR="0" wp14:anchorId="352A4F39" wp14:editId="332E04E4">
                  <wp:extent cx="295154" cy="295154"/>
                  <wp:effectExtent l="0" t="0" r="0" b="0"/>
                  <wp:docPr id="99" name="Graphic 9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389461D1" w14:textId="313A2FAB" w:rsidR="004B3AA7" w:rsidRDefault="004B3AA7" w:rsidP="004B3AA7">
            <w:pPr>
              <w:spacing w:after="0"/>
              <w:rPr>
                <w:noProof/>
              </w:rPr>
            </w:pPr>
            <w:r w:rsidRPr="00E60F95">
              <w:rPr>
                <w:noProof/>
              </w:rPr>
              <w:drawing>
                <wp:inline distT="0" distB="0" distL="0" distR="0" wp14:anchorId="2043862E" wp14:editId="597F66BE">
                  <wp:extent cx="295154" cy="295154"/>
                  <wp:effectExtent l="0" t="0" r="0" b="0"/>
                  <wp:docPr id="100" name="Graphic 10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20A27F05" w14:textId="77777777" w:rsidTr="00644BE1">
        <w:tc>
          <w:tcPr>
            <w:tcW w:w="954" w:type="pct"/>
          </w:tcPr>
          <w:p w14:paraId="5E5088E9" w14:textId="77777777" w:rsidR="004B3AA7" w:rsidRPr="00ED1973" w:rsidRDefault="004B3AA7" w:rsidP="004B3AA7">
            <w:pPr>
              <w:spacing w:after="0"/>
            </w:pPr>
            <w:r w:rsidRPr="00ED1973">
              <w:t>Tasmania</w:t>
            </w:r>
          </w:p>
        </w:tc>
        <w:tc>
          <w:tcPr>
            <w:tcW w:w="756" w:type="pct"/>
          </w:tcPr>
          <w:p w14:paraId="52A13852" w14:textId="20534309" w:rsidR="004B3AA7" w:rsidRDefault="004B3AA7" w:rsidP="004B3AA7">
            <w:pPr>
              <w:spacing w:after="0"/>
              <w:rPr>
                <w:noProof/>
              </w:rPr>
            </w:pPr>
            <w:r w:rsidRPr="00E60F95">
              <w:rPr>
                <w:noProof/>
              </w:rPr>
              <w:drawing>
                <wp:inline distT="0" distB="0" distL="0" distR="0" wp14:anchorId="353F841E" wp14:editId="60BC3030">
                  <wp:extent cx="295154" cy="295154"/>
                  <wp:effectExtent l="0" t="0" r="0" b="0"/>
                  <wp:docPr id="101" name="Graphic 10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0DFA8E4A" w14:textId="56721767" w:rsidR="004B3AA7" w:rsidRDefault="004B3AA7" w:rsidP="004B3AA7">
            <w:pPr>
              <w:spacing w:after="0"/>
              <w:rPr>
                <w:noProof/>
              </w:rPr>
            </w:pPr>
            <w:r w:rsidRPr="00E60F95">
              <w:rPr>
                <w:noProof/>
              </w:rPr>
              <w:drawing>
                <wp:inline distT="0" distB="0" distL="0" distR="0" wp14:anchorId="71F8ABBF" wp14:editId="6BE1BCB7">
                  <wp:extent cx="295154" cy="295154"/>
                  <wp:effectExtent l="0" t="0" r="0" b="0"/>
                  <wp:docPr id="102" name="Graphic 10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603160F5" w14:textId="77E1B1E1" w:rsidR="004B3AA7" w:rsidRDefault="004B3AA7" w:rsidP="004B3AA7">
            <w:pPr>
              <w:spacing w:after="0"/>
              <w:rPr>
                <w:noProof/>
              </w:rPr>
            </w:pPr>
            <w:r w:rsidRPr="00E60F95">
              <w:rPr>
                <w:noProof/>
              </w:rPr>
              <w:drawing>
                <wp:inline distT="0" distB="0" distL="0" distR="0" wp14:anchorId="2871F642" wp14:editId="3700FCA5">
                  <wp:extent cx="295154" cy="295154"/>
                  <wp:effectExtent l="0" t="0" r="0" b="0"/>
                  <wp:docPr id="103" name="Graphic 1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61617A0F" w14:textId="077E67BD" w:rsidR="004B3AA7" w:rsidRDefault="004B3AA7" w:rsidP="004B3AA7">
            <w:pPr>
              <w:spacing w:after="0"/>
              <w:rPr>
                <w:noProof/>
              </w:rPr>
            </w:pPr>
            <w:r w:rsidRPr="00E60F95">
              <w:rPr>
                <w:noProof/>
              </w:rPr>
              <w:drawing>
                <wp:inline distT="0" distB="0" distL="0" distR="0" wp14:anchorId="175E6706" wp14:editId="1BA30ED9">
                  <wp:extent cx="295154" cy="295154"/>
                  <wp:effectExtent l="0" t="0" r="0" b="0"/>
                  <wp:docPr id="104" name="Graphic 10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7394703B" w14:textId="079568EC" w:rsidR="004B3AA7" w:rsidRDefault="004B3AA7" w:rsidP="004B3AA7">
            <w:pPr>
              <w:spacing w:after="0"/>
              <w:rPr>
                <w:noProof/>
              </w:rPr>
            </w:pPr>
            <w:r w:rsidRPr="00E60F95">
              <w:rPr>
                <w:noProof/>
              </w:rPr>
              <w:drawing>
                <wp:inline distT="0" distB="0" distL="0" distR="0" wp14:anchorId="09E6D218" wp14:editId="7716AA92">
                  <wp:extent cx="295154" cy="295154"/>
                  <wp:effectExtent l="0" t="0" r="0" b="0"/>
                  <wp:docPr id="105" name="Graphic 10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6395ECC5" w14:textId="77777777" w:rsidTr="00644BE1">
        <w:tc>
          <w:tcPr>
            <w:tcW w:w="954" w:type="pct"/>
          </w:tcPr>
          <w:p w14:paraId="14EFB8C3" w14:textId="77777777" w:rsidR="004B3AA7" w:rsidRPr="00ED1973" w:rsidRDefault="004B3AA7" w:rsidP="004B3AA7">
            <w:pPr>
              <w:spacing w:after="0"/>
            </w:pPr>
            <w:r w:rsidRPr="00ED1973">
              <w:t>Australian Capital Territory</w:t>
            </w:r>
          </w:p>
        </w:tc>
        <w:tc>
          <w:tcPr>
            <w:tcW w:w="756" w:type="pct"/>
          </w:tcPr>
          <w:p w14:paraId="4B8FD16D" w14:textId="2E91919B" w:rsidR="004B3AA7" w:rsidRPr="00ED1973" w:rsidRDefault="004B3AA7" w:rsidP="004B3AA7">
            <w:pPr>
              <w:spacing w:after="0"/>
            </w:pPr>
            <w:r w:rsidRPr="00E60F95">
              <w:rPr>
                <w:noProof/>
              </w:rPr>
              <w:drawing>
                <wp:inline distT="0" distB="0" distL="0" distR="0" wp14:anchorId="218BBDEE" wp14:editId="0902060B">
                  <wp:extent cx="295154" cy="295154"/>
                  <wp:effectExtent l="0" t="0" r="0" b="0"/>
                  <wp:docPr id="106" name="Graphic 10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67623277" w14:textId="4E119BE9" w:rsidR="004B3AA7" w:rsidRPr="00E726EF" w:rsidRDefault="004B3AA7" w:rsidP="004B3AA7">
            <w:pPr>
              <w:spacing w:after="0"/>
            </w:pPr>
            <w:r w:rsidRPr="00E60F95">
              <w:rPr>
                <w:noProof/>
              </w:rPr>
              <w:drawing>
                <wp:inline distT="0" distB="0" distL="0" distR="0" wp14:anchorId="149714FC" wp14:editId="030CCB23">
                  <wp:extent cx="295154" cy="295154"/>
                  <wp:effectExtent l="0" t="0" r="0" b="0"/>
                  <wp:docPr id="107" name="Graphic 10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3D36E057" w14:textId="3BE92866" w:rsidR="004B3AA7" w:rsidRPr="00E726EF" w:rsidRDefault="004B3AA7" w:rsidP="004B3AA7">
            <w:pPr>
              <w:spacing w:after="0"/>
            </w:pPr>
            <w:r w:rsidRPr="00E60F95">
              <w:rPr>
                <w:noProof/>
              </w:rPr>
              <w:drawing>
                <wp:inline distT="0" distB="0" distL="0" distR="0" wp14:anchorId="7ABF9E74" wp14:editId="242EBA55">
                  <wp:extent cx="295154" cy="295154"/>
                  <wp:effectExtent l="0" t="0" r="0" b="0"/>
                  <wp:docPr id="108" name="Graphic 1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7D492CAA" w14:textId="597D611D" w:rsidR="004B3AA7" w:rsidRPr="00E726EF" w:rsidRDefault="004B3AA7" w:rsidP="004B3AA7">
            <w:pPr>
              <w:spacing w:after="0"/>
            </w:pPr>
            <w:r w:rsidRPr="00E60F95">
              <w:rPr>
                <w:noProof/>
              </w:rPr>
              <w:drawing>
                <wp:inline distT="0" distB="0" distL="0" distR="0" wp14:anchorId="3A037DE9" wp14:editId="33022E75">
                  <wp:extent cx="295154" cy="295154"/>
                  <wp:effectExtent l="0" t="0" r="0" b="0"/>
                  <wp:docPr id="109" name="Graphic 10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7B436566" w14:textId="3B9AAAA9" w:rsidR="004B3AA7" w:rsidRPr="00E726EF" w:rsidRDefault="004B3AA7" w:rsidP="004B3AA7">
            <w:pPr>
              <w:spacing w:after="0"/>
            </w:pPr>
            <w:r w:rsidRPr="00E60F95">
              <w:rPr>
                <w:noProof/>
              </w:rPr>
              <w:drawing>
                <wp:inline distT="0" distB="0" distL="0" distR="0" wp14:anchorId="3791E68B" wp14:editId="73463178">
                  <wp:extent cx="295154" cy="295154"/>
                  <wp:effectExtent l="0" t="0" r="0" b="0"/>
                  <wp:docPr id="110" name="Graphic 1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r w:rsidR="004B3AA7" w:rsidRPr="00E726EF" w14:paraId="34873CD1" w14:textId="77777777" w:rsidTr="00644BE1">
        <w:tc>
          <w:tcPr>
            <w:tcW w:w="954" w:type="pct"/>
          </w:tcPr>
          <w:p w14:paraId="09A91F01" w14:textId="77777777" w:rsidR="004B3AA7" w:rsidRPr="00ED1973" w:rsidRDefault="004B3AA7" w:rsidP="004B3AA7">
            <w:pPr>
              <w:spacing w:after="0"/>
            </w:pPr>
            <w:r w:rsidRPr="00ED1973">
              <w:t>Northern Territory</w:t>
            </w:r>
          </w:p>
        </w:tc>
        <w:tc>
          <w:tcPr>
            <w:tcW w:w="756" w:type="pct"/>
          </w:tcPr>
          <w:p w14:paraId="3817303F" w14:textId="2DAE786A" w:rsidR="004B3AA7" w:rsidRPr="00ED1973" w:rsidRDefault="004B3AA7" w:rsidP="004B3AA7">
            <w:pPr>
              <w:spacing w:after="0"/>
            </w:pPr>
            <w:r w:rsidRPr="00E60F95">
              <w:rPr>
                <w:noProof/>
              </w:rPr>
              <w:drawing>
                <wp:inline distT="0" distB="0" distL="0" distR="0" wp14:anchorId="194E38A0" wp14:editId="68DF1BDA">
                  <wp:extent cx="295154" cy="295154"/>
                  <wp:effectExtent l="0" t="0" r="0" b="0"/>
                  <wp:docPr id="111" name="Graphic 1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91" w:type="pct"/>
          </w:tcPr>
          <w:p w14:paraId="6CA2B448" w14:textId="1CD9AB0D" w:rsidR="004B3AA7" w:rsidRPr="00E726EF" w:rsidRDefault="004B3AA7" w:rsidP="004B3AA7">
            <w:pPr>
              <w:spacing w:after="0"/>
            </w:pPr>
            <w:r w:rsidRPr="00E60F95">
              <w:rPr>
                <w:noProof/>
              </w:rPr>
              <w:drawing>
                <wp:inline distT="0" distB="0" distL="0" distR="0" wp14:anchorId="6583C114" wp14:editId="0A930552">
                  <wp:extent cx="295154" cy="295154"/>
                  <wp:effectExtent l="0" t="0" r="0" b="0"/>
                  <wp:docPr id="112" name="Graphic 1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810" w:type="pct"/>
          </w:tcPr>
          <w:p w14:paraId="38EB0E5D" w14:textId="2FAF21D3" w:rsidR="004B3AA7" w:rsidRPr="00E726EF" w:rsidRDefault="004B3AA7" w:rsidP="004B3AA7">
            <w:pPr>
              <w:spacing w:after="0"/>
            </w:pPr>
            <w:r w:rsidRPr="00E60F95">
              <w:rPr>
                <w:noProof/>
              </w:rPr>
              <w:drawing>
                <wp:inline distT="0" distB="0" distL="0" distR="0" wp14:anchorId="6CB17869" wp14:editId="6F654F66">
                  <wp:extent cx="295154" cy="295154"/>
                  <wp:effectExtent l="0" t="0" r="0" b="0"/>
                  <wp:docPr id="113" name="Graphic 1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773" w:type="pct"/>
          </w:tcPr>
          <w:p w14:paraId="2C92E851" w14:textId="75BD1E09" w:rsidR="004B3AA7" w:rsidRPr="00E726EF" w:rsidRDefault="004B3AA7" w:rsidP="004B3AA7">
            <w:pPr>
              <w:spacing w:after="0"/>
            </w:pPr>
            <w:r w:rsidRPr="00E60F95">
              <w:rPr>
                <w:noProof/>
              </w:rPr>
              <w:drawing>
                <wp:inline distT="0" distB="0" distL="0" distR="0" wp14:anchorId="73362FCF" wp14:editId="00D511D0">
                  <wp:extent cx="295154" cy="295154"/>
                  <wp:effectExtent l="0" t="0" r="0" b="0"/>
                  <wp:docPr id="114" name="Graphic 1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c>
          <w:tcPr>
            <w:tcW w:w="915" w:type="pct"/>
          </w:tcPr>
          <w:p w14:paraId="1AE73FCC" w14:textId="66E4B3AA" w:rsidR="004B3AA7" w:rsidRPr="00E726EF" w:rsidRDefault="004B3AA7" w:rsidP="004B3AA7">
            <w:pPr>
              <w:spacing w:after="0"/>
            </w:pPr>
            <w:r w:rsidRPr="00E60F95">
              <w:rPr>
                <w:noProof/>
              </w:rPr>
              <w:drawing>
                <wp:inline distT="0" distB="0" distL="0" distR="0" wp14:anchorId="6ECD7053" wp14:editId="5A5B0BC0">
                  <wp:extent cx="295154" cy="295154"/>
                  <wp:effectExtent l="0" t="0" r="0" b="0"/>
                  <wp:docPr id="115" name="Graphic 1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154" cy="295154"/>
                          </a:xfrm>
                          <a:prstGeom prst="rect">
                            <a:avLst/>
                          </a:prstGeom>
                        </pic:spPr>
                      </pic:pic>
                    </a:graphicData>
                  </a:graphic>
                </wp:inline>
              </w:drawing>
            </w:r>
          </w:p>
        </w:tc>
      </w:tr>
    </w:tbl>
    <w:p w14:paraId="7D549A46" w14:textId="591B3F3E" w:rsidR="002031C2" w:rsidRDefault="00A84421" w:rsidP="00717AC1">
      <w:pPr>
        <w:spacing w:before="240"/>
        <w:ind w:right="91"/>
      </w:pPr>
      <w:r>
        <w:t xml:space="preserve">The amendments </w:t>
      </w:r>
      <w:r w:rsidR="008A7412">
        <w:t>ensure that r</w:t>
      </w:r>
      <w:r>
        <w:t xml:space="preserve">egistered charities and the ACNC will no longer be required to determine </w:t>
      </w:r>
      <w:r w:rsidR="00472A52">
        <w:t xml:space="preserve">whether the targeted conduct is </w:t>
      </w:r>
      <w:r w:rsidR="00C50F71">
        <w:t xml:space="preserve">prescribed </w:t>
      </w:r>
      <w:r w:rsidR="00472A52">
        <w:t xml:space="preserve">as an indictable offence under the law of the jurisdiction </w:t>
      </w:r>
      <w:r w:rsidR="00C50F71">
        <w:t xml:space="preserve">in which </w:t>
      </w:r>
      <w:r w:rsidR="00472A52">
        <w:t>the conduct took place.</w:t>
      </w:r>
      <w:r w:rsidR="008A7412">
        <w:t xml:space="preserve"> </w:t>
      </w:r>
      <w:r w:rsidR="002031C2">
        <w:t xml:space="preserve">Additionally, the amendments </w:t>
      </w:r>
      <w:r w:rsidR="00803BC9">
        <w:t>clarify, in line with</w:t>
      </w:r>
      <w:r w:rsidR="002031C2">
        <w:t xml:space="preserve"> community expectations</w:t>
      </w:r>
      <w:r w:rsidR="00803BC9">
        <w:t>,</w:t>
      </w:r>
      <w:r w:rsidR="002031C2">
        <w:t xml:space="preserve"> that registered charities should govern the use of their resources responsibly and ensure that their resources are </w:t>
      </w:r>
      <w:r w:rsidR="00426C2D">
        <w:t>not use</w:t>
      </w:r>
      <w:r w:rsidR="008A7412">
        <w:t>d</w:t>
      </w:r>
      <w:r w:rsidR="00426C2D">
        <w:t xml:space="preserve"> </w:t>
      </w:r>
      <w:r w:rsidR="00291BFA">
        <w:t>to actively promote others to engage in unlawful activities</w:t>
      </w:r>
      <w:r w:rsidR="00803BC9">
        <w:t>.</w:t>
      </w:r>
    </w:p>
    <w:p w14:paraId="5AB59551" w14:textId="77777777" w:rsidR="001C719F" w:rsidRDefault="001C719F" w:rsidP="001C719F">
      <w:pPr>
        <w:rPr>
          <w:b/>
          <w:bCs/>
          <w:i/>
        </w:rPr>
      </w:pPr>
      <w:r w:rsidRPr="00F43DC8" w:rsidDel="003B3E8F">
        <w:rPr>
          <w:b/>
          <w:bCs/>
          <w:i/>
        </w:rPr>
        <w:t xml:space="preserve">Option </w:t>
      </w:r>
      <w:r w:rsidR="00535D1F">
        <w:rPr>
          <w:b/>
          <w:bCs/>
          <w:i/>
        </w:rPr>
        <w:t>4</w:t>
      </w:r>
      <w:r w:rsidRPr="00F43DC8" w:rsidDel="003B3E8F">
        <w:rPr>
          <w:b/>
          <w:bCs/>
          <w:i/>
        </w:rPr>
        <w:t xml:space="preserve"> – </w:t>
      </w:r>
      <w:r w:rsidRPr="00F43DC8">
        <w:rPr>
          <w:b/>
          <w:bCs/>
          <w:i/>
        </w:rPr>
        <w:t>Amendments to the Charities Act 2013</w:t>
      </w:r>
      <w:r w:rsidRPr="00F43DC8" w:rsidDel="003B3E8F">
        <w:rPr>
          <w:b/>
          <w:bCs/>
          <w:i/>
        </w:rPr>
        <w:t xml:space="preserve"> </w:t>
      </w:r>
    </w:p>
    <w:p w14:paraId="0EB4E6F3" w14:textId="2D50890D" w:rsidR="00F77EA5" w:rsidRDefault="00A73DA5" w:rsidP="001C719F">
      <w:r>
        <w:t>T</w:t>
      </w:r>
      <w:r w:rsidR="00E54A6B">
        <w:t xml:space="preserve">he </w:t>
      </w:r>
      <w:r w:rsidR="00E54A6B" w:rsidRPr="00E86BE0">
        <w:rPr>
          <w:i/>
          <w:iCs/>
        </w:rPr>
        <w:t>Charities Act 2013</w:t>
      </w:r>
      <w:r w:rsidR="00E54A6B">
        <w:t xml:space="preserve"> </w:t>
      </w:r>
      <w:r>
        <w:t xml:space="preserve">could be amended to </w:t>
      </w:r>
      <w:r w:rsidR="00E54A6B">
        <w:t xml:space="preserve">provide additional clarity around </w:t>
      </w:r>
      <w:r w:rsidR="00F77EA5">
        <w:t xml:space="preserve">the circumstances </w:t>
      </w:r>
      <w:r w:rsidR="00381E22">
        <w:t xml:space="preserve">in which </w:t>
      </w:r>
      <w:r w:rsidR="00F77EA5">
        <w:t>a registered charity may have a disqualifying purpose of “engaging in or promoting activities that are unlawful or contrary to public policy</w:t>
      </w:r>
      <w:r w:rsidR="009A6C28">
        <w:t>”</w:t>
      </w:r>
      <w:r w:rsidR="00381E22">
        <w:t>.</w:t>
      </w:r>
      <w:r w:rsidR="00F77EA5">
        <w:t xml:space="preserve"> </w:t>
      </w:r>
      <w:r w:rsidR="00381E22" w:rsidRPr="001607A4">
        <w:t xml:space="preserve">Contraventions of </w:t>
      </w:r>
      <w:r w:rsidR="00381E22" w:rsidRPr="00413776">
        <w:t>the</w:t>
      </w:r>
      <w:r w:rsidR="00381E22">
        <w:t xml:space="preserve"> disqualifying purpose </w:t>
      </w:r>
      <w:r w:rsidR="00B0244D">
        <w:t xml:space="preserve">rules </w:t>
      </w:r>
      <w:r w:rsidR="00381E22" w:rsidRPr="001607A4">
        <w:t xml:space="preserve">result in revocation of a charity’s registration </w:t>
      </w:r>
      <w:r w:rsidR="009A6C28">
        <w:t xml:space="preserve">meaning the </w:t>
      </w:r>
      <w:r w:rsidR="00381E22">
        <w:t>charity los</w:t>
      </w:r>
      <w:r w:rsidR="009A6C28">
        <w:t xml:space="preserve">es </w:t>
      </w:r>
      <w:r w:rsidR="00381E22">
        <w:t xml:space="preserve">access to certain government funding </w:t>
      </w:r>
      <w:r w:rsidR="009A6C28">
        <w:t>and charitable tax concessions</w:t>
      </w:r>
      <w:r w:rsidR="00381E22">
        <w:t>.</w:t>
      </w:r>
    </w:p>
    <w:p w14:paraId="50C3ABA1" w14:textId="7441E505" w:rsidR="009A6C28" w:rsidRDefault="009A6C28" w:rsidP="001C719F">
      <w:r w:rsidRPr="001607A4">
        <w:t xml:space="preserve">Amendments to the </w:t>
      </w:r>
      <w:r w:rsidRPr="001607A4">
        <w:rPr>
          <w:i/>
        </w:rPr>
        <w:t>Charities Act 2013</w:t>
      </w:r>
      <w:r w:rsidRPr="001607A4">
        <w:t xml:space="preserve"> would effectively</w:t>
      </w:r>
      <w:r w:rsidRPr="001607A4">
        <w:rPr>
          <w:i/>
        </w:rPr>
        <w:t xml:space="preserve"> </w:t>
      </w:r>
      <w:r w:rsidRPr="001607A4">
        <w:t>remove the possibility for the ACNC to adopt other regulatory action (such as issuing formal warnings and giving directions) according to the ACNC Commissioner’s enforcement powers established under the ACNC Act.</w:t>
      </w:r>
      <w:r w:rsidR="00B75235">
        <w:t xml:space="preserve"> </w:t>
      </w:r>
      <w:r w:rsidR="00B41165">
        <w:t>Accordingly,</w:t>
      </w:r>
      <w:r>
        <w:t xml:space="preserve"> option 4 is a blunt instrument </w:t>
      </w:r>
      <w:r w:rsidR="00B41165">
        <w:t xml:space="preserve">to address the policy problem the Government is seeking to resolve.  </w:t>
      </w:r>
    </w:p>
    <w:p w14:paraId="79303599" w14:textId="00759365" w:rsidR="00B41165" w:rsidRDefault="00A531BE" w:rsidP="00B41165">
      <w:r>
        <w:t>Amendments to t</w:t>
      </w:r>
      <w:r w:rsidR="007E6EEC" w:rsidRPr="001607A4">
        <w:t xml:space="preserve">he disqualifying purpose rules within the </w:t>
      </w:r>
      <w:r w:rsidR="007E6EEC" w:rsidRPr="00413776">
        <w:rPr>
          <w:i/>
        </w:rPr>
        <w:t>Char</w:t>
      </w:r>
      <w:r w:rsidR="00B41165">
        <w:rPr>
          <w:i/>
        </w:rPr>
        <w:t>i</w:t>
      </w:r>
      <w:r w:rsidR="007E6EEC" w:rsidRPr="00413776">
        <w:rPr>
          <w:i/>
        </w:rPr>
        <w:t>ties Act 2013</w:t>
      </w:r>
      <w:r w:rsidR="007E6EEC" w:rsidRPr="001607A4">
        <w:t xml:space="preserve"> </w:t>
      </w:r>
      <w:r>
        <w:t xml:space="preserve">would </w:t>
      </w:r>
      <w:r w:rsidR="00B41165">
        <w:t xml:space="preserve">apply to </w:t>
      </w:r>
      <w:r w:rsidR="007E6EEC" w:rsidRPr="001607A4">
        <w:t>all 58,000 registered charities</w:t>
      </w:r>
      <w:r>
        <w:t xml:space="preserve">. </w:t>
      </w:r>
      <w:r w:rsidR="00B41165" w:rsidRPr="001607A4">
        <w:t xml:space="preserve">The higher risk of revocation for potentially accidental or inadvertent contraventions to the </w:t>
      </w:r>
      <w:r w:rsidR="00B41165" w:rsidRPr="001607A4">
        <w:rPr>
          <w:i/>
        </w:rPr>
        <w:t>Charities Act 2013</w:t>
      </w:r>
      <w:r w:rsidR="00B41165" w:rsidRPr="001607A4">
        <w:t xml:space="preserve"> could lead to registered charities operating in a more risk averse way</w:t>
      </w:r>
      <w:r>
        <w:t xml:space="preserve">, </w:t>
      </w:r>
      <w:r w:rsidR="00B41165" w:rsidRPr="001607A4">
        <w:t>scaling back their operations to the detriment of the Australian public. In contrast, under option 3</w:t>
      </w:r>
      <w:r>
        <w:t>,</w:t>
      </w:r>
      <w:r w:rsidR="00B41165" w:rsidRPr="001607A4">
        <w:t xml:space="preserve"> regulatory action will only be taken if the ACNC Commissioner reasonably believes that a registered charity has not complied with option 3, or it is more likely than not that it will not comply with this option.</w:t>
      </w:r>
    </w:p>
    <w:p w14:paraId="52D54BD4" w14:textId="1A9D0FDB" w:rsidR="00501E41" w:rsidRPr="001607A4" w:rsidRDefault="00A531BE" w:rsidP="001C719F">
      <w:r>
        <w:t xml:space="preserve">Under option 4, a handful of activist charities that regularly engage in </w:t>
      </w:r>
      <w:r w:rsidR="00B75235">
        <w:t xml:space="preserve">unlawful </w:t>
      </w:r>
      <w:r w:rsidR="00B0244D">
        <w:t xml:space="preserve">protest </w:t>
      </w:r>
      <w:r>
        <w:t>act</w:t>
      </w:r>
      <w:r w:rsidR="00B75235">
        <w:t xml:space="preserve">ion could </w:t>
      </w:r>
      <w:r>
        <w:t xml:space="preserve">be deregistered as a consequence of amendments to the disqualifying purpose rules if they </w:t>
      </w:r>
      <w:r w:rsidR="00B0244D">
        <w:t xml:space="preserve">continue to engage in unlawful activities.  </w:t>
      </w:r>
      <w:r w:rsidR="00501E41" w:rsidRPr="001607A4">
        <w:t xml:space="preserve">A reliable estimate of the costs associated with the loss of </w:t>
      </w:r>
      <w:r w:rsidR="00B0244D">
        <w:t xml:space="preserve">charitable </w:t>
      </w:r>
      <w:r w:rsidR="00501E41" w:rsidRPr="001607A4">
        <w:t xml:space="preserve">tax concessions cannot be quantified given any cost will be contingent on the nature of the </w:t>
      </w:r>
      <w:r w:rsidR="00B0244D">
        <w:t xml:space="preserve">charity’s </w:t>
      </w:r>
      <w:r w:rsidR="00501E41" w:rsidRPr="001607A4">
        <w:t>tax affairs, the types of tax concession that the charity is eligible for and any flow effects to the level of donations and other revenue streams.</w:t>
      </w:r>
    </w:p>
    <w:p w14:paraId="6F966C6F" w14:textId="77777777" w:rsidR="001E739E" w:rsidRPr="0055196E" w:rsidRDefault="001E739E">
      <w:pPr>
        <w:pStyle w:val="Heading1numbered"/>
        <w:numPr>
          <w:ilvl w:val="0"/>
          <w:numId w:val="10"/>
        </w:numPr>
      </w:pPr>
      <w:bookmarkStart w:id="29" w:name="_Toc58918224"/>
      <w:bookmarkStart w:id="30" w:name="_Toc58921458"/>
      <w:bookmarkStart w:id="31" w:name="_Toc72137346"/>
      <w:bookmarkStart w:id="32" w:name="_Toc51682501"/>
      <w:bookmarkStart w:id="33" w:name="_Toc51687349"/>
      <w:bookmarkEnd w:id="26"/>
      <w:bookmarkEnd w:id="27"/>
      <w:r w:rsidRPr="0055196E">
        <w:lastRenderedPageBreak/>
        <w:t xml:space="preserve">Who </w:t>
      </w:r>
      <w:r w:rsidR="007D13B7" w:rsidRPr="0055196E">
        <w:t>did</w:t>
      </w:r>
      <w:r w:rsidRPr="0055196E">
        <w:t xml:space="preserve"> you consult and how </w:t>
      </w:r>
      <w:r w:rsidR="00604349">
        <w:t>did you incorporate their feedback</w:t>
      </w:r>
      <w:bookmarkEnd w:id="29"/>
      <w:bookmarkEnd w:id="30"/>
      <w:r w:rsidR="00604349">
        <w:t>?</w:t>
      </w:r>
      <w:bookmarkEnd w:id="31"/>
      <w:r w:rsidRPr="0055196E">
        <w:t xml:space="preserve"> </w:t>
      </w:r>
    </w:p>
    <w:p w14:paraId="78CADDD9" w14:textId="77777777" w:rsidR="001B6AD9" w:rsidRPr="0055196E" w:rsidRDefault="00131FC1" w:rsidP="001B6AD9">
      <w:pPr>
        <w:rPr>
          <w:rFonts w:cstheme="minorHAnsi"/>
        </w:rPr>
      </w:pPr>
      <w:r w:rsidRPr="0055196E">
        <w:t>Trea</w:t>
      </w:r>
      <w:r w:rsidR="00C73627" w:rsidRPr="0055196E">
        <w:t>s</w:t>
      </w:r>
      <w:r w:rsidRPr="0055196E">
        <w:t xml:space="preserve">ury released </w:t>
      </w:r>
      <w:r w:rsidR="00A147E9">
        <w:t>exposure</w:t>
      </w:r>
      <w:r w:rsidRPr="0055196E">
        <w:t xml:space="preserve"> draft </w:t>
      </w:r>
      <w:r w:rsidR="00A147E9">
        <w:t>regulation,</w:t>
      </w:r>
      <w:r w:rsidRPr="0055196E">
        <w:t xml:space="preserve"> explanatory statement </w:t>
      </w:r>
      <w:r w:rsidR="00A147E9">
        <w:t xml:space="preserve">and FAQs </w:t>
      </w:r>
      <w:r w:rsidRPr="0055196E">
        <w:t>for public consultation on the Treasury website</w:t>
      </w:r>
      <w:r w:rsidR="009264E5">
        <w:t xml:space="preserve"> between 16 February 2021 and 14 March 2021</w:t>
      </w:r>
      <w:r w:rsidRPr="0055196E">
        <w:t xml:space="preserve">. </w:t>
      </w:r>
      <w:r w:rsidR="001B6AD9" w:rsidRPr="0055196E">
        <w:t xml:space="preserve">Treasury </w:t>
      </w:r>
      <w:r w:rsidRPr="0055196E">
        <w:t xml:space="preserve">also </w:t>
      </w:r>
      <w:r w:rsidR="006702BC">
        <w:t>conducted</w:t>
      </w:r>
      <w:r w:rsidRPr="0055196E">
        <w:rPr>
          <w:rFonts w:cstheme="minorHAnsi"/>
        </w:rPr>
        <w:t xml:space="preserve"> t</w:t>
      </w:r>
      <w:r w:rsidR="006702BC">
        <w:rPr>
          <w:rFonts w:cstheme="minorHAnsi"/>
        </w:rPr>
        <w:t>wo</w:t>
      </w:r>
      <w:r w:rsidRPr="0055196E">
        <w:rPr>
          <w:rFonts w:cstheme="minorHAnsi"/>
        </w:rPr>
        <w:t xml:space="preserve"> </w:t>
      </w:r>
      <w:r w:rsidR="009264E5">
        <w:rPr>
          <w:rFonts w:cstheme="minorHAnsi"/>
        </w:rPr>
        <w:t xml:space="preserve">targeted </w:t>
      </w:r>
      <w:r w:rsidR="006702BC">
        <w:rPr>
          <w:rFonts w:cstheme="minorHAnsi"/>
        </w:rPr>
        <w:t>roundtable</w:t>
      </w:r>
      <w:r w:rsidRPr="0055196E">
        <w:rPr>
          <w:rFonts w:cstheme="minorHAnsi"/>
        </w:rPr>
        <w:t xml:space="preserve"> sessions</w:t>
      </w:r>
      <w:r w:rsidR="006702BC">
        <w:rPr>
          <w:rFonts w:cstheme="minorHAnsi"/>
        </w:rPr>
        <w:t xml:space="preserve"> </w:t>
      </w:r>
      <w:r w:rsidR="006702BC">
        <w:t>with representatives from charities and law firms advising the charity sector.</w:t>
      </w:r>
      <w:r w:rsidR="00301A55">
        <w:t xml:space="preserve"> The roundtable sessions took place during the public consultation period and involved discussion on </w:t>
      </w:r>
      <w:r w:rsidR="00914B16">
        <w:t xml:space="preserve">the </w:t>
      </w:r>
      <w:r w:rsidR="00A018C6">
        <w:t>cons</w:t>
      </w:r>
      <w:r w:rsidR="00EA087D">
        <w:t>u</w:t>
      </w:r>
      <w:r w:rsidR="00A018C6">
        <w:t>l</w:t>
      </w:r>
      <w:r w:rsidR="00EA087D">
        <w:t>t</w:t>
      </w:r>
      <w:r w:rsidR="00A018C6">
        <w:t>ation</w:t>
      </w:r>
      <w:r w:rsidR="00914B16">
        <w:t xml:space="preserve"> materials broadly consistent with option 3. </w:t>
      </w:r>
      <w:r w:rsidR="00B4448E">
        <w:t>While the policy intention of option 3 has remained unchanged the drafting has evolved and refined to better reflect the policy intention</w:t>
      </w:r>
      <w:r w:rsidR="00324DDA">
        <w:t xml:space="preserve"> </w:t>
      </w:r>
      <w:r w:rsidR="00914B16">
        <w:t>following public feedback (see below).</w:t>
      </w:r>
    </w:p>
    <w:p w14:paraId="19ADD408" w14:textId="77777777" w:rsidR="00604349" w:rsidRDefault="006702BC" w:rsidP="00A147E9">
      <w:r>
        <w:t xml:space="preserve">Treasury </w:t>
      </w:r>
      <w:r w:rsidR="00A147E9">
        <w:t>received 65 written submissions</w:t>
      </w:r>
      <w:r>
        <w:t xml:space="preserve"> in total</w:t>
      </w:r>
      <w:r w:rsidR="008E319E">
        <w:t xml:space="preserve"> from charity groups, charity law firms, individuals and organisations including businesses</w:t>
      </w:r>
      <w:r w:rsidR="00A147E9">
        <w:t xml:space="preserve">. While some stakeholders </w:t>
      </w:r>
      <w:r>
        <w:t>were</w:t>
      </w:r>
      <w:r w:rsidR="00A147E9">
        <w:t xml:space="preserve"> supportive of the changes, the majority of stakeholders opposed the changes</w:t>
      </w:r>
      <w:r w:rsidR="006351A5">
        <w:t xml:space="preserve"> consulted upon</w:t>
      </w:r>
      <w:r w:rsidR="00A147E9">
        <w:t xml:space="preserve">. </w:t>
      </w:r>
      <w:r w:rsidR="006351A5">
        <w:t>The g</w:t>
      </w:r>
      <w:r w:rsidR="008E319E">
        <w:t xml:space="preserve">roup that generally supported the changes included some charities as well as other organisations. </w:t>
      </w:r>
    </w:p>
    <w:p w14:paraId="3CABF6AC" w14:textId="77777777" w:rsidR="00A147E9" w:rsidRPr="00D96B7D" w:rsidRDefault="006702BC" w:rsidP="00A147E9">
      <w:pPr>
        <w:rPr>
          <w:rFonts w:cstheme="minorHAnsi"/>
        </w:rPr>
      </w:pPr>
      <w:r w:rsidRPr="00D96B7D">
        <w:rPr>
          <w:rFonts w:cstheme="minorHAnsi"/>
        </w:rPr>
        <w:t>A summary of key concerns and issues raised by s</w:t>
      </w:r>
      <w:r w:rsidR="00A147E9" w:rsidRPr="00D96B7D">
        <w:rPr>
          <w:rFonts w:cstheme="minorHAnsi"/>
        </w:rPr>
        <w:t>takeholder</w:t>
      </w:r>
      <w:r w:rsidRPr="00D96B7D">
        <w:rPr>
          <w:rFonts w:cstheme="minorHAnsi"/>
        </w:rPr>
        <w:t>s over the course of the consultation period are summarised below.</w:t>
      </w:r>
    </w:p>
    <w:p w14:paraId="2C22EE11" w14:textId="77777777" w:rsidR="003E41D8" w:rsidRPr="00D96B7D" w:rsidRDefault="003E41D8" w:rsidP="003E41D8">
      <w:pPr>
        <w:pStyle w:val="OutlineNumbered1"/>
        <w:numPr>
          <w:ilvl w:val="0"/>
          <w:numId w:val="35"/>
        </w:numPr>
        <w:jc w:val="left"/>
        <w:rPr>
          <w:rFonts w:asciiTheme="minorHAnsi" w:hAnsiTheme="minorHAnsi" w:cstheme="minorHAnsi"/>
        </w:rPr>
      </w:pPr>
      <w:r w:rsidRPr="00D96B7D">
        <w:rPr>
          <w:rFonts w:asciiTheme="minorHAnsi" w:hAnsiTheme="minorHAnsi" w:cstheme="minorHAnsi"/>
        </w:rPr>
        <w:t>The summary offences captured are too broad, leading to uncertainty and an increased regulatory burden</w:t>
      </w:r>
      <w:r w:rsidR="00404869">
        <w:rPr>
          <w:rFonts w:asciiTheme="minorHAnsi" w:hAnsiTheme="minorHAnsi" w:cstheme="minorHAnsi"/>
        </w:rPr>
        <w:t xml:space="preserve"> as some charities may be required to obtain additional legal advice</w:t>
      </w:r>
      <w:r w:rsidRPr="00D96B7D">
        <w:rPr>
          <w:rFonts w:asciiTheme="minorHAnsi" w:hAnsiTheme="minorHAnsi" w:cstheme="minorHAnsi"/>
        </w:rPr>
        <w:t>.</w:t>
      </w:r>
      <w:r w:rsidR="001B337C" w:rsidRPr="00D96B7D">
        <w:rPr>
          <w:rFonts w:asciiTheme="minorHAnsi" w:hAnsiTheme="minorHAnsi" w:cstheme="minorHAnsi"/>
        </w:rPr>
        <w:t xml:space="preserve"> Stakeholders asserted that the breadth of summary offences captured may include very minor or obscure summary offences, particularly in relation to real and personal property. The breadth of potential offences captured creates uncertainty for charities about what offences are </w:t>
      </w:r>
      <w:r w:rsidR="008602F3" w:rsidRPr="00D96B7D">
        <w:rPr>
          <w:rFonts w:asciiTheme="minorHAnsi" w:hAnsiTheme="minorHAnsi" w:cstheme="minorHAnsi"/>
        </w:rPr>
        <w:t>captured</w:t>
      </w:r>
      <w:r w:rsidR="001B337C" w:rsidRPr="00D96B7D">
        <w:rPr>
          <w:rFonts w:asciiTheme="minorHAnsi" w:hAnsiTheme="minorHAnsi" w:cstheme="minorHAnsi"/>
        </w:rPr>
        <w:t>.</w:t>
      </w:r>
    </w:p>
    <w:p w14:paraId="5313C3E3" w14:textId="77777777" w:rsidR="003E41D8" w:rsidRDefault="003E41D8" w:rsidP="003E41D8">
      <w:pPr>
        <w:pStyle w:val="OutlineNumbered1"/>
        <w:numPr>
          <w:ilvl w:val="0"/>
          <w:numId w:val="35"/>
        </w:numPr>
        <w:jc w:val="left"/>
        <w:rPr>
          <w:rFonts w:asciiTheme="minorHAnsi" w:hAnsiTheme="minorHAnsi" w:cstheme="minorHAnsi"/>
        </w:rPr>
      </w:pPr>
      <w:bookmarkStart w:id="34" w:name="_Toc58921459"/>
      <w:bookmarkEnd w:id="32"/>
      <w:bookmarkEnd w:id="33"/>
      <w:r w:rsidRPr="00D96B7D">
        <w:rPr>
          <w:rFonts w:asciiTheme="minorHAnsi" w:hAnsiTheme="minorHAnsi" w:cstheme="minorHAnsi"/>
        </w:rPr>
        <w:t>The steps a charity must take to protect its resources from misuse (in terms of ‘promoting or supporting’ unlawful activities) are not practical or reasonable.</w:t>
      </w:r>
      <w:r w:rsidR="001B337C" w:rsidRPr="00D96B7D">
        <w:rPr>
          <w:rFonts w:asciiTheme="minorHAnsi" w:hAnsiTheme="minorHAnsi" w:cstheme="minorHAnsi"/>
        </w:rPr>
        <w:t xml:space="preserve"> Stakeholders expressed concern about the meaning of ‘reasonable steps’ and the regulatory burden this may impose on charities. Charities stated that they may need to keep extensive written records, conduct training of staff, employ additional compliance officers, risk management plans, insure assets, and in some cases seek legal advice to ensure compliance with the new rules in all their activities and operations.</w:t>
      </w:r>
    </w:p>
    <w:p w14:paraId="384EC0C5" w14:textId="77777777" w:rsidR="00595EA6" w:rsidRDefault="00595EA6" w:rsidP="00595EA6">
      <w:pPr>
        <w:pStyle w:val="OutlineNumbered1"/>
        <w:numPr>
          <w:ilvl w:val="0"/>
          <w:numId w:val="35"/>
        </w:numPr>
        <w:jc w:val="left"/>
        <w:rPr>
          <w:rFonts w:asciiTheme="minorHAnsi" w:hAnsiTheme="minorHAnsi" w:cstheme="minorHAnsi"/>
        </w:rPr>
      </w:pPr>
      <w:r w:rsidRPr="00595EA6">
        <w:rPr>
          <w:rFonts w:asciiTheme="minorHAnsi" w:hAnsiTheme="minorHAnsi" w:cstheme="minorHAnsi"/>
        </w:rPr>
        <w:t xml:space="preserve">Uncertainty about the meaning and practical threshold of what can be considered ‘supporting or promoting’ unlawful conduct. </w:t>
      </w:r>
      <w:r>
        <w:rPr>
          <w:rFonts w:asciiTheme="minorHAnsi" w:hAnsiTheme="minorHAnsi" w:cstheme="minorHAnsi"/>
        </w:rPr>
        <w:t>Some stakeholders said that without further guidance t</w:t>
      </w:r>
      <w:r w:rsidRPr="00595EA6">
        <w:rPr>
          <w:rFonts w:asciiTheme="minorHAnsi" w:hAnsiTheme="minorHAnsi" w:cstheme="minorHAnsi"/>
        </w:rPr>
        <w:t>he effect of this provision is that it may deter charities from advertising, reporting on or commenting on lawful protest action altogether</w:t>
      </w:r>
      <w:r>
        <w:rPr>
          <w:rFonts w:asciiTheme="minorHAnsi" w:hAnsiTheme="minorHAnsi" w:cstheme="minorHAnsi"/>
        </w:rPr>
        <w:t>.</w:t>
      </w:r>
      <w:r w:rsidR="002B2168">
        <w:rPr>
          <w:rFonts w:asciiTheme="minorHAnsi" w:hAnsiTheme="minorHAnsi" w:cstheme="minorHAnsi"/>
        </w:rPr>
        <w:t xml:space="preserve"> There was also concern that </w:t>
      </w:r>
      <w:r w:rsidR="002B2168" w:rsidRPr="002B2168">
        <w:rPr>
          <w:rFonts w:asciiTheme="minorHAnsi" w:hAnsiTheme="minorHAnsi" w:cstheme="minorHAnsi"/>
        </w:rPr>
        <w:t>the regulations would have a chilling effect and deter charities from lawful advocacy activities</w:t>
      </w:r>
      <w:r w:rsidR="002B2168">
        <w:rPr>
          <w:rFonts w:asciiTheme="minorHAnsi" w:hAnsiTheme="minorHAnsi" w:cstheme="minorHAnsi"/>
        </w:rPr>
        <w:t>.</w:t>
      </w:r>
    </w:p>
    <w:p w14:paraId="40460F39" w14:textId="77777777" w:rsidR="002B2168" w:rsidRPr="002C4341" w:rsidRDefault="00595EA6" w:rsidP="002C4341">
      <w:pPr>
        <w:pStyle w:val="OutlineNumbered1"/>
        <w:numPr>
          <w:ilvl w:val="0"/>
          <w:numId w:val="35"/>
        </w:numPr>
        <w:jc w:val="left"/>
        <w:rPr>
          <w:rFonts w:asciiTheme="minorHAnsi" w:hAnsiTheme="minorHAnsi" w:cstheme="minorHAnsi"/>
        </w:rPr>
      </w:pPr>
      <w:r w:rsidRPr="002C4341">
        <w:rPr>
          <w:rFonts w:asciiTheme="minorHAnsi" w:hAnsiTheme="minorHAnsi" w:cstheme="minorHAnsi"/>
        </w:rPr>
        <w:t xml:space="preserve">General concerns about the </w:t>
      </w:r>
      <w:r w:rsidR="002C4341" w:rsidRPr="002C4341">
        <w:rPr>
          <w:rFonts w:asciiTheme="minorHAnsi" w:hAnsiTheme="minorHAnsi" w:cstheme="minorHAnsi"/>
        </w:rPr>
        <w:t xml:space="preserve">administration of the revised governance standard in practice, including the </w:t>
      </w:r>
      <w:r w:rsidRPr="002C4341">
        <w:rPr>
          <w:rFonts w:asciiTheme="minorHAnsi" w:hAnsiTheme="minorHAnsi" w:cstheme="minorHAnsi"/>
        </w:rPr>
        <w:t>ACNC Commissioner’s discretion and pre-emptive enforcement powers.</w:t>
      </w:r>
      <w:r w:rsidR="002C4341" w:rsidRPr="002C4341">
        <w:rPr>
          <w:rFonts w:asciiTheme="minorHAnsi" w:hAnsiTheme="minorHAnsi" w:cstheme="minorHAnsi"/>
        </w:rPr>
        <w:t xml:space="preserve"> Some stakeholders</w:t>
      </w:r>
      <w:r w:rsidR="002C4341">
        <w:rPr>
          <w:rFonts w:asciiTheme="minorHAnsi" w:hAnsiTheme="minorHAnsi" w:cstheme="minorHAnsi"/>
        </w:rPr>
        <w:t xml:space="preserve"> stated that more clarity was needed in situations of inadvertent contraventions (An example being where a charity</w:t>
      </w:r>
      <w:r w:rsidR="002C4341" w:rsidRPr="002C4341">
        <w:rPr>
          <w:rFonts w:asciiTheme="minorHAnsi" w:hAnsiTheme="minorHAnsi" w:cstheme="minorHAnsi"/>
        </w:rPr>
        <w:t xml:space="preserve"> deploys its resources during di</w:t>
      </w:r>
      <w:r w:rsidR="002C4341">
        <w:rPr>
          <w:rFonts w:asciiTheme="minorHAnsi" w:hAnsiTheme="minorHAnsi" w:cstheme="minorHAnsi"/>
        </w:rPr>
        <w:t xml:space="preserve">saster and emergency responses, such as </w:t>
      </w:r>
      <w:r w:rsidR="002C4341" w:rsidRPr="002C4341">
        <w:rPr>
          <w:rFonts w:asciiTheme="minorHAnsi" w:hAnsiTheme="minorHAnsi" w:cstheme="minorHAnsi"/>
        </w:rPr>
        <w:t xml:space="preserve">evacuating a group of people and gathering on </w:t>
      </w:r>
      <w:r w:rsidR="002C4341">
        <w:rPr>
          <w:rFonts w:asciiTheme="minorHAnsi" w:hAnsiTheme="minorHAnsi" w:cstheme="minorHAnsi"/>
        </w:rPr>
        <w:t xml:space="preserve">a </w:t>
      </w:r>
      <w:r w:rsidR="002C4341" w:rsidRPr="002C4341">
        <w:rPr>
          <w:rFonts w:asciiTheme="minorHAnsi" w:hAnsiTheme="minorHAnsi" w:cstheme="minorHAnsi"/>
        </w:rPr>
        <w:t>property).</w:t>
      </w:r>
    </w:p>
    <w:p w14:paraId="5AC2C663" w14:textId="77777777" w:rsidR="00604349" w:rsidRPr="00D96B7D" w:rsidRDefault="00604349" w:rsidP="00604349">
      <w:pPr>
        <w:pStyle w:val="OutlineNumbered1"/>
        <w:numPr>
          <w:ilvl w:val="0"/>
          <w:numId w:val="0"/>
        </w:numPr>
        <w:ind w:left="520" w:hanging="520"/>
        <w:jc w:val="left"/>
        <w:rPr>
          <w:rFonts w:asciiTheme="minorHAnsi" w:hAnsiTheme="minorHAnsi" w:cstheme="minorHAnsi"/>
        </w:rPr>
      </w:pPr>
      <w:r w:rsidRPr="00D96B7D">
        <w:rPr>
          <w:rFonts w:asciiTheme="minorHAnsi" w:hAnsiTheme="minorHAnsi" w:cstheme="minorHAnsi"/>
        </w:rPr>
        <w:t>Treasury incorporated feedback from stakeholders by revising the draft regulations as follows:</w:t>
      </w:r>
    </w:p>
    <w:p w14:paraId="7D41A525" w14:textId="2F7C7C24" w:rsidR="00604349" w:rsidRPr="00D96B7D" w:rsidRDefault="00604349" w:rsidP="00314526">
      <w:pPr>
        <w:pStyle w:val="OutlineNumbered1"/>
        <w:numPr>
          <w:ilvl w:val="0"/>
          <w:numId w:val="42"/>
        </w:numPr>
        <w:jc w:val="left"/>
        <w:rPr>
          <w:rFonts w:asciiTheme="minorHAnsi" w:hAnsiTheme="minorHAnsi" w:cstheme="minorHAnsi"/>
        </w:rPr>
      </w:pPr>
      <w:r w:rsidRPr="00D96B7D">
        <w:rPr>
          <w:rFonts w:asciiTheme="minorHAnsi" w:hAnsiTheme="minorHAnsi" w:cstheme="minorHAnsi"/>
        </w:rPr>
        <w:t xml:space="preserve">Refining the scope of summary offences relating to property to key offences intended to be captured under the changes (i.e. </w:t>
      </w:r>
      <w:r w:rsidR="001E1E43">
        <w:rPr>
          <w:rFonts w:asciiTheme="minorHAnsi" w:hAnsiTheme="minorHAnsi" w:cstheme="minorHAnsi"/>
        </w:rPr>
        <w:t xml:space="preserve">trespass, vandalism, </w:t>
      </w:r>
      <w:r w:rsidRPr="00D96B7D">
        <w:rPr>
          <w:rFonts w:asciiTheme="minorHAnsi" w:hAnsiTheme="minorHAnsi" w:cstheme="minorHAnsi"/>
        </w:rPr>
        <w:t>theft</w:t>
      </w:r>
      <w:r w:rsidR="00314526" w:rsidRPr="00D96B7D">
        <w:rPr>
          <w:rFonts w:asciiTheme="minorHAnsi" w:hAnsiTheme="minorHAnsi" w:cstheme="minorHAnsi"/>
        </w:rPr>
        <w:t xml:space="preserve"> of property</w:t>
      </w:r>
      <w:r w:rsidR="001E1E43">
        <w:rPr>
          <w:rFonts w:asciiTheme="minorHAnsi" w:hAnsiTheme="minorHAnsi" w:cstheme="minorHAnsi"/>
        </w:rPr>
        <w:t xml:space="preserve">, </w:t>
      </w:r>
      <w:r w:rsidR="00333856">
        <w:rPr>
          <w:rFonts w:asciiTheme="minorHAnsi" w:hAnsiTheme="minorHAnsi" w:cstheme="minorHAnsi"/>
        </w:rPr>
        <w:t xml:space="preserve">assault and threatening </w:t>
      </w:r>
      <w:r w:rsidR="001E1E43">
        <w:rPr>
          <w:rFonts w:asciiTheme="minorHAnsi" w:hAnsiTheme="minorHAnsi" w:cstheme="minorHAnsi"/>
        </w:rPr>
        <w:t>harm</w:t>
      </w:r>
      <w:r w:rsidRPr="00D96B7D">
        <w:rPr>
          <w:rFonts w:asciiTheme="minorHAnsi" w:hAnsiTheme="minorHAnsi" w:cstheme="minorHAnsi"/>
        </w:rPr>
        <w:t>).</w:t>
      </w:r>
    </w:p>
    <w:p w14:paraId="5A696CD5" w14:textId="2ED1A820" w:rsidR="00314526" w:rsidRPr="00D96B7D" w:rsidRDefault="00314526" w:rsidP="00314526">
      <w:pPr>
        <w:pStyle w:val="OutlineNumbered1"/>
        <w:numPr>
          <w:ilvl w:val="0"/>
          <w:numId w:val="42"/>
        </w:numPr>
        <w:spacing w:after="200"/>
        <w:jc w:val="left"/>
        <w:rPr>
          <w:rFonts w:asciiTheme="minorHAnsi" w:hAnsiTheme="minorHAnsi" w:cstheme="minorHAnsi"/>
        </w:rPr>
      </w:pPr>
      <w:r w:rsidRPr="00D96B7D">
        <w:rPr>
          <w:rFonts w:asciiTheme="minorHAnsi" w:hAnsiTheme="minorHAnsi" w:cstheme="minorHAnsi"/>
        </w:rPr>
        <w:lastRenderedPageBreak/>
        <w:t>Refin</w:t>
      </w:r>
      <w:r w:rsidR="002C4341">
        <w:rPr>
          <w:rFonts w:asciiTheme="minorHAnsi" w:hAnsiTheme="minorHAnsi" w:cstheme="minorHAnsi"/>
        </w:rPr>
        <w:t>ing</w:t>
      </w:r>
      <w:r w:rsidRPr="00D96B7D">
        <w:rPr>
          <w:rFonts w:asciiTheme="minorHAnsi" w:hAnsiTheme="minorHAnsi" w:cstheme="minorHAnsi"/>
        </w:rPr>
        <w:t xml:space="preserve"> the provision to require charities to maintain ‘reasonable internal control procedures’ rather than taking ‘reasonable steps’ to ensure their resources are not used in contravention of the </w:t>
      </w:r>
      <w:r w:rsidR="001E1E43">
        <w:rPr>
          <w:rFonts w:asciiTheme="minorHAnsi" w:hAnsiTheme="minorHAnsi" w:cstheme="minorHAnsi"/>
        </w:rPr>
        <w:t xml:space="preserve">revised </w:t>
      </w:r>
      <w:r w:rsidRPr="00D96B7D">
        <w:rPr>
          <w:rFonts w:asciiTheme="minorHAnsi" w:hAnsiTheme="minorHAnsi" w:cstheme="minorHAnsi"/>
        </w:rPr>
        <w:t>governance standard three.</w:t>
      </w:r>
      <w:r w:rsidRPr="00D96B7D">
        <w:rPr>
          <w:rFonts w:asciiTheme="minorHAnsi" w:hAnsiTheme="minorHAnsi" w:cstheme="minorHAnsi"/>
        </w:rPr>
        <w:br/>
      </w:r>
      <w:r w:rsidRPr="00D96B7D">
        <w:rPr>
          <w:rFonts w:asciiTheme="minorHAnsi" w:hAnsiTheme="minorHAnsi" w:cstheme="minorHAnsi"/>
        </w:rPr>
        <w:br/>
        <w:t>Maintaining appropriate safeguards and internal controls over a charity’s resources is the original intent of the requirement. Charities are not expected to keep extensive written records or seek legal advice to comply with the new rules. This change will clarify in the regulations what charities are practically required to do in order to comply with the new rules.</w:t>
      </w:r>
    </w:p>
    <w:p w14:paraId="198112E7" w14:textId="77777777" w:rsidR="00314526" w:rsidRPr="00D96B7D" w:rsidRDefault="00A21AD9" w:rsidP="00314526">
      <w:pPr>
        <w:pStyle w:val="OutlineNumbered1"/>
        <w:numPr>
          <w:ilvl w:val="0"/>
          <w:numId w:val="42"/>
        </w:numPr>
        <w:spacing w:after="200"/>
        <w:jc w:val="left"/>
        <w:rPr>
          <w:rFonts w:asciiTheme="minorHAnsi" w:hAnsiTheme="minorHAnsi" w:cstheme="minorHAnsi"/>
        </w:rPr>
      </w:pPr>
      <w:r>
        <w:rPr>
          <w:rFonts w:asciiTheme="minorHAnsi" w:hAnsiTheme="minorHAnsi" w:cstheme="minorHAnsi"/>
        </w:rPr>
        <w:t xml:space="preserve">Raising </w:t>
      </w:r>
      <w:r w:rsidRPr="00D96B7D">
        <w:rPr>
          <w:rFonts w:asciiTheme="minorHAnsi" w:hAnsiTheme="minorHAnsi" w:cstheme="minorHAnsi"/>
        </w:rPr>
        <w:t>the</w:t>
      </w:r>
      <w:r w:rsidR="00314526" w:rsidRPr="00D96B7D">
        <w:rPr>
          <w:rFonts w:asciiTheme="minorHAnsi" w:hAnsiTheme="minorHAnsi" w:cstheme="minorHAnsi"/>
        </w:rPr>
        <w:t xml:space="preserve"> threshold for enlivening the provision from ‘promote or support’ to ‘actively promote’</w:t>
      </w:r>
      <w:r w:rsidR="00C3381F">
        <w:rPr>
          <w:rFonts w:asciiTheme="minorHAnsi" w:hAnsiTheme="minorHAnsi" w:cstheme="minorHAnsi"/>
        </w:rPr>
        <w:t xml:space="preserve"> by a registered charity</w:t>
      </w:r>
      <w:r w:rsidR="00314526" w:rsidRPr="00D96B7D">
        <w:rPr>
          <w:rFonts w:asciiTheme="minorHAnsi" w:hAnsiTheme="minorHAnsi" w:cstheme="minorHAnsi"/>
        </w:rPr>
        <w:t>.</w:t>
      </w:r>
      <w:r w:rsidR="00314526" w:rsidRPr="00D96B7D">
        <w:rPr>
          <w:rFonts w:asciiTheme="minorHAnsi" w:hAnsiTheme="minorHAnsi" w:cstheme="minorHAnsi"/>
        </w:rPr>
        <w:br/>
      </w:r>
      <w:r w:rsidR="00314526" w:rsidRPr="00D96B7D">
        <w:rPr>
          <w:rFonts w:asciiTheme="minorHAnsi" w:hAnsiTheme="minorHAnsi" w:cstheme="minorHAnsi"/>
        </w:rPr>
        <w:br/>
      </w:r>
      <w:r w:rsidR="00172BA3">
        <w:rPr>
          <w:rFonts w:asciiTheme="minorHAnsi" w:hAnsiTheme="minorHAnsi" w:cstheme="minorHAnsi"/>
        </w:rPr>
        <w:t>Raising</w:t>
      </w:r>
      <w:r w:rsidR="00314526" w:rsidRPr="00D96B7D">
        <w:rPr>
          <w:rFonts w:asciiTheme="minorHAnsi" w:hAnsiTheme="minorHAnsi" w:cstheme="minorHAnsi"/>
        </w:rPr>
        <w:t xml:space="preserve"> the threshold to ‘actively promote’ reduces the risk of inadvertent, passive or unintentional breaches. This aligns with the </w:t>
      </w:r>
      <w:r w:rsidR="00172BA3">
        <w:rPr>
          <w:rFonts w:asciiTheme="minorHAnsi" w:hAnsiTheme="minorHAnsi" w:cstheme="minorHAnsi"/>
        </w:rPr>
        <w:t xml:space="preserve">policy </w:t>
      </w:r>
      <w:r w:rsidR="00314526" w:rsidRPr="00D96B7D">
        <w:rPr>
          <w:rFonts w:asciiTheme="minorHAnsi" w:hAnsiTheme="minorHAnsi" w:cstheme="minorHAnsi"/>
        </w:rPr>
        <w:t xml:space="preserve">intent of the changes which is to capture deliberate and active undertakings </w:t>
      </w:r>
      <w:r w:rsidR="00C3381F">
        <w:rPr>
          <w:rFonts w:asciiTheme="minorHAnsi" w:hAnsiTheme="minorHAnsi" w:cstheme="minorHAnsi"/>
        </w:rPr>
        <w:t>by</w:t>
      </w:r>
      <w:r w:rsidR="00314526" w:rsidRPr="00D96B7D">
        <w:rPr>
          <w:rFonts w:asciiTheme="minorHAnsi" w:hAnsiTheme="minorHAnsi" w:cstheme="minorHAnsi"/>
        </w:rPr>
        <w:t xml:space="preserve"> charities to promote unlawful activities.</w:t>
      </w:r>
    </w:p>
    <w:p w14:paraId="07BEF480" w14:textId="72FAFC47" w:rsidR="008E5E55" w:rsidRPr="00D96B7D" w:rsidRDefault="008E5E55" w:rsidP="008E5E55">
      <w:pPr>
        <w:pStyle w:val="OutlineNumbered1"/>
        <w:numPr>
          <w:ilvl w:val="0"/>
          <w:numId w:val="42"/>
        </w:numPr>
        <w:spacing w:after="200"/>
        <w:jc w:val="left"/>
        <w:rPr>
          <w:rFonts w:asciiTheme="minorHAnsi" w:hAnsiTheme="minorHAnsi" w:cstheme="minorHAnsi"/>
        </w:rPr>
      </w:pPr>
      <w:r w:rsidRPr="00D96B7D">
        <w:rPr>
          <w:rFonts w:asciiTheme="minorHAnsi" w:hAnsiTheme="minorHAnsi" w:cstheme="minorHAnsi"/>
        </w:rPr>
        <w:t>Includ</w:t>
      </w:r>
      <w:r w:rsidR="002C4341">
        <w:rPr>
          <w:rFonts w:asciiTheme="minorHAnsi" w:hAnsiTheme="minorHAnsi" w:cstheme="minorHAnsi"/>
        </w:rPr>
        <w:t>ing</w:t>
      </w:r>
      <w:r w:rsidRPr="00D96B7D">
        <w:rPr>
          <w:rFonts w:asciiTheme="minorHAnsi" w:hAnsiTheme="minorHAnsi" w:cstheme="minorHAnsi"/>
        </w:rPr>
        <w:t xml:space="preserve"> a note in the regulations that the ACNC Commissioner may consult relevant law enforcement authorities when forming a reasonable belief about whether or not a charity has engaged in an act </w:t>
      </w:r>
      <w:r w:rsidR="006E75EC">
        <w:rPr>
          <w:rFonts w:asciiTheme="minorHAnsi" w:hAnsiTheme="minorHAnsi" w:cstheme="minorHAnsi"/>
        </w:rPr>
        <w:t>which is a serious breach of Australian law</w:t>
      </w:r>
      <w:r w:rsidRPr="00D96B7D">
        <w:rPr>
          <w:rFonts w:asciiTheme="minorHAnsi" w:hAnsiTheme="minorHAnsi" w:cstheme="minorHAnsi"/>
        </w:rPr>
        <w:t>.</w:t>
      </w:r>
      <w:r w:rsidRPr="00D96B7D">
        <w:rPr>
          <w:rFonts w:asciiTheme="minorHAnsi" w:hAnsiTheme="minorHAnsi" w:cstheme="minorHAnsi"/>
        </w:rPr>
        <w:br/>
      </w:r>
      <w:r w:rsidRPr="00D96B7D">
        <w:rPr>
          <w:rFonts w:asciiTheme="minorHAnsi" w:hAnsiTheme="minorHAnsi" w:cstheme="minorHAnsi"/>
        </w:rPr>
        <w:br/>
        <w:t>This note is intended to address general concerns from stakeholders about the ACNC Commissioner’s discretion and enforcement powers.</w:t>
      </w:r>
    </w:p>
    <w:p w14:paraId="43B6780A" w14:textId="77777777" w:rsidR="00314526" w:rsidRDefault="00314526" w:rsidP="00314526">
      <w:pPr>
        <w:pStyle w:val="OutlineNumbered1"/>
        <w:numPr>
          <w:ilvl w:val="0"/>
          <w:numId w:val="0"/>
        </w:numPr>
        <w:spacing w:after="200"/>
        <w:jc w:val="left"/>
        <w:rPr>
          <w:rFonts w:asciiTheme="minorHAnsi" w:hAnsiTheme="minorHAnsi" w:cstheme="minorHAnsi"/>
        </w:rPr>
      </w:pPr>
      <w:r w:rsidRPr="00D96B7D">
        <w:rPr>
          <w:rFonts w:asciiTheme="minorHAnsi" w:hAnsiTheme="minorHAnsi" w:cstheme="minorHAnsi"/>
        </w:rPr>
        <w:t>These revisions w</w:t>
      </w:r>
      <w:r w:rsidR="002C4341">
        <w:rPr>
          <w:rFonts w:asciiTheme="minorHAnsi" w:hAnsiTheme="minorHAnsi" w:cstheme="minorHAnsi"/>
        </w:rPr>
        <w:t>ere</w:t>
      </w:r>
      <w:r w:rsidRPr="00D96B7D">
        <w:rPr>
          <w:rFonts w:asciiTheme="minorHAnsi" w:hAnsiTheme="minorHAnsi" w:cstheme="minorHAnsi"/>
        </w:rPr>
        <w:t xml:space="preserve"> accompanied by corresponding revisions to the explanatory s</w:t>
      </w:r>
      <w:r w:rsidR="008E5E55" w:rsidRPr="00D96B7D">
        <w:rPr>
          <w:rFonts w:asciiTheme="minorHAnsi" w:hAnsiTheme="minorHAnsi" w:cstheme="minorHAnsi"/>
        </w:rPr>
        <w:t>tatement</w:t>
      </w:r>
      <w:r w:rsidR="00EC7FEC">
        <w:rPr>
          <w:rFonts w:asciiTheme="minorHAnsi" w:hAnsiTheme="minorHAnsi" w:cstheme="minorHAnsi"/>
        </w:rPr>
        <w:t>, as well as the following additional points in the explanatory statement:</w:t>
      </w:r>
    </w:p>
    <w:p w14:paraId="4A27F18C" w14:textId="77777777" w:rsidR="00EC7FEC" w:rsidRDefault="00EC7FEC" w:rsidP="0008740B">
      <w:pPr>
        <w:pStyle w:val="Bullet"/>
      </w:pPr>
      <w:r>
        <w:t xml:space="preserve">Clarification of the term </w:t>
      </w:r>
      <w:r w:rsidRPr="00EC7FEC">
        <w:t xml:space="preserve">‘engage in conduct’ </w:t>
      </w:r>
      <w:r>
        <w:t xml:space="preserve">by reference to the definition in the ACNC Act. The term </w:t>
      </w:r>
      <w:r w:rsidRPr="00EC7FEC">
        <w:t>means to do an act or omit to perform an act.</w:t>
      </w:r>
      <w:r>
        <w:t xml:space="preserve"> This change is intended to address a common misconception that was identified by Treasury during consultations </w:t>
      </w:r>
      <w:r w:rsidR="003A20DE">
        <w:t xml:space="preserve">with stakeholders, where stakeholders understood </w:t>
      </w:r>
      <w:r>
        <w:t>the term ‘conduct’ refer</w:t>
      </w:r>
      <w:r w:rsidR="003A20DE">
        <w:t>red</w:t>
      </w:r>
      <w:r>
        <w:t xml:space="preserve"> to a series of acts rather than a single act.</w:t>
      </w:r>
    </w:p>
    <w:p w14:paraId="796A607F" w14:textId="1EC23C0E" w:rsidR="00EC7FEC" w:rsidRDefault="003A20DE" w:rsidP="0008740B">
      <w:pPr>
        <w:pStyle w:val="Bullet"/>
      </w:pPr>
      <w:r>
        <w:t xml:space="preserve">Clarification that a charity’s </w:t>
      </w:r>
      <w:r w:rsidR="0064257E">
        <w:t>non-</w:t>
      </w:r>
      <w:r>
        <w:t xml:space="preserve">compliance with the revised governance standard depends upon any fault elements (such as intent to cause damage </w:t>
      </w:r>
      <w:r w:rsidR="009D1BC0">
        <w:t xml:space="preserve">to </w:t>
      </w:r>
      <w:r>
        <w:t>or deprive an individual o</w:t>
      </w:r>
      <w:r w:rsidR="009D1BC0">
        <w:t>f</w:t>
      </w:r>
      <w:r>
        <w:t xml:space="preserve"> property) and defences </w:t>
      </w:r>
      <w:r w:rsidRPr="003A20DE">
        <w:t>(such as the defence of sudden or extraordinary emergency</w:t>
      </w:r>
      <w:r>
        <w:t>) that exist under the relevant</w:t>
      </w:r>
      <w:r w:rsidR="0064257E">
        <w:t xml:space="preserve"> offence</w:t>
      </w:r>
      <w:r w:rsidR="00C3381F">
        <w:t>s</w:t>
      </w:r>
      <w:r w:rsidR="0064257E">
        <w:t>. This clarification is intended to address concerns about inadvertent contraventions to the revised governance standard (i.e. where a charity trespasses on property but for the purpose of evacuating people from a disaster event).</w:t>
      </w:r>
    </w:p>
    <w:p w14:paraId="0104E3C6" w14:textId="707609A2" w:rsidR="00DB745E" w:rsidRDefault="00DB745E" w:rsidP="0008740B">
      <w:pPr>
        <w:pStyle w:val="Bullet"/>
      </w:pPr>
      <w:r>
        <w:t xml:space="preserve">Examples to </w:t>
      </w:r>
      <w:r w:rsidR="00750D01">
        <w:t xml:space="preserve">illustrate situations that may or may not contravene the revised governance standard. These examples are intended to </w:t>
      </w:r>
      <w:r>
        <w:t xml:space="preserve">assist stakeholders in understanding </w:t>
      </w:r>
      <w:r w:rsidR="00750D01">
        <w:t>certain aspects of the provisions.</w:t>
      </w:r>
    </w:p>
    <w:p w14:paraId="33A2CB51" w14:textId="77777777" w:rsidR="00750D01" w:rsidRDefault="00750D01" w:rsidP="0008740B">
      <w:pPr>
        <w:pStyle w:val="Bullet"/>
      </w:pPr>
      <w:r>
        <w:t>Where relevant, clarification that the regulations are consistent with the requirements in the ACNC Act and the objects of governance standard three.</w:t>
      </w:r>
    </w:p>
    <w:p w14:paraId="075EB899" w14:textId="77777777" w:rsidR="00750D01" w:rsidRDefault="00750D01" w:rsidP="0008740B">
      <w:pPr>
        <w:pStyle w:val="Bullet"/>
      </w:pPr>
      <w:r>
        <w:t>A brief summary</w:t>
      </w:r>
      <w:r w:rsidR="002A102A">
        <w:t xml:space="preserve"> of review rights available to entities.</w:t>
      </w:r>
    </w:p>
    <w:p w14:paraId="57DC8036" w14:textId="77777777" w:rsidR="008E5E55" w:rsidRDefault="001E739E" w:rsidP="008E5E55">
      <w:pPr>
        <w:pStyle w:val="Heading1numbered"/>
        <w:numPr>
          <w:ilvl w:val="0"/>
          <w:numId w:val="10"/>
        </w:numPr>
      </w:pPr>
      <w:bookmarkStart w:id="35" w:name="_Toc72137347"/>
      <w:r>
        <w:t>What is the best option from those you have considered?</w:t>
      </w:r>
      <w:bookmarkStart w:id="36" w:name="_Toc58921460"/>
      <w:bookmarkEnd w:id="34"/>
      <w:bookmarkEnd w:id="35"/>
    </w:p>
    <w:p w14:paraId="412F89C5" w14:textId="756BFD64" w:rsidR="008E5E55" w:rsidRDefault="003F6443" w:rsidP="008E5E55">
      <w:r>
        <w:t xml:space="preserve">Treasury considers that </w:t>
      </w:r>
      <w:r w:rsidR="001037D5">
        <w:t>o</w:t>
      </w:r>
      <w:r>
        <w:t xml:space="preserve">ption </w:t>
      </w:r>
      <w:r w:rsidR="00535D1F">
        <w:t>3</w:t>
      </w:r>
      <w:r>
        <w:t xml:space="preserve"> is the best option from those considered. </w:t>
      </w:r>
      <w:r w:rsidR="0075696F">
        <w:t>T</w:t>
      </w:r>
      <w:r>
        <w:t xml:space="preserve">his option is </w:t>
      </w:r>
      <w:r w:rsidR="0075696F">
        <w:t xml:space="preserve">the only option that will </w:t>
      </w:r>
      <w:r w:rsidR="00EC0757">
        <w:t>comprehensively</w:t>
      </w:r>
      <w:r w:rsidR="0075696F">
        <w:t xml:space="preserve"> </w:t>
      </w:r>
      <w:r>
        <w:t xml:space="preserve">address the policy problem </w:t>
      </w:r>
      <w:r w:rsidR="00D96B7D">
        <w:t xml:space="preserve">by </w:t>
      </w:r>
      <w:r w:rsidR="00FA4F6E">
        <w:rPr>
          <w:rFonts w:cstheme="minorHAnsi"/>
        </w:rPr>
        <w:t xml:space="preserve">ensuring the </w:t>
      </w:r>
      <w:bookmarkStart w:id="37" w:name="_Hlk71637048"/>
      <w:r w:rsidR="00FA4F6E">
        <w:rPr>
          <w:rFonts w:cstheme="minorHAnsi"/>
        </w:rPr>
        <w:t xml:space="preserve">ACNC Commissioner is enabled under law to investigate and take enforcement action, if appropriate, in situations where a registered charity </w:t>
      </w:r>
      <w:r w:rsidR="0096361A">
        <w:rPr>
          <w:rFonts w:cstheme="minorHAnsi"/>
        </w:rPr>
        <w:t>(</w:t>
      </w:r>
      <w:proofErr w:type="spellStart"/>
      <w:r w:rsidR="0096361A">
        <w:rPr>
          <w:rFonts w:cstheme="minorHAnsi"/>
        </w:rPr>
        <w:t>i</w:t>
      </w:r>
      <w:proofErr w:type="spellEnd"/>
      <w:r w:rsidR="0096361A">
        <w:rPr>
          <w:rFonts w:cstheme="minorHAnsi"/>
        </w:rPr>
        <w:t xml:space="preserve">) </w:t>
      </w:r>
      <w:r w:rsidR="00FA4F6E">
        <w:rPr>
          <w:rFonts w:cstheme="minorHAnsi"/>
        </w:rPr>
        <w:t xml:space="preserve">participates </w:t>
      </w:r>
      <w:r w:rsidR="0096361A">
        <w:rPr>
          <w:rFonts w:cstheme="minorHAnsi"/>
        </w:rPr>
        <w:t xml:space="preserve">in </w:t>
      </w:r>
      <w:r w:rsidR="00FA4F6E" w:rsidRPr="007B3C65">
        <w:rPr>
          <w:rFonts w:cstheme="minorHAnsi"/>
        </w:rPr>
        <w:t xml:space="preserve">offences of trespass, vandalism, theft, assault and </w:t>
      </w:r>
      <w:r w:rsidR="0097625D">
        <w:rPr>
          <w:rFonts w:cstheme="minorHAnsi"/>
        </w:rPr>
        <w:t>threatening harm</w:t>
      </w:r>
      <w:r w:rsidR="0096361A">
        <w:rPr>
          <w:rFonts w:cstheme="minorHAnsi"/>
        </w:rPr>
        <w:t xml:space="preserve"> </w:t>
      </w:r>
      <w:bookmarkStart w:id="38" w:name="_Hlk71637000"/>
      <w:r w:rsidR="0096361A">
        <w:rPr>
          <w:rFonts w:cstheme="minorHAnsi"/>
        </w:rPr>
        <w:t xml:space="preserve">or (ii) actively promotes others to engage in unlawful conduct captured under governance </w:t>
      </w:r>
      <w:r w:rsidR="0096361A">
        <w:rPr>
          <w:rFonts w:cstheme="minorHAnsi"/>
        </w:rPr>
        <w:lastRenderedPageBreak/>
        <w:t>standard three</w:t>
      </w:r>
      <w:r w:rsidR="00FA4F6E" w:rsidRPr="007B3C65">
        <w:rPr>
          <w:rFonts w:cstheme="minorHAnsi"/>
        </w:rPr>
        <w:t>.</w:t>
      </w:r>
      <w:bookmarkEnd w:id="38"/>
      <w:r w:rsidR="00FA4F6E" w:rsidRPr="007B3C65">
        <w:rPr>
          <w:rFonts w:cstheme="minorHAnsi"/>
        </w:rPr>
        <w:t xml:space="preserve"> </w:t>
      </w:r>
      <w:bookmarkEnd w:id="37"/>
      <w:r w:rsidR="00FA4F6E">
        <w:rPr>
          <w:rFonts w:cstheme="minorHAnsi"/>
        </w:rPr>
        <w:t>The option also</w:t>
      </w:r>
      <w:r w:rsidR="00FA4F6E" w:rsidRPr="00383DDA">
        <w:rPr>
          <w:rFonts w:cstheme="minorHAnsi"/>
        </w:rPr>
        <w:t xml:space="preserve"> </w:t>
      </w:r>
      <w:r w:rsidR="00FA4F6E" w:rsidRPr="003133FD">
        <w:rPr>
          <w:rFonts w:cstheme="minorHAnsi"/>
        </w:rPr>
        <w:t>clarif</w:t>
      </w:r>
      <w:r w:rsidR="00FA4F6E">
        <w:rPr>
          <w:rFonts w:cstheme="minorHAnsi"/>
        </w:rPr>
        <w:t>ies</w:t>
      </w:r>
      <w:r w:rsidR="00FA4F6E" w:rsidRPr="003133FD">
        <w:rPr>
          <w:rFonts w:cstheme="minorHAnsi"/>
        </w:rPr>
        <w:t xml:space="preserve"> </w:t>
      </w:r>
      <w:r w:rsidR="00FA4F6E">
        <w:t>to charities what types of unlawful activities are not to be engaged in or actively promoted</w:t>
      </w:r>
      <w:r w:rsidR="00FA4F6E" w:rsidRPr="003133FD">
        <w:rPr>
          <w:rFonts w:cstheme="minorHAnsi"/>
        </w:rPr>
        <w:t xml:space="preserve"> </w:t>
      </w:r>
      <w:r w:rsidR="00FA4F6E">
        <w:rPr>
          <w:rFonts w:cstheme="minorHAnsi"/>
        </w:rPr>
        <w:t xml:space="preserve">and </w:t>
      </w:r>
      <w:r w:rsidR="00FA4F6E" w:rsidRPr="00383DDA">
        <w:rPr>
          <w:rFonts w:cstheme="minorHAnsi"/>
        </w:rPr>
        <w:t>make</w:t>
      </w:r>
      <w:r w:rsidR="00FA4F6E">
        <w:rPr>
          <w:rFonts w:cstheme="minorHAnsi"/>
        </w:rPr>
        <w:t>s</w:t>
      </w:r>
      <w:r w:rsidR="00FA4F6E" w:rsidRPr="00383DDA">
        <w:rPr>
          <w:rFonts w:cstheme="minorHAnsi"/>
        </w:rPr>
        <w:t xml:space="preserve"> it easier for registered charities to understand their obligations under governance </w:t>
      </w:r>
      <w:r w:rsidR="00FA4F6E">
        <w:rPr>
          <w:rFonts w:cstheme="minorHAnsi"/>
        </w:rPr>
        <w:t>standard three</w:t>
      </w:r>
      <w:r w:rsidR="00FA4F6E" w:rsidRPr="00383DDA">
        <w:rPr>
          <w:rFonts w:cstheme="minorHAnsi"/>
        </w:rPr>
        <w:t>.</w:t>
      </w:r>
      <w:r w:rsidR="00172BA3">
        <w:t xml:space="preserve"> </w:t>
      </w:r>
    </w:p>
    <w:p w14:paraId="57C52D2C" w14:textId="1562FB66" w:rsidR="00FD7894" w:rsidRDefault="00FD7894" w:rsidP="00FD7894">
      <w:r>
        <w:t xml:space="preserve">The regulatory benefit of this option is that it will provide clarity to charities about their obligations and how they are to comply with governance standard three. Additionally, this option may reduce the risks of material </w:t>
      </w:r>
      <w:r w:rsidR="003F3854">
        <w:t xml:space="preserve">and immaterial </w:t>
      </w:r>
      <w:r>
        <w:t xml:space="preserve">costs </w:t>
      </w:r>
      <w:r w:rsidR="003F3854">
        <w:t>associated with situations where registered charities may engage in unlawful activities. These include the costs incurred by a charity’s members (such as donors and beneficiaries) as well as</w:t>
      </w:r>
      <w:r>
        <w:t xml:space="preserve"> individuals or businesses adversely impacted by unlawful activities from charities</w:t>
      </w:r>
      <w:r w:rsidR="001A5C0B">
        <w:t xml:space="preserve">. </w:t>
      </w:r>
      <w:r>
        <w:t xml:space="preserve"> Th</w:t>
      </w:r>
      <w:r w:rsidR="003F3854">
        <w:t xml:space="preserve">e changes </w:t>
      </w:r>
      <w:r>
        <w:t xml:space="preserve">may also </w:t>
      </w:r>
      <w:r w:rsidR="003F3854">
        <w:t xml:space="preserve">enhance public trust and confidence in Australia’s charity sector and the </w:t>
      </w:r>
      <w:r>
        <w:t>ACNC</w:t>
      </w:r>
      <w:r w:rsidR="00345C0E">
        <w:t xml:space="preserve"> by providing assurance to the public about </w:t>
      </w:r>
      <w:r w:rsidR="007755BF">
        <w:t>the expected standards by which charities should be governed</w:t>
      </w:r>
      <w:r>
        <w:t xml:space="preserve">. </w:t>
      </w:r>
    </w:p>
    <w:p w14:paraId="4262CC52" w14:textId="77777777" w:rsidR="00C53B22" w:rsidRDefault="00C53B22" w:rsidP="00FD7894">
      <w:r>
        <w:t xml:space="preserve">These benefits are appropriately weighed against the regulatory burden under the option, namely that charities should consider reviewing their existing internal control procedures to ensure they are compliant with current requirements and revised governance standard three. Given that charities should </w:t>
      </w:r>
      <w:r w:rsidRPr="00626F3B">
        <w:rPr>
          <w:rFonts w:cstheme="minorHAnsi"/>
        </w:rPr>
        <w:t xml:space="preserve">already have governance processes, internal </w:t>
      </w:r>
      <w:r w:rsidR="00B715C6" w:rsidRPr="00626F3B">
        <w:rPr>
          <w:rFonts w:cstheme="minorHAnsi"/>
        </w:rPr>
        <w:t>controls,</w:t>
      </w:r>
      <w:r w:rsidRPr="00626F3B">
        <w:rPr>
          <w:rFonts w:cstheme="minorHAnsi"/>
        </w:rPr>
        <w:t xml:space="preserve"> and safeguards in place </w:t>
      </w:r>
      <w:r>
        <w:rPr>
          <w:rFonts w:cstheme="minorHAnsi"/>
        </w:rPr>
        <w:t>to meet current requirements</w:t>
      </w:r>
      <w:r>
        <w:t>,</w:t>
      </w:r>
      <w:r>
        <w:rPr>
          <w:rFonts w:cstheme="minorHAnsi"/>
        </w:rPr>
        <w:t xml:space="preserve"> this option is not expected to create any additional regulatory costs for the majority of registered charities.</w:t>
      </w:r>
    </w:p>
    <w:p w14:paraId="63454FBC" w14:textId="4FC82571" w:rsidR="00D96B7D" w:rsidRDefault="00D96B7D" w:rsidP="008E5E55">
      <w:r>
        <w:t xml:space="preserve">Following consultation on the proposed changes to governance standard three, Treasury has incorporated feedback received from stakeholders to address concerns from the sector. The revisions to the draft regulations are </w:t>
      </w:r>
      <w:r w:rsidR="00D471DF">
        <w:t>intended to provide registered charities with further certainty whilst meeting the Government’s policy objectives.</w:t>
      </w:r>
    </w:p>
    <w:p w14:paraId="4C513FCF" w14:textId="68A945AD" w:rsidR="00704EC8" w:rsidRDefault="00704EC8" w:rsidP="00704EC8">
      <w:pPr>
        <w:pStyle w:val="Heading2"/>
      </w:pPr>
      <w:r>
        <w:t>Status of the RIS at major decision</w:t>
      </w:r>
      <w:r w:rsidR="002C395C">
        <w:softHyphen/>
        <w:t xml:space="preserve"> </w:t>
      </w:r>
      <w:r>
        <w:t>making points</w:t>
      </w:r>
    </w:p>
    <w:p w14:paraId="75CFFE48" w14:textId="77777777" w:rsidR="00704800" w:rsidRDefault="00704800" w:rsidP="00704EC8">
      <w:r w:rsidRPr="00704800">
        <w:t xml:space="preserve">The Government was required to undertake a review of the </w:t>
      </w:r>
      <w:r>
        <w:t>ACNC Act</w:t>
      </w:r>
      <w:r w:rsidRPr="00704800">
        <w:t xml:space="preserve"> after the first five years of operation. The review evaluated the performance of the legislative framework and regulation of the sector, with an aim to identifying improvements that could be made. A final report was tabled in Parliament on 22 August 2018</w:t>
      </w:r>
      <w:r>
        <w:t>.</w:t>
      </w:r>
    </w:p>
    <w:p w14:paraId="4C663564" w14:textId="11B3B52F" w:rsidR="002C395C" w:rsidRDefault="002C395C" w:rsidP="002C395C">
      <w:r>
        <w:t xml:space="preserve">On 6 March 2020, the Government released its response to the ACNC </w:t>
      </w:r>
      <w:r w:rsidR="00AD60C8">
        <w:t>R</w:t>
      </w:r>
      <w:r>
        <w:t xml:space="preserve">eview, agreeing recommendations that supported an effective regulator, reduced red tape, and strengthened trust. </w:t>
      </w:r>
      <w:r w:rsidRPr="002C395C">
        <w:t>Consistent with the Government’s R</w:t>
      </w:r>
      <w:r>
        <w:t>IS</w:t>
      </w:r>
      <w:r w:rsidRPr="002C395C">
        <w:t xml:space="preserve"> requirements, the </w:t>
      </w:r>
      <w:r>
        <w:t xml:space="preserve">ACNC </w:t>
      </w:r>
      <w:r w:rsidR="00AD60C8">
        <w:t>R</w:t>
      </w:r>
      <w:r>
        <w:t xml:space="preserve">eview was </w:t>
      </w:r>
      <w:r w:rsidRPr="002C395C">
        <w:t>certified by the Department of the Treasury as meeting the requirements of a RIS.</w:t>
      </w:r>
    </w:p>
    <w:p w14:paraId="6442D200" w14:textId="1D3A4D83" w:rsidR="00324C0D" w:rsidRDefault="007F614D" w:rsidP="002C395C">
      <w:r>
        <w:t xml:space="preserve">This RIS relates to the Government’s response to recommendation 20 of the ACNC Review </w:t>
      </w:r>
      <w:r w:rsidR="00324C0D">
        <w:t xml:space="preserve">whereby the Government </w:t>
      </w:r>
      <w:r w:rsidR="00F141E3">
        <w:t xml:space="preserve">stated it </w:t>
      </w:r>
      <w:r w:rsidR="00324C0D">
        <w:t xml:space="preserve">would explore legislative options to address uncertainty in the law. </w:t>
      </w:r>
    </w:p>
    <w:p w14:paraId="6E9C3972" w14:textId="3C558B69" w:rsidR="007F614D" w:rsidRDefault="00324C0D" w:rsidP="002C395C">
      <w:r w:rsidRPr="00324C0D">
        <w:t xml:space="preserve">The relevant Minister previously supported development of option 3 prior to this RIS being prepared, noting public consultation with the sector was required </w:t>
      </w:r>
      <w:r>
        <w:t xml:space="preserve">under the ACNC Act </w:t>
      </w:r>
      <w:r w:rsidRPr="00324C0D">
        <w:t>to seek the views of relevant stakeholders before a regulation is made.</w:t>
      </w:r>
      <w:r>
        <w:t xml:space="preserve"> This RIS was prepared following public consultation outlined above.</w:t>
      </w:r>
    </w:p>
    <w:p w14:paraId="226F4DC7" w14:textId="77777777" w:rsidR="001E739E" w:rsidRPr="00EA5697" w:rsidRDefault="001E739E" w:rsidP="008E5E55">
      <w:pPr>
        <w:pStyle w:val="Heading1numbered"/>
        <w:numPr>
          <w:ilvl w:val="0"/>
          <w:numId w:val="10"/>
        </w:numPr>
      </w:pPr>
      <w:bookmarkStart w:id="39" w:name="_Toc72137348"/>
      <w:r>
        <w:t>How will you implement and evaluate your chosen option?</w:t>
      </w:r>
      <w:bookmarkEnd w:id="36"/>
      <w:bookmarkEnd w:id="39"/>
      <w:r>
        <w:t xml:space="preserve"> </w:t>
      </w:r>
    </w:p>
    <w:p w14:paraId="23079D57" w14:textId="77777777" w:rsidR="0046532B" w:rsidRDefault="0046532B" w:rsidP="009264E5">
      <w:r>
        <w:t xml:space="preserve">The proposed regulations will come into effect subject to the </w:t>
      </w:r>
      <w:r w:rsidR="006351A5">
        <w:t>Parliamentary process for regulations.</w:t>
      </w:r>
    </w:p>
    <w:p w14:paraId="762BE878" w14:textId="77777777" w:rsidR="001E590C" w:rsidRPr="001E590C" w:rsidRDefault="0046532B" w:rsidP="001E590C">
      <w:r>
        <w:t>Consistent with the ACNC’s usual compliance processes, the ACNC will work with registered charities to ensure they understand their obligations under the expanded governance standard.</w:t>
      </w:r>
      <w:r w:rsidR="001E590C">
        <w:t xml:space="preserve"> </w:t>
      </w:r>
      <w:r w:rsidR="001E590C" w:rsidRPr="001E590C">
        <w:t xml:space="preserve">The ACNC </w:t>
      </w:r>
      <w:r w:rsidR="001E590C" w:rsidRPr="001E590C">
        <w:lastRenderedPageBreak/>
        <w:t xml:space="preserve">will provide guidance and education to registered </w:t>
      </w:r>
      <w:r w:rsidR="00CD20E7">
        <w:t>charities</w:t>
      </w:r>
      <w:r w:rsidR="001E590C" w:rsidRPr="001E590C">
        <w:t xml:space="preserve"> to help them understand and comply with the new provisions. </w:t>
      </w:r>
    </w:p>
    <w:p w14:paraId="0D8249F2" w14:textId="77777777" w:rsidR="00FB38BB" w:rsidRPr="004F377E" w:rsidRDefault="00FB38BB" w:rsidP="004F377E"/>
    <w:sectPr w:rsidR="00FB38BB" w:rsidRPr="004F377E" w:rsidSect="00E86BE0">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A8D94" w14:textId="77777777" w:rsidR="00644BE1" w:rsidRDefault="00644BE1" w:rsidP="00D94EE3">
      <w:pPr>
        <w:spacing w:after="0"/>
      </w:pPr>
      <w:r>
        <w:separator/>
      </w:r>
    </w:p>
  </w:endnote>
  <w:endnote w:type="continuationSeparator" w:id="0">
    <w:p w14:paraId="22349BB4" w14:textId="77777777" w:rsidR="00644BE1" w:rsidRDefault="00644BE1" w:rsidP="00D94EE3">
      <w:pPr>
        <w:spacing w:after="0"/>
      </w:pPr>
      <w:r>
        <w:continuationSeparator/>
      </w:r>
    </w:p>
  </w:endnote>
  <w:endnote w:type="continuationNotice" w:id="1">
    <w:p w14:paraId="3679DBAE" w14:textId="77777777" w:rsidR="00644BE1" w:rsidRDefault="00644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743617"/>
      <w:docPartObj>
        <w:docPartGallery w:val="Page Numbers (Bottom of Page)"/>
        <w:docPartUnique/>
      </w:docPartObj>
    </w:sdtPr>
    <w:sdtEndPr>
      <w:rPr>
        <w:noProof/>
      </w:rPr>
    </w:sdtEndPr>
    <w:sdtContent>
      <w:p w14:paraId="00EE2EF4" w14:textId="77777777" w:rsidR="00644BE1" w:rsidRDefault="00644BE1" w:rsidP="00D94EE3">
        <w:pPr>
          <w:pStyle w:val="Footer"/>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8FC08" w14:textId="77777777" w:rsidR="00644BE1" w:rsidRDefault="00644BE1" w:rsidP="00D94EE3">
      <w:pPr>
        <w:spacing w:after="0"/>
      </w:pPr>
      <w:r>
        <w:separator/>
      </w:r>
    </w:p>
  </w:footnote>
  <w:footnote w:type="continuationSeparator" w:id="0">
    <w:p w14:paraId="72C0C71E" w14:textId="77777777" w:rsidR="00644BE1" w:rsidRDefault="00644BE1" w:rsidP="00D94EE3">
      <w:pPr>
        <w:spacing w:after="0"/>
      </w:pPr>
      <w:r>
        <w:continuationSeparator/>
      </w:r>
    </w:p>
  </w:footnote>
  <w:footnote w:type="continuationNotice" w:id="1">
    <w:p w14:paraId="6AF8225F" w14:textId="77777777" w:rsidR="00644BE1" w:rsidRDefault="00644BE1">
      <w:pPr>
        <w:spacing w:after="0"/>
      </w:pPr>
    </w:p>
  </w:footnote>
  <w:footnote w:id="2">
    <w:p w14:paraId="2D84BF17" w14:textId="77777777" w:rsidR="00644BE1" w:rsidRPr="00CE6F41" w:rsidRDefault="00644BE1" w:rsidP="00A920FE">
      <w:pPr>
        <w:pStyle w:val="FootnoteText"/>
        <w:rPr>
          <w:lang w:val="en-US"/>
        </w:rPr>
      </w:pPr>
      <w:r>
        <w:rPr>
          <w:rStyle w:val="FootnoteReference"/>
        </w:rPr>
        <w:footnoteRef/>
      </w:r>
      <w:r>
        <w:t xml:space="preserve"> </w:t>
      </w:r>
      <w:r>
        <w:rPr>
          <w:lang w:val="en-US"/>
        </w:rPr>
        <w:t xml:space="preserve">Available at: </w:t>
      </w:r>
      <w:r w:rsidRPr="00CE6F41">
        <w:rPr>
          <w:lang w:val="en-US"/>
        </w:rPr>
        <w:t>https://www.pmc.gov.au/sites/default/files/publications/australian-government-guide-to-regulatory-impact-analysis.pdf</w:t>
      </w:r>
    </w:p>
  </w:footnote>
  <w:footnote w:id="3">
    <w:p w14:paraId="58A3AB86" w14:textId="77777777" w:rsidR="00644BE1" w:rsidRDefault="00644BE1" w:rsidP="00166C80">
      <w:pPr>
        <w:pStyle w:val="FootnoteText"/>
      </w:pPr>
      <w:r>
        <w:rPr>
          <w:rStyle w:val="FootnoteReference"/>
        </w:rPr>
        <w:footnoteRef/>
      </w:r>
      <w:r>
        <w:t xml:space="preserve"> ACNC Regulations</w:t>
      </w:r>
    </w:p>
  </w:footnote>
  <w:footnote w:id="4">
    <w:p w14:paraId="632A93D3" w14:textId="591CDAE4" w:rsidR="00644BE1" w:rsidRDefault="00644BE1">
      <w:pPr>
        <w:pStyle w:val="FootnoteText"/>
      </w:pPr>
      <w:r>
        <w:rPr>
          <w:rStyle w:val="FootnoteReference"/>
        </w:rPr>
        <w:footnoteRef/>
      </w:r>
      <w:r>
        <w:t xml:space="preserve"> With the exception of basic religious charities</w:t>
      </w:r>
    </w:p>
  </w:footnote>
  <w:footnote w:id="5">
    <w:p w14:paraId="2B03E4B6" w14:textId="4CAFD9DD" w:rsidR="00644BE1" w:rsidRDefault="00644BE1">
      <w:pPr>
        <w:pStyle w:val="FootnoteText"/>
      </w:pPr>
      <w:r>
        <w:rPr>
          <w:rStyle w:val="FootnoteReference"/>
        </w:rPr>
        <w:footnoteRef/>
      </w:r>
      <w:r>
        <w:t xml:space="preserve"> </w:t>
      </w:r>
      <w:r w:rsidRPr="00F46D0A">
        <w:t xml:space="preserve">Division 65 </w:t>
      </w:r>
      <w:bookmarkStart w:id="16" w:name="_Hlk71641226"/>
      <w:r w:rsidRPr="00F46D0A">
        <w:t xml:space="preserve">of the </w:t>
      </w:r>
      <w:r w:rsidRPr="00E62677">
        <w:rPr>
          <w:i/>
        </w:rPr>
        <w:t>Australian Charities and Not-for-profits Commission Act 2012</w:t>
      </w:r>
      <w:r w:rsidRPr="00F46D0A">
        <w:t>.</w:t>
      </w:r>
      <w:bookmarkEnd w:id="16"/>
    </w:p>
  </w:footnote>
  <w:footnote w:id="6">
    <w:p w14:paraId="60E876A4" w14:textId="259EDC13" w:rsidR="00644BE1" w:rsidRDefault="00644BE1">
      <w:pPr>
        <w:pStyle w:val="FootnoteText"/>
      </w:pPr>
      <w:r>
        <w:rPr>
          <w:rStyle w:val="FootnoteReference"/>
        </w:rPr>
        <w:footnoteRef/>
      </w:r>
      <w:r>
        <w:t xml:space="preserve"> </w:t>
      </w:r>
      <w:r w:rsidRPr="003717E9">
        <w:t>The External Conduct Standards</w:t>
      </w:r>
      <w:r>
        <w:t xml:space="preserve"> (Division 50 of the ACNC Regulations)</w:t>
      </w:r>
      <w:r w:rsidRPr="003717E9">
        <w:t xml:space="preserve"> are a set of standards that govern how a registered charity must manage its activities and resources outside Australia.</w:t>
      </w:r>
      <w:r>
        <w:t xml:space="preserve"> </w:t>
      </w:r>
    </w:p>
  </w:footnote>
  <w:footnote w:id="7">
    <w:p w14:paraId="5B84C07D" w14:textId="77777777" w:rsidR="00644BE1" w:rsidRPr="00194148" w:rsidRDefault="00644BE1">
      <w:pPr>
        <w:pStyle w:val="FootnoteText"/>
      </w:pPr>
      <w:r>
        <w:rPr>
          <w:rStyle w:val="FootnoteReference"/>
        </w:rPr>
        <w:footnoteRef/>
      </w:r>
      <w:r>
        <w:t xml:space="preserve"> Section 11 of the </w:t>
      </w:r>
      <w:r>
        <w:rPr>
          <w:i/>
        </w:rPr>
        <w:t>Charities Act 2013</w:t>
      </w:r>
      <w:r>
        <w:t>.</w:t>
      </w:r>
    </w:p>
  </w:footnote>
  <w:footnote w:id="8">
    <w:p w14:paraId="11E2AEE3" w14:textId="540C4E26" w:rsidR="00644BE1" w:rsidRDefault="00644BE1" w:rsidP="00471A04">
      <w:pPr>
        <w:pStyle w:val="FootnoteText"/>
      </w:pPr>
      <w:r>
        <w:rPr>
          <w:rStyle w:val="FootnoteReference"/>
        </w:rPr>
        <w:footnoteRef/>
      </w:r>
      <w:r>
        <w:t xml:space="preserve"> </w:t>
      </w:r>
      <w:r w:rsidRPr="00471A04">
        <w:t>This is based on a total estimate where it is assumed that around 9,500 large charities undertake a one-off 2</w:t>
      </w:r>
      <w:r>
        <w:noBreakHyphen/>
      </w:r>
      <w:r w:rsidRPr="00471A04">
        <w:t>hour review of their internal control procedures at a labour cost of $73.05 per hour (based on the Regulatory Burden Measurement Framework).</w:t>
      </w:r>
    </w:p>
  </w:footnote>
  <w:footnote w:id="9">
    <w:p w14:paraId="4DD28A24" w14:textId="77777777" w:rsidR="00644BE1" w:rsidRDefault="00644BE1" w:rsidP="00D242E4">
      <w:pPr>
        <w:pStyle w:val="FootnoteText"/>
      </w:pPr>
      <w:r>
        <w:rPr>
          <w:rStyle w:val="FootnoteReference"/>
        </w:rPr>
        <w:footnoteRef/>
      </w:r>
      <w:r>
        <w:t xml:space="preserve"> Division 65 of the </w:t>
      </w:r>
      <w:r w:rsidRPr="00126319">
        <w:rPr>
          <w:i/>
        </w:rPr>
        <w:t>Australian Charities and Not-for-profits Commission Act 2012</w:t>
      </w:r>
      <w:r>
        <w:t>.</w:t>
      </w:r>
    </w:p>
  </w:footnote>
  <w:footnote w:id="10">
    <w:p w14:paraId="4BEDE8C8" w14:textId="651C47A0" w:rsidR="00922537" w:rsidRDefault="00922537">
      <w:pPr>
        <w:pStyle w:val="FootnoteText"/>
      </w:pPr>
      <w:r>
        <w:rPr>
          <w:rStyle w:val="FootnoteReference"/>
        </w:rPr>
        <w:footnoteRef/>
      </w:r>
      <w:r>
        <w:t xml:space="preserve"> </w:t>
      </w:r>
      <w:r w:rsidRPr="00922537">
        <w:t xml:space="preserve">Section 45-10(5) of the </w:t>
      </w:r>
      <w:r w:rsidRPr="00922537">
        <w:rPr>
          <w:i/>
          <w:iCs/>
        </w:rPr>
        <w:t>Australian Charities and Not-for-profits Commission Act 2012</w:t>
      </w:r>
      <w:r w:rsidRPr="00922537">
        <w:t>.</w:t>
      </w:r>
    </w:p>
  </w:footnote>
  <w:footnote w:id="11">
    <w:p w14:paraId="5F29F0B9" w14:textId="77777777" w:rsidR="00644BE1" w:rsidRDefault="00644BE1">
      <w:pPr>
        <w:pStyle w:val="FootnoteText"/>
      </w:pPr>
      <w:r>
        <w:rPr>
          <w:rStyle w:val="FootnoteReference"/>
        </w:rPr>
        <w:footnoteRef/>
      </w:r>
      <w:r>
        <w:t xml:space="preserve"> This estimate is based upon a labour cost of $73.05 in accordance with the Regulatory Burden Measurement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416C26C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708470D"/>
    <w:multiLevelType w:val="hybridMultilevel"/>
    <w:tmpl w:val="5C14E7BA"/>
    <w:lvl w:ilvl="0" w:tplc="1D301D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4E6CD6"/>
    <w:multiLevelType w:val="multilevel"/>
    <w:tmpl w:val="791A7628"/>
    <w:lvl w:ilvl="0">
      <w:start w:val="1"/>
      <w:numFmt w:val="bullet"/>
      <w:lvlText w:val="•"/>
      <w:lvlJc w:val="left"/>
      <w:pPr>
        <w:tabs>
          <w:tab w:val="num" w:pos="614"/>
        </w:tabs>
        <w:ind w:left="614" w:hanging="614"/>
      </w:pPr>
      <w:rPr>
        <w:rFonts w:ascii="Times New Roman" w:hAnsi="Times New Roman" w:cs="Times New Roman"/>
      </w:rPr>
    </w:lvl>
    <w:lvl w:ilvl="1">
      <w:start w:val="1"/>
      <w:numFmt w:val="bullet"/>
      <w:lvlText w:val="–"/>
      <w:lvlJc w:val="left"/>
      <w:pPr>
        <w:tabs>
          <w:tab w:val="num" w:pos="1228"/>
        </w:tabs>
        <w:ind w:left="1228" w:hanging="614"/>
      </w:pPr>
      <w:rPr>
        <w:rFonts w:ascii="Times New Roman" w:hAnsi="Times New Roman" w:cs="Times New Roman"/>
      </w:rPr>
    </w:lvl>
    <w:lvl w:ilvl="2">
      <w:start w:val="1"/>
      <w:numFmt w:val="bulle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CA22DD"/>
    <w:multiLevelType w:val="hybridMultilevel"/>
    <w:tmpl w:val="85F6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55C1C"/>
    <w:multiLevelType w:val="hybridMultilevel"/>
    <w:tmpl w:val="C0D8D0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564EF1"/>
    <w:multiLevelType w:val="hybridMultilevel"/>
    <w:tmpl w:val="BEF41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47E25"/>
    <w:multiLevelType w:val="hybridMultilevel"/>
    <w:tmpl w:val="D436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55F3A"/>
    <w:multiLevelType w:val="hybridMultilevel"/>
    <w:tmpl w:val="F1E68396"/>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B75D96"/>
    <w:multiLevelType w:val="hybridMultilevel"/>
    <w:tmpl w:val="BEF417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3323AAE"/>
    <w:multiLevelType w:val="hybridMultilevel"/>
    <w:tmpl w:val="EECEFF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7D0EB4"/>
    <w:multiLevelType w:val="multilevel"/>
    <w:tmpl w:val="7F8A64CE"/>
    <w:lvl w:ilvl="0">
      <w:start w:val="1"/>
      <w:numFmt w:val="bullet"/>
      <w:lvlText w:val="•"/>
      <w:lvlJc w:val="left"/>
      <w:pPr>
        <w:tabs>
          <w:tab w:val="num" w:pos="-2835"/>
        </w:tabs>
        <w:ind w:left="-2835" w:hanging="567"/>
      </w:pPr>
      <w:rPr>
        <w:rFonts w:ascii="Times New Roman" w:hAnsi="Times New Roman" w:cs="Times New Roman"/>
      </w:rPr>
    </w:lvl>
    <w:lvl w:ilvl="1">
      <w:start w:val="1"/>
      <w:numFmt w:val="bullet"/>
      <w:lvlText w:val="–"/>
      <w:lvlJc w:val="left"/>
      <w:pPr>
        <w:tabs>
          <w:tab w:val="num" w:pos="-2268"/>
        </w:tabs>
        <w:ind w:left="-2268"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2" w:hanging="360"/>
      </w:pPr>
    </w:lvl>
    <w:lvl w:ilvl="4">
      <w:start w:val="1"/>
      <w:numFmt w:val="lowerLetter"/>
      <w:lvlText w:val="(%5)"/>
      <w:lvlJc w:val="left"/>
      <w:pPr>
        <w:ind w:left="-1082" w:hanging="360"/>
      </w:pPr>
    </w:lvl>
    <w:lvl w:ilvl="5">
      <w:start w:val="1"/>
      <w:numFmt w:val="lowerRoman"/>
      <w:lvlText w:val="(%6)"/>
      <w:lvlJc w:val="left"/>
      <w:pPr>
        <w:ind w:left="-722" w:hanging="360"/>
      </w:pPr>
    </w:lvl>
    <w:lvl w:ilvl="6">
      <w:start w:val="1"/>
      <w:numFmt w:val="decimal"/>
      <w:lvlText w:val="%7."/>
      <w:lvlJc w:val="left"/>
      <w:pPr>
        <w:ind w:left="-362" w:hanging="360"/>
      </w:pPr>
    </w:lvl>
    <w:lvl w:ilvl="7">
      <w:start w:val="1"/>
      <w:numFmt w:val="lowerLetter"/>
      <w:lvlText w:val="%8."/>
      <w:lvlJc w:val="left"/>
      <w:pPr>
        <w:ind w:left="-2" w:hanging="360"/>
      </w:pPr>
    </w:lvl>
    <w:lvl w:ilvl="8">
      <w:start w:val="1"/>
      <w:numFmt w:val="lowerRoman"/>
      <w:lvlText w:val="%9."/>
      <w:lvlJc w:val="left"/>
      <w:pPr>
        <w:ind w:left="358" w:hanging="360"/>
      </w:pPr>
    </w:lvl>
  </w:abstractNum>
  <w:abstractNum w:abstractNumId="12" w15:restartNumberingAfterBreak="0">
    <w:nsid w:val="345D0E04"/>
    <w:multiLevelType w:val="hybridMultilevel"/>
    <w:tmpl w:val="B8844C88"/>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CBF2291"/>
    <w:multiLevelType w:val="hybridMultilevel"/>
    <w:tmpl w:val="70003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BD7996"/>
    <w:multiLevelType w:val="multilevel"/>
    <w:tmpl w:val="33DE46A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5D0F4B"/>
    <w:multiLevelType w:val="multilevel"/>
    <w:tmpl w:val="DDB8928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D00CD9"/>
    <w:multiLevelType w:val="multilevel"/>
    <w:tmpl w:val="B0400D64"/>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393" w:hanging="360"/>
      </w:pPr>
    </w:lvl>
    <w:lvl w:ilvl="4">
      <w:start w:val="1"/>
      <w:numFmt w:val="lowerLetter"/>
      <w:lvlText w:val="(%5)"/>
      <w:lvlJc w:val="left"/>
      <w:pPr>
        <w:ind w:left="1753" w:hanging="360"/>
      </w:pPr>
    </w:lvl>
    <w:lvl w:ilvl="5">
      <w:start w:val="1"/>
      <w:numFmt w:val="lowerRoman"/>
      <w:lvlText w:val="(%6)"/>
      <w:lvlJc w:val="left"/>
      <w:pPr>
        <w:ind w:left="2113" w:hanging="360"/>
      </w:pPr>
    </w:lvl>
    <w:lvl w:ilvl="6">
      <w:start w:val="1"/>
      <w:numFmt w:val="decimal"/>
      <w:lvlText w:val="%7."/>
      <w:lvlJc w:val="left"/>
      <w:pPr>
        <w:ind w:left="2473" w:hanging="360"/>
      </w:pPr>
    </w:lvl>
    <w:lvl w:ilvl="7">
      <w:start w:val="1"/>
      <w:numFmt w:val="lowerLetter"/>
      <w:lvlText w:val="%8."/>
      <w:lvlJc w:val="left"/>
      <w:pPr>
        <w:ind w:left="2833" w:hanging="360"/>
      </w:pPr>
    </w:lvl>
    <w:lvl w:ilvl="8">
      <w:start w:val="1"/>
      <w:numFmt w:val="lowerRoman"/>
      <w:lvlText w:val="%9."/>
      <w:lvlJc w:val="left"/>
      <w:pPr>
        <w:ind w:left="3193" w:hanging="360"/>
      </w:pPr>
    </w:lvl>
  </w:abstractNum>
  <w:abstractNum w:abstractNumId="17" w15:restartNumberingAfterBreak="0">
    <w:nsid w:val="5B53456D"/>
    <w:multiLevelType w:val="hybridMultilevel"/>
    <w:tmpl w:val="2F927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FBC7E8D"/>
    <w:multiLevelType w:val="multilevel"/>
    <w:tmpl w:val="AD1A2AFC"/>
    <w:name w:val="BaseTextParagraphList"/>
    <w:lvl w:ilvl="0">
      <w:start w:val="1"/>
      <w:numFmt w:val="decimal"/>
      <w:pStyle w:val="base-text-paragraph"/>
      <w:lvlText w:val="%1."/>
      <w:lvlJc w:val="left"/>
      <w:pPr>
        <w:tabs>
          <w:tab w:val="num" w:pos="1984"/>
        </w:tabs>
        <w:ind w:left="1140" w:firstLine="0"/>
      </w:pPr>
      <w:rPr>
        <w:b w:val="0"/>
        <w:i w:val="0"/>
        <w:color w:val="00000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12240" w:hanging="360"/>
      </w:pPr>
    </w:lvl>
    <w:lvl w:ilvl="4">
      <w:start w:val="1"/>
      <w:numFmt w:val="lowerLetter"/>
      <w:lvlText w:val="(%5)"/>
      <w:lvlJc w:val="left"/>
      <w:pPr>
        <w:ind w:left="12600" w:hanging="360"/>
      </w:pPr>
    </w:lvl>
    <w:lvl w:ilvl="5">
      <w:start w:val="1"/>
      <w:numFmt w:val="lowerRoman"/>
      <w:lvlText w:val="(%6)"/>
      <w:lvlJc w:val="left"/>
      <w:pPr>
        <w:ind w:left="12960" w:hanging="360"/>
      </w:pPr>
    </w:lvl>
    <w:lvl w:ilvl="6">
      <w:start w:val="1"/>
      <w:numFmt w:val="decimal"/>
      <w:lvlText w:val="%7."/>
      <w:lvlJc w:val="left"/>
      <w:pPr>
        <w:ind w:left="13320" w:hanging="360"/>
      </w:pPr>
    </w:lvl>
    <w:lvl w:ilvl="7">
      <w:start w:val="1"/>
      <w:numFmt w:val="lowerLetter"/>
      <w:lvlText w:val="%8."/>
      <w:lvlJc w:val="left"/>
      <w:pPr>
        <w:ind w:left="13680" w:hanging="360"/>
      </w:pPr>
    </w:lvl>
    <w:lvl w:ilvl="8">
      <w:start w:val="1"/>
      <w:numFmt w:val="lowerRoman"/>
      <w:lvlText w:val="%9."/>
      <w:lvlJc w:val="left"/>
      <w:pPr>
        <w:ind w:left="14040" w:hanging="360"/>
      </w:pPr>
    </w:lvl>
  </w:abstractNum>
  <w:abstractNum w:abstractNumId="19" w15:restartNumberingAfterBreak="0">
    <w:nsid w:val="67A43C0B"/>
    <w:multiLevelType w:val="multilevel"/>
    <w:tmpl w:val="19D8E63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0A6D08"/>
    <w:multiLevelType w:val="hybridMultilevel"/>
    <w:tmpl w:val="41C80E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7A5480"/>
    <w:multiLevelType w:val="hybridMultilevel"/>
    <w:tmpl w:val="213A16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4FB2478"/>
    <w:multiLevelType w:val="hybridMultilevel"/>
    <w:tmpl w:val="91FC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71304E"/>
    <w:multiLevelType w:val="hybridMultilevel"/>
    <w:tmpl w:val="BEF41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B16110"/>
    <w:multiLevelType w:val="multilevel"/>
    <w:tmpl w:val="CB68E30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181"/>
        </w:tabs>
        <w:ind w:left="1181" w:hanging="661"/>
      </w:pPr>
      <w:rPr>
        <w:rFonts w:ascii="Times New Roman" w:hAnsi="Times New Roman" w:cs="Times New Roman" w:hint="default"/>
      </w:rPr>
    </w:lvl>
    <w:lvl w:ilvl="2">
      <w:start w:val="1"/>
      <w:numFmt w:val="bullet"/>
      <w:pStyle w:val="DoubleDo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2054" w:hanging="360"/>
      </w:pPr>
    </w:lvl>
    <w:lvl w:ilvl="4">
      <w:start w:val="1"/>
      <w:numFmt w:val="lowerLetter"/>
      <w:lvlText w:val="(%5)"/>
      <w:lvlJc w:val="left"/>
      <w:pPr>
        <w:ind w:left="2414" w:hanging="360"/>
      </w:pPr>
    </w:lvl>
    <w:lvl w:ilvl="5">
      <w:start w:val="1"/>
      <w:numFmt w:val="lowerRoman"/>
      <w:lvlText w:val="(%6)"/>
      <w:lvlJc w:val="left"/>
      <w:pPr>
        <w:ind w:left="2774" w:hanging="360"/>
      </w:pPr>
    </w:lvl>
    <w:lvl w:ilvl="6">
      <w:start w:val="1"/>
      <w:numFmt w:val="decimal"/>
      <w:lvlText w:val="%7."/>
      <w:lvlJc w:val="left"/>
      <w:pPr>
        <w:ind w:left="3134" w:hanging="360"/>
      </w:pPr>
    </w:lvl>
    <w:lvl w:ilvl="7">
      <w:start w:val="1"/>
      <w:numFmt w:val="lowerLetter"/>
      <w:lvlText w:val="%8."/>
      <w:lvlJc w:val="left"/>
      <w:pPr>
        <w:ind w:left="3494" w:hanging="360"/>
      </w:pPr>
    </w:lvl>
    <w:lvl w:ilvl="8">
      <w:start w:val="1"/>
      <w:numFmt w:val="lowerRoman"/>
      <w:lvlText w:val="%9."/>
      <w:lvlJc w:val="left"/>
      <w:pPr>
        <w:ind w:left="3854" w:hanging="360"/>
      </w:pPr>
    </w:lvl>
  </w:abstractNum>
  <w:num w:numId="1">
    <w:abstractNumId w:val="24"/>
  </w:num>
  <w:num w:numId="2">
    <w:abstractNumId w:val="7"/>
  </w:num>
  <w:num w:numId="3">
    <w:abstractNumId w:val="16"/>
  </w:num>
  <w:num w:numId="4">
    <w:abstractNumId w:val="11"/>
  </w:num>
  <w:num w:numId="5">
    <w:abstractNumId w:val="24"/>
  </w:num>
  <w:num w:numId="6">
    <w:abstractNumId w:val="6"/>
  </w:num>
  <w:num w:numId="7">
    <w:abstractNumId w:val="7"/>
  </w:num>
  <w:num w:numId="8">
    <w:abstractNumId w:val="2"/>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23"/>
  </w:num>
  <w:num w:numId="13">
    <w:abstractNumId w:val="15"/>
  </w:num>
  <w:num w:numId="14">
    <w:abstractNumId w:val="24"/>
  </w:num>
  <w:num w:numId="15">
    <w:abstractNumId w:val="17"/>
  </w:num>
  <w:num w:numId="16">
    <w:abstractNumId w:val="3"/>
  </w:num>
  <w:num w:numId="17">
    <w:abstractNumId w:val="1"/>
  </w:num>
  <w:num w:numId="18">
    <w:abstractNumId w:val="5"/>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24"/>
  </w:num>
  <w:num w:numId="22">
    <w:abstractNumId w:val="22"/>
  </w:num>
  <w:num w:numId="23">
    <w:abstractNumId w:val="21"/>
  </w:num>
  <w:num w:numId="24">
    <w:abstractNumId w:val="13"/>
  </w:num>
  <w:num w:numId="25">
    <w:abstractNumId w:val="19"/>
  </w:num>
  <w:num w:numId="26">
    <w:abstractNumId w:val="24"/>
  </w:num>
  <w:num w:numId="27">
    <w:abstractNumId w:val="4"/>
  </w:num>
  <w:num w:numId="28">
    <w:abstractNumId w:val="9"/>
  </w:num>
  <w:num w:numId="2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4"/>
  </w:num>
  <w:num w:numId="32">
    <w:abstractNumId w:val="24"/>
  </w:num>
  <w:num w:numId="33">
    <w:abstractNumId w:val="24"/>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F4"/>
    <w:rsid w:val="000001BD"/>
    <w:rsid w:val="00000215"/>
    <w:rsid w:val="00000BDB"/>
    <w:rsid w:val="00001283"/>
    <w:rsid w:val="00001CF4"/>
    <w:rsid w:val="00002D40"/>
    <w:rsid w:val="00002FE6"/>
    <w:rsid w:val="00003C15"/>
    <w:rsid w:val="0000432F"/>
    <w:rsid w:val="0000567A"/>
    <w:rsid w:val="00006E7A"/>
    <w:rsid w:val="0000751E"/>
    <w:rsid w:val="00007539"/>
    <w:rsid w:val="00007D73"/>
    <w:rsid w:val="0001128F"/>
    <w:rsid w:val="00011BC5"/>
    <w:rsid w:val="000124AB"/>
    <w:rsid w:val="00012644"/>
    <w:rsid w:val="000165E3"/>
    <w:rsid w:val="0002048D"/>
    <w:rsid w:val="00020BCC"/>
    <w:rsid w:val="000215BD"/>
    <w:rsid w:val="000215C9"/>
    <w:rsid w:val="00022FB9"/>
    <w:rsid w:val="000233AC"/>
    <w:rsid w:val="00024E9F"/>
    <w:rsid w:val="0002692C"/>
    <w:rsid w:val="0002705B"/>
    <w:rsid w:val="00030452"/>
    <w:rsid w:val="000345CE"/>
    <w:rsid w:val="00034AFC"/>
    <w:rsid w:val="00035274"/>
    <w:rsid w:val="000371CA"/>
    <w:rsid w:val="0003735D"/>
    <w:rsid w:val="00040500"/>
    <w:rsid w:val="00041C3A"/>
    <w:rsid w:val="00043A0F"/>
    <w:rsid w:val="000465C0"/>
    <w:rsid w:val="00046CD6"/>
    <w:rsid w:val="00046E3E"/>
    <w:rsid w:val="0005110D"/>
    <w:rsid w:val="00052CF1"/>
    <w:rsid w:val="00053839"/>
    <w:rsid w:val="00054201"/>
    <w:rsid w:val="00055F85"/>
    <w:rsid w:val="0005663F"/>
    <w:rsid w:val="00056BBD"/>
    <w:rsid w:val="00056CA4"/>
    <w:rsid w:val="00057BF9"/>
    <w:rsid w:val="000602CD"/>
    <w:rsid w:val="00060F8A"/>
    <w:rsid w:val="00061512"/>
    <w:rsid w:val="00062104"/>
    <w:rsid w:val="00066CEE"/>
    <w:rsid w:val="000673C4"/>
    <w:rsid w:val="00070192"/>
    <w:rsid w:val="000728F4"/>
    <w:rsid w:val="00074709"/>
    <w:rsid w:val="0007538E"/>
    <w:rsid w:val="00075949"/>
    <w:rsid w:val="00076C83"/>
    <w:rsid w:val="00077259"/>
    <w:rsid w:val="0008106D"/>
    <w:rsid w:val="0008108D"/>
    <w:rsid w:val="00081802"/>
    <w:rsid w:val="00082A32"/>
    <w:rsid w:val="00082BE3"/>
    <w:rsid w:val="00084301"/>
    <w:rsid w:val="00084E65"/>
    <w:rsid w:val="00086266"/>
    <w:rsid w:val="00086588"/>
    <w:rsid w:val="0008740B"/>
    <w:rsid w:val="00090514"/>
    <w:rsid w:val="00093A12"/>
    <w:rsid w:val="00093F7C"/>
    <w:rsid w:val="000940F3"/>
    <w:rsid w:val="0009578C"/>
    <w:rsid w:val="00097525"/>
    <w:rsid w:val="000A1E93"/>
    <w:rsid w:val="000A2A3B"/>
    <w:rsid w:val="000A495D"/>
    <w:rsid w:val="000A5010"/>
    <w:rsid w:val="000A5C2A"/>
    <w:rsid w:val="000A612F"/>
    <w:rsid w:val="000A65C0"/>
    <w:rsid w:val="000A6622"/>
    <w:rsid w:val="000B0C2F"/>
    <w:rsid w:val="000B2D4F"/>
    <w:rsid w:val="000B3031"/>
    <w:rsid w:val="000B3BDA"/>
    <w:rsid w:val="000B3F24"/>
    <w:rsid w:val="000B4765"/>
    <w:rsid w:val="000B6421"/>
    <w:rsid w:val="000C0BB7"/>
    <w:rsid w:val="000C132E"/>
    <w:rsid w:val="000C195B"/>
    <w:rsid w:val="000C3639"/>
    <w:rsid w:val="000C4C35"/>
    <w:rsid w:val="000C4D94"/>
    <w:rsid w:val="000C517E"/>
    <w:rsid w:val="000C531F"/>
    <w:rsid w:val="000C6606"/>
    <w:rsid w:val="000C669C"/>
    <w:rsid w:val="000D06B5"/>
    <w:rsid w:val="000D23ED"/>
    <w:rsid w:val="000D25EE"/>
    <w:rsid w:val="000D313C"/>
    <w:rsid w:val="000D4ACE"/>
    <w:rsid w:val="000D51E0"/>
    <w:rsid w:val="000D526E"/>
    <w:rsid w:val="000D6064"/>
    <w:rsid w:val="000E01BE"/>
    <w:rsid w:val="000E08EA"/>
    <w:rsid w:val="000E0C33"/>
    <w:rsid w:val="000E15BB"/>
    <w:rsid w:val="000E1F4E"/>
    <w:rsid w:val="000E212F"/>
    <w:rsid w:val="000E4CD1"/>
    <w:rsid w:val="000E56B3"/>
    <w:rsid w:val="000E6359"/>
    <w:rsid w:val="000E67DB"/>
    <w:rsid w:val="000E7ED4"/>
    <w:rsid w:val="000F077E"/>
    <w:rsid w:val="000F146C"/>
    <w:rsid w:val="000F17D3"/>
    <w:rsid w:val="000F183F"/>
    <w:rsid w:val="000F2050"/>
    <w:rsid w:val="0010107B"/>
    <w:rsid w:val="001037D5"/>
    <w:rsid w:val="00105C9F"/>
    <w:rsid w:val="00106599"/>
    <w:rsid w:val="00107C26"/>
    <w:rsid w:val="00107C5B"/>
    <w:rsid w:val="00110DC3"/>
    <w:rsid w:val="00110FB6"/>
    <w:rsid w:val="001112F8"/>
    <w:rsid w:val="00113686"/>
    <w:rsid w:val="00113F0D"/>
    <w:rsid w:val="001142CD"/>
    <w:rsid w:val="0012123D"/>
    <w:rsid w:val="00121D70"/>
    <w:rsid w:val="00123B14"/>
    <w:rsid w:val="00123C8F"/>
    <w:rsid w:val="00124777"/>
    <w:rsid w:val="00124F9E"/>
    <w:rsid w:val="00125B4E"/>
    <w:rsid w:val="00126319"/>
    <w:rsid w:val="001307EC"/>
    <w:rsid w:val="001314C6"/>
    <w:rsid w:val="00131FC1"/>
    <w:rsid w:val="001324E0"/>
    <w:rsid w:val="001335DE"/>
    <w:rsid w:val="00133682"/>
    <w:rsid w:val="001337FA"/>
    <w:rsid w:val="001342C4"/>
    <w:rsid w:val="001349B6"/>
    <w:rsid w:val="001361DB"/>
    <w:rsid w:val="00137B0C"/>
    <w:rsid w:val="00137F54"/>
    <w:rsid w:val="001413FE"/>
    <w:rsid w:val="00143401"/>
    <w:rsid w:val="00144F11"/>
    <w:rsid w:val="00145440"/>
    <w:rsid w:val="00145573"/>
    <w:rsid w:val="001455FF"/>
    <w:rsid w:val="00145BB2"/>
    <w:rsid w:val="00146BEC"/>
    <w:rsid w:val="00147FD8"/>
    <w:rsid w:val="00150D6F"/>
    <w:rsid w:val="001526AD"/>
    <w:rsid w:val="0015463E"/>
    <w:rsid w:val="00155A26"/>
    <w:rsid w:val="0015636A"/>
    <w:rsid w:val="00156B03"/>
    <w:rsid w:val="001607A4"/>
    <w:rsid w:val="001621DA"/>
    <w:rsid w:val="0016335A"/>
    <w:rsid w:val="00163C57"/>
    <w:rsid w:val="00163DEA"/>
    <w:rsid w:val="00164D79"/>
    <w:rsid w:val="00165637"/>
    <w:rsid w:val="00165E32"/>
    <w:rsid w:val="00166461"/>
    <w:rsid w:val="00166C80"/>
    <w:rsid w:val="00167F2F"/>
    <w:rsid w:val="001703FF"/>
    <w:rsid w:val="00172BA3"/>
    <w:rsid w:val="00173E6E"/>
    <w:rsid w:val="00173E93"/>
    <w:rsid w:val="0017405D"/>
    <w:rsid w:val="0017406A"/>
    <w:rsid w:val="00180336"/>
    <w:rsid w:val="00181E97"/>
    <w:rsid w:val="00181F4E"/>
    <w:rsid w:val="001824C3"/>
    <w:rsid w:val="00183386"/>
    <w:rsid w:val="00183652"/>
    <w:rsid w:val="00183FCA"/>
    <w:rsid w:val="00185346"/>
    <w:rsid w:val="00186AAF"/>
    <w:rsid w:val="00186E17"/>
    <w:rsid w:val="0018701C"/>
    <w:rsid w:val="001873CE"/>
    <w:rsid w:val="00187A1E"/>
    <w:rsid w:val="001908D7"/>
    <w:rsid w:val="00190E40"/>
    <w:rsid w:val="001925FD"/>
    <w:rsid w:val="00192E03"/>
    <w:rsid w:val="001936D9"/>
    <w:rsid w:val="00194148"/>
    <w:rsid w:val="001963B1"/>
    <w:rsid w:val="00196CF3"/>
    <w:rsid w:val="00197ECB"/>
    <w:rsid w:val="001A017D"/>
    <w:rsid w:val="001A0E05"/>
    <w:rsid w:val="001A1391"/>
    <w:rsid w:val="001A1AD9"/>
    <w:rsid w:val="001A1FD6"/>
    <w:rsid w:val="001A2E0A"/>
    <w:rsid w:val="001A2FA8"/>
    <w:rsid w:val="001A360A"/>
    <w:rsid w:val="001A4743"/>
    <w:rsid w:val="001A58DC"/>
    <w:rsid w:val="001A5AEC"/>
    <w:rsid w:val="001A5C0B"/>
    <w:rsid w:val="001A6B27"/>
    <w:rsid w:val="001A7C0E"/>
    <w:rsid w:val="001A7FC7"/>
    <w:rsid w:val="001B337C"/>
    <w:rsid w:val="001B3C5D"/>
    <w:rsid w:val="001B5BBC"/>
    <w:rsid w:val="001B6AD9"/>
    <w:rsid w:val="001B6F99"/>
    <w:rsid w:val="001C09B6"/>
    <w:rsid w:val="001C1221"/>
    <w:rsid w:val="001C14FD"/>
    <w:rsid w:val="001C30EE"/>
    <w:rsid w:val="001C36B2"/>
    <w:rsid w:val="001C388D"/>
    <w:rsid w:val="001C3BFF"/>
    <w:rsid w:val="001C56C5"/>
    <w:rsid w:val="001C67C6"/>
    <w:rsid w:val="001C719F"/>
    <w:rsid w:val="001C7EAD"/>
    <w:rsid w:val="001D0ADE"/>
    <w:rsid w:val="001D0D01"/>
    <w:rsid w:val="001D2B66"/>
    <w:rsid w:val="001D37C6"/>
    <w:rsid w:val="001D3A4B"/>
    <w:rsid w:val="001D4AB4"/>
    <w:rsid w:val="001D5509"/>
    <w:rsid w:val="001E0186"/>
    <w:rsid w:val="001E0583"/>
    <w:rsid w:val="001E1E43"/>
    <w:rsid w:val="001E2C17"/>
    <w:rsid w:val="001E37BC"/>
    <w:rsid w:val="001E3805"/>
    <w:rsid w:val="001E493A"/>
    <w:rsid w:val="001E5733"/>
    <w:rsid w:val="001E590C"/>
    <w:rsid w:val="001E739E"/>
    <w:rsid w:val="001E75C8"/>
    <w:rsid w:val="001E7951"/>
    <w:rsid w:val="001F0F1C"/>
    <w:rsid w:val="001F2A04"/>
    <w:rsid w:val="001F2E06"/>
    <w:rsid w:val="001F41AA"/>
    <w:rsid w:val="001F509E"/>
    <w:rsid w:val="001F612C"/>
    <w:rsid w:val="001F7448"/>
    <w:rsid w:val="001F7578"/>
    <w:rsid w:val="0020089D"/>
    <w:rsid w:val="00200F1E"/>
    <w:rsid w:val="00201AE0"/>
    <w:rsid w:val="002031C2"/>
    <w:rsid w:val="00205EE1"/>
    <w:rsid w:val="0020684A"/>
    <w:rsid w:val="00206A01"/>
    <w:rsid w:val="002075D1"/>
    <w:rsid w:val="00207FD8"/>
    <w:rsid w:val="00210AF2"/>
    <w:rsid w:val="00212809"/>
    <w:rsid w:val="00213633"/>
    <w:rsid w:val="00213BE3"/>
    <w:rsid w:val="002149D0"/>
    <w:rsid w:val="00214BC1"/>
    <w:rsid w:val="00215CBC"/>
    <w:rsid w:val="00215F39"/>
    <w:rsid w:val="0021610E"/>
    <w:rsid w:val="00216A00"/>
    <w:rsid w:val="00216A23"/>
    <w:rsid w:val="002171C6"/>
    <w:rsid w:val="00221624"/>
    <w:rsid w:val="002228D5"/>
    <w:rsid w:val="0022465D"/>
    <w:rsid w:val="0022483C"/>
    <w:rsid w:val="0022513A"/>
    <w:rsid w:val="00225CBB"/>
    <w:rsid w:val="00226B42"/>
    <w:rsid w:val="00227577"/>
    <w:rsid w:val="002277C9"/>
    <w:rsid w:val="00230656"/>
    <w:rsid w:val="00230A5E"/>
    <w:rsid w:val="002319C2"/>
    <w:rsid w:val="00234650"/>
    <w:rsid w:val="002367B9"/>
    <w:rsid w:val="00240E0D"/>
    <w:rsid w:val="002415A2"/>
    <w:rsid w:val="0024198D"/>
    <w:rsid w:val="00241C39"/>
    <w:rsid w:val="00241CC2"/>
    <w:rsid w:val="00242E53"/>
    <w:rsid w:val="00243297"/>
    <w:rsid w:val="002433B9"/>
    <w:rsid w:val="00243FDC"/>
    <w:rsid w:val="00244CC5"/>
    <w:rsid w:val="00245976"/>
    <w:rsid w:val="00245C9B"/>
    <w:rsid w:val="00246497"/>
    <w:rsid w:val="00246B01"/>
    <w:rsid w:val="0024704D"/>
    <w:rsid w:val="002472BA"/>
    <w:rsid w:val="002473AA"/>
    <w:rsid w:val="0025098B"/>
    <w:rsid w:val="00252094"/>
    <w:rsid w:val="00252880"/>
    <w:rsid w:val="00254246"/>
    <w:rsid w:val="002542CA"/>
    <w:rsid w:val="00254652"/>
    <w:rsid w:val="0025482E"/>
    <w:rsid w:val="0025538E"/>
    <w:rsid w:val="002557D1"/>
    <w:rsid w:val="00255F0A"/>
    <w:rsid w:val="002578B6"/>
    <w:rsid w:val="0026096C"/>
    <w:rsid w:val="00261BEA"/>
    <w:rsid w:val="00263E00"/>
    <w:rsid w:val="00265064"/>
    <w:rsid w:val="002650EC"/>
    <w:rsid w:val="00266779"/>
    <w:rsid w:val="00266CCE"/>
    <w:rsid w:val="002671DE"/>
    <w:rsid w:val="00271AE3"/>
    <w:rsid w:val="002721FC"/>
    <w:rsid w:val="00272779"/>
    <w:rsid w:val="00273245"/>
    <w:rsid w:val="002752F1"/>
    <w:rsid w:val="00275F2C"/>
    <w:rsid w:val="00276120"/>
    <w:rsid w:val="0028035F"/>
    <w:rsid w:val="002817B0"/>
    <w:rsid w:val="002823A1"/>
    <w:rsid w:val="00283F67"/>
    <w:rsid w:val="00284B56"/>
    <w:rsid w:val="00285F66"/>
    <w:rsid w:val="00286531"/>
    <w:rsid w:val="00287EBB"/>
    <w:rsid w:val="00291787"/>
    <w:rsid w:val="002917AA"/>
    <w:rsid w:val="00291BFA"/>
    <w:rsid w:val="00292C75"/>
    <w:rsid w:val="00295371"/>
    <w:rsid w:val="00297968"/>
    <w:rsid w:val="00297C61"/>
    <w:rsid w:val="00297D65"/>
    <w:rsid w:val="002A102A"/>
    <w:rsid w:val="002A1DAF"/>
    <w:rsid w:val="002A28DB"/>
    <w:rsid w:val="002A296F"/>
    <w:rsid w:val="002A29FD"/>
    <w:rsid w:val="002A49E8"/>
    <w:rsid w:val="002A6097"/>
    <w:rsid w:val="002A639C"/>
    <w:rsid w:val="002A7CFA"/>
    <w:rsid w:val="002B2168"/>
    <w:rsid w:val="002B2FDE"/>
    <w:rsid w:val="002B302A"/>
    <w:rsid w:val="002B3200"/>
    <w:rsid w:val="002B45F6"/>
    <w:rsid w:val="002B4AAC"/>
    <w:rsid w:val="002B61E0"/>
    <w:rsid w:val="002B7028"/>
    <w:rsid w:val="002C08EF"/>
    <w:rsid w:val="002C0E28"/>
    <w:rsid w:val="002C1112"/>
    <w:rsid w:val="002C2773"/>
    <w:rsid w:val="002C395C"/>
    <w:rsid w:val="002C4341"/>
    <w:rsid w:val="002C4609"/>
    <w:rsid w:val="002C46EA"/>
    <w:rsid w:val="002C4D5E"/>
    <w:rsid w:val="002C4F07"/>
    <w:rsid w:val="002C666B"/>
    <w:rsid w:val="002C67D7"/>
    <w:rsid w:val="002C6F54"/>
    <w:rsid w:val="002C7215"/>
    <w:rsid w:val="002D0174"/>
    <w:rsid w:val="002D1917"/>
    <w:rsid w:val="002D1FA5"/>
    <w:rsid w:val="002D270B"/>
    <w:rsid w:val="002D3AEB"/>
    <w:rsid w:val="002D548E"/>
    <w:rsid w:val="002D5845"/>
    <w:rsid w:val="002D6340"/>
    <w:rsid w:val="002D76AC"/>
    <w:rsid w:val="002D7ED5"/>
    <w:rsid w:val="002D7F5E"/>
    <w:rsid w:val="002E006E"/>
    <w:rsid w:val="002E1C0C"/>
    <w:rsid w:val="002E1D30"/>
    <w:rsid w:val="002E4656"/>
    <w:rsid w:val="002E69A6"/>
    <w:rsid w:val="002E7449"/>
    <w:rsid w:val="002F168C"/>
    <w:rsid w:val="002F181F"/>
    <w:rsid w:val="002F23EC"/>
    <w:rsid w:val="002F416F"/>
    <w:rsid w:val="002F764C"/>
    <w:rsid w:val="002F7A1A"/>
    <w:rsid w:val="00301A55"/>
    <w:rsid w:val="0030294C"/>
    <w:rsid w:val="00303071"/>
    <w:rsid w:val="0030356B"/>
    <w:rsid w:val="00303EE4"/>
    <w:rsid w:val="00304FC5"/>
    <w:rsid w:val="00306F6E"/>
    <w:rsid w:val="00307A9F"/>
    <w:rsid w:val="00307ADD"/>
    <w:rsid w:val="00307C6E"/>
    <w:rsid w:val="00307EE9"/>
    <w:rsid w:val="00310F0F"/>
    <w:rsid w:val="0031197E"/>
    <w:rsid w:val="00311D49"/>
    <w:rsid w:val="003125CD"/>
    <w:rsid w:val="003139B2"/>
    <w:rsid w:val="00314526"/>
    <w:rsid w:val="003145A2"/>
    <w:rsid w:val="00314945"/>
    <w:rsid w:val="003169F6"/>
    <w:rsid w:val="00316A3E"/>
    <w:rsid w:val="003172FC"/>
    <w:rsid w:val="00320EE8"/>
    <w:rsid w:val="00321423"/>
    <w:rsid w:val="0032248E"/>
    <w:rsid w:val="00324C0D"/>
    <w:rsid w:val="00324DDA"/>
    <w:rsid w:val="003276CE"/>
    <w:rsid w:val="003301B3"/>
    <w:rsid w:val="003308E4"/>
    <w:rsid w:val="00330917"/>
    <w:rsid w:val="00331F9F"/>
    <w:rsid w:val="0033255A"/>
    <w:rsid w:val="003326B5"/>
    <w:rsid w:val="00332D28"/>
    <w:rsid w:val="00333856"/>
    <w:rsid w:val="00336590"/>
    <w:rsid w:val="00336A9C"/>
    <w:rsid w:val="00340096"/>
    <w:rsid w:val="0034170F"/>
    <w:rsid w:val="003418F5"/>
    <w:rsid w:val="00345457"/>
    <w:rsid w:val="00345C0E"/>
    <w:rsid w:val="00347066"/>
    <w:rsid w:val="00347281"/>
    <w:rsid w:val="0034729B"/>
    <w:rsid w:val="0035008D"/>
    <w:rsid w:val="003504A7"/>
    <w:rsid w:val="00350983"/>
    <w:rsid w:val="003514FD"/>
    <w:rsid w:val="00351979"/>
    <w:rsid w:val="003544FD"/>
    <w:rsid w:val="00355615"/>
    <w:rsid w:val="00355EB5"/>
    <w:rsid w:val="00356637"/>
    <w:rsid w:val="00356972"/>
    <w:rsid w:val="00362FA7"/>
    <w:rsid w:val="00363E8B"/>
    <w:rsid w:val="00364289"/>
    <w:rsid w:val="00365F06"/>
    <w:rsid w:val="0036606E"/>
    <w:rsid w:val="00366A1F"/>
    <w:rsid w:val="00366A97"/>
    <w:rsid w:val="003674F6"/>
    <w:rsid w:val="00367E9B"/>
    <w:rsid w:val="00370226"/>
    <w:rsid w:val="003717E9"/>
    <w:rsid w:val="00373856"/>
    <w:rsid w:val="00374B4C"/>
    <w:rsid w:val="00374C97"/>
    <w:rsid w:val="00374D9F"/>
    <w:rsid w:val="00375035"/>
    <w:rsid w:val="003752CD"/>
    <w:rsid w:val="00376AEC"/>
    <w:rsid w:val="003771B5"/>
    <w:rsid w:val="003778B2"/>
    <w:rsid w:val="0038050C"/>
    <w:rsid w:val="0038080C"/>
    <w:rsid w:val="00381C38"/>
    <w:rsid w:val="00381E22"/>
    <w:rsid w:val="00382F3B"/>
    <w:rsid w:val="00383DDA"/>
    <w:rsid w:val="00383FE6"/>
    <w:rsid w:val="003843C4"/>
    <w:rsid w:val="003859CA"/>
    <w:rsid w:val="00385A07"/>
    <w:rsid w:val="00390381"/>
    <w:rsid w:val="00390811"/>
    <w:rsid w:val="00393F0A"/>
    <w:rsid w:val="00393FFE"/>
    <w:rsid w:val="00394612"/>
    <w:rsid w:val="00397B42"/>
    <w:rsid w:val="00397DB3"/>
    <w:rsid w:val="003A18F4"/>
    <w:rsid w:val="003A20DE"/>
    <w:rsid w:val="003A297F"/>
    <w:rsid w:val="003A3572"/>
    <w:rsid w:val="003A3C7F"/>
    <w:rsid w:val="003A4356"/>
    <w:rsid w:val="003A4705"/>
    <w:rsid w:val="003A479A"/>
    <w:rsid w:val="003A6036"/>
    <w:rsid w:val="003A74F7"/>
    <w:rsid w:val="003B0909"/>
    <w:rsid w:val="003B150F"/>
    <w:rsid w:val="003B1E39"/>
    <w:rsid w:val="003B23C2"/>
    <w:rsid w:val="003B3670"/>
    <w:rsid w:val="003B3E8F"/>
    <w:rsid w:val="003B48C2"/>
    <w:rsid w:val="003B586D"/>
    <w:rsid w:val="003C0E79"/>
    <w:rsid w:val="003C1E0A"/>
    <w:rsid w:val="003C290B"/>
    <w:rsid w:val="003C423A"/>
    <w:rsid w:val="003C49BE"/>
    <w:rsid w:val="003C5C55"/>
    <w:rsid w:val="003C6B67"/>
    <w:rsid w:val="003C768C"/>
    <w:rsid w:val="003C7CB1"/>
    <w:rsid w:val="003C7E74"/>
    <w:rsid w:val="003D15CF"/>
    <w:rsid w:val="003D2B3D"/>
    <w:rsid w:val="003D3975"/>
    <w:rsid w:val="003D6450"/>
    <w:rsid w:val="003D6B4E"/>
    <w:rsid w:val="003E0C52"/>
    <w:rsid w:val="003E15E4"/>
    <w:rsid w:val="003E1F07"/>
    <w:rsid w:val="003E286E"/>
    <w:rsid w:val="003E3C6D"/>
    <w:rsid w:val="003E41D8"/>
    <w:rsid w:val="003E43BA"/>
    <w:rsid w:val="003E5C32"/>
    <w:rsid w:val="003E6AA9"/>
    <w:rsid w:val="003E7473"/>
    <w:rsid w:val="003E748E"/>
    <w:rsid w:val="003E79C6"/>
    <w:rsid w:val="003F21A6"/>
    <w:rsid w:val="003F22DB"/>
    <w:rsid w:val="003F2940"/>
    <w:rsid w:val="003F2AE3"/>
    <w:rsid w:val="003F3761"/>
    <w:rsid w:val="003F3854"/>
    <w:rsid w:val="003F3ECF"/>
    <w:rsid w:val="003F5502"/>
    <w:rsid w:val="003F6443"/>
    <w:rsid w:val="003F69CE"/>
    <w:rsid w:val="003F6FB3"/>
    <w:rsid w:val="003F70D7"/>
    <w:rsid w:val="00400C02"/>
    <w:rsid w:val="0040104A"/>
    <w:rsid w:val="00402313"/>
    <w:rsid w:val="00404869"/>
    <w:rsid w:val="0040546A"/>
    <w:rsid w:val="00406F9D"/>
    <w:rsid w:val="00407609"/>
    <w:rsid w:val="00407B86"/>
    <w:rsid w:val="00407BD5"/>
    <w:rsid w:val="00410569"/>
    <w:rsid w:val="00411528"/>
    <w:rsid w:val="00411654"/>
    <w:rsid w:val="00411CFE"/>
    <w:rsid w:val="0041293A"/>
    <w:rsid w:val="00412DF2"/>
    <w:rsid w:val="00413776"/>
    <w:rsid w:val="0041431B"/>
    <w:rsid w:val="00414384"/>
    <w:rsid w:val="00417F65"/>
    <w:rsid w:val="0042008E"/>
    <w:rsid w:val="004200D1"/>
    <w:rsid w:val="004215C2"/>
    <w:rsid w:val="00421FA9"/>
    <w:rsid w:val="0042211D"/>
    <w:rsid w:val="004221CF"/>
    <w:rsid w:val="004229E1"/>
    <w:rsid w:val="00425A7E"/>
    <w:rsid w:val="00425E9F"/>
    <w:rsid w:val="00426C2D"/>
    <w:rsid w:val="0043099A"/>
    <w:rsid w:val="0043103C"/>
    <w:rsid w:val="00431D2E"/>
    <w:rsid w:val="00432BA8"/>
    <w:rsid w:val="00433738"/>
    <w:rsid w:val="004364D7"/>
    <w:rsid w:val="00436875"/>
    <w:rsid w:val="00437E4E"/>
    <w:rsid w:val="00440881"/>
    <w:rsid w:val="00443318"/>
    <w:rsid w:val="0044353C"/>
    <w:rsid w:val="00444BB1"/>
    <w:rsid w:val="00447323"/>
    <w:rsid w:val="0044764B"/>
    <w:rsid w:val="0045094C"/>
    <w:rsid w:val="0045197E"/>
    <w:rsid w:val="00452229"/>
    <w:rsid w:val="00453977"/>
    <w:rsid w:val="00453E7A"/>
    <w:rsid w:val="004547F4"/>
    <w:rsid w:val="00454CAA"/>
    <w:rsid w:val="00454EEF"/>
    <w:rsid w:val="00455BA0"/>
    <w:rsid w:val="00455C59"/>
    <w:rsid w:val="00456004"/>
    <w:rsid w:val="00456E2A"/>
    <w:rsid w:val="00460444"/>
    <w:rsid w:val="0046161B"/>
    <w:rsid w:val="004627D1"/>
    <w:rsid w:val="00465186"/>
    <w:rsid w:val="0046532B"/>
    <w:rsid w:val="00465516"/>
    <w:rsid w:val="0046717F"/>
    <w:rsid w:val="00467396"/>
    <w:rsid w:val="00471A04"/>
    <w:rsid w:val="00472432"/>
    <w:rsid w:val="00472A52"/>
    <w:rsid w:val="00475659"/>
    <w:rsid w:val="00475939"/>
    <w:rsid w:val="00475FA3"/>
    <w:rsid w:val="00477AC2"/>
    <w:rsid w:val="00480DB3"/>
    <w:rsid w:val="00481B8E"/>
    <w:rsid w:val="0048301E"/>
    <w:rsid w:val="00484263"/>
    <w:rsid w:val="00487A71"/>
    <w:rsid w:val="00487C32"/>
    <w:rsid w:val="00492374"/>
    <w:rsid w:val="004931E0"/>
    <w:rsid w:val="00493B17"/>
    <w:rsid w:val="004946CF"/>
    <w:rsid w:val="00495648"/>
    <w:rsid w:val="00495FEA"/>
    <w:rsid w:val="00497E10"/>
    <w:rsid w:val="004A0515"/>
    <w:rsid w:val="004A0892"/>
    <w:rsid w:val="004A106D"/>
    <w:rsid w:val="004A11E6"/>
    <w:rsid w:val="004A2B02"/>
    <w:rsid w:val="004A2B50"/>
    <w:rsid w:val="004A3CDB"/>
    <w:rsid w:val="004A4A97"/>
    <w:rsid w:val="004A4DE9"/>
    <w:rsid w:val="004A6633"/>
    <w:rsid w:val="004A6FCA"/>
    <w:rsid w:val="004A77C5"/>
    <w:rsid w:val="004B11E8"/>
    <w:rsid w:val="004B1453"/>
    <w:rsid w:val="004B26A0"/>
    <w:rsid w:val="004B3AA7"/>
    <w:rsid w:val="004B3F8E"/>
    <w:rsid w:val="004B4186"/>
    <w:rsid w:val="004B6C3D"/>
    <w:rsid w:val="004B75DF"/>
    <w:rsid w:val="004C1627"/>
    <w:rsid w:val="004C207C"/>
    <w:rsid w:val="004C3150"/>
    <w:rsid w:val="004C3345"/>
    <w:rsid w:val="004C435B"/>
    <w:rsid w:val="004C45D7"/>
    <w:rsid w:val="004C4E59"/>
    <w:rsid w:val="004C5614"/>
    <w:rsid w:val="004C5F18"/>
    <w:rsid w:val="004D17A2"/>
    <w:rsid w:val="004D2269"/>
    <w:rsid w:val="004D335F"/>
    <w:rsid w:val="004D373A"/>
    <w:rsid w:val="004D4266"/>
    <w:rsid w:val="004D5756"/>
    <w:rsid w:val="004D5941"/>
    <w:rsid w:val="004D5AF2"/>
    <w:rsid w:val="004E0AE7"/>
    <w:rsid w:val="004E17FD"/>
    <w:rsid w:val="004E2B4F"/>
    <w:rsid w:val="004E33DE"/>
    <w:rsid w:val="004E3FC0"/>
    <w:rsid w:val="004E4510"/>
    <w:rsid w:val="004E4A96"/>
    <w:rsid w:val="004E5A77"/>
    <w:rsid w:val="004E6F98"/>
    <w:rsid w:val="004F074D"/>
    <w:rsid w:val="004F0C24"/>
    <w:rsid w:val="004F0F97"/>
    <w:rsid w:val="004F2747"/>
    <w:rsid w:val="004F377E"/>
    <w:rsid w:val="004F3C9E"/>
    <w:rsid w:val="004F3F51"/>
    <w:rsid w:val="004F4AE2"/>
    <w:rsid w:val="004F563D"/>
    <w:rsid w:val="004F678A"/>
    <w:rsid w:val="004F74D2"/>
    <w:rsid w:val="005005F3"/>
    <w:rsid w:val="0050075C"/>
    <w:rsid w:val="005015B6"/>
    <w:rsid w:val="00501E41"/>
    <w:rsid w:val="00503347"/>
    <w:rsid w:val="00504777"/>
    <w:rsid w:val="00504A3B"/>
    <w:rsid w:val="00504C52"/>
    <w:rsid w:val="005050DE"/>
    <w:rsid w:val="00505706"/>
    <w:rsid w:val="00507E4F"/>
    <w:rsid w:val="005106A3"/>
    <w:rsid w:val="005116EE"/>
    <w:rsid w:val="0051334C"/>
    <w:rsid w:val="00517ADD"/>
    <w:rsid w:val="00517CB7"/>
    <w:rsid w:val="00517EE8"/>
    <w:rsid w:val="005239AD"/>
    <w:rsid w:val="0052460E"/>
    <w:rsid w:val="0052469B"/>
    <w:rsid w:val="0052773F"/>
    <w:rsid w:val="00527E73"/>
    <w:rsid w:val="00530DF2"/>
    <w:rsid w:val="00532F32"/>
    <w:rsid w:val="0053321F"/>
    <w:rsid w:val="00534FD6"/>
    <w:rsid w:val="00535D1F"/>
    <w:rsid w:val="00536D62"/>
    <w:rsid w:val="00540DFD"/>
    <w:rsid w:val="0054158A"/>
    <w:rsid w:val="00541B1C"/>
    <w:rsid w:val="00542406"/>
    <w:rsid w:val="0054247C"/>
    <w:rsid w:val="005444E8"/>
    <w:rsid w:val="005452DF"/>
    <w:rsid w:val="00546A51"/>
    <w:rsid w:val="00546C63"/>
    <w:rsid w:val="0055158D"/>
    <w:rsid w:val="0055196E"/>
    <w:rsid w:val="00554D0F"/>
    <w:rsid w:val="00555059"/>
    <w:rsid w:val="005560DA"/>
    <w:rsid w:val="005566C9"/>
    <w:rsid w:val="005575C5"/>
    <w:rsid w:val="00557AD5"/>
    <w:rsid w:val="00560740"/>
    <w:rsid w:val="0056177C"/>
    <w:rsid w:val="00561846"/>
    <w:rsid w:val="00561EEE"/>
    <w:rsid w:val="005637A4"/>
    <w:rsid w:val="00564CD1"/>
    <w:rsid w:val="005656E1"/>
    <w:rsid w:val="00566784"/>
    <w:rsid w:val="00567A37"/>
    <w:rsid w:val="00567C37"/>
    <w:rsid w:val="00571318"/>
    <w:rsid w:val="00571D00"/>
    <w:rsid w:val="00574403"/>
    <w:rsid w:val="00574F30"/>
    <w:rsid w:val="00575081"/>
    <w:rsid w:val="00575643"/>
    <w:rsid w:val="00576166"/>
    <w:rsid w:val="00576DA9"/>
    <w:rsid w:val="00580751"/>
    <w:rsid w:val="0058189B"/>
    <w:rsid w:val="00582188"/>
    <w:rsid w:val="00584AA4"/>
    <w:rsid w:val="00584BB6"/>
    <w:rsid w:val="00584BE6"/>
    <w:rsid w:val="00585530"/>
    <w:rsid w:val="0058571C"/>
    <w:rsid w:val="00586F64"/>
    <w:rsid w:val="00590C33"/>
    <w:rsid w:val="0059159A"/>
    <w:rsid w:val="0059287E"/>
    <w:rsid w:val="00594F0E"/>
    <w:rsid w:val="005952AA"/>
    <w:rsid w:val="00595EA6"/>
    <w:rsid w:val="00595FB7"/>
    <w:rsid w:val="005961DC"/>
    <w:rsid w:val="0059635C"/>
    <w:rsid w:val="0059687D"/>
    <w:rsid w:val="00597B0E"/>
    <w:rsid w:val="005A026B"/>
    <w:rsid w:val="005A0AF7"/>
    <w:rsid w:val="005A0E78"/>
    <w:rsid w:val="005A1526"/>
    <w:rsid w:val="005A2EBB"/>
    <w:rsid w:val="005A67F4"/>
    <w:rsid w:val="005A71F2"/>
    <w:rsid w:val="005A79B2"/>
    <w:rsid w:val="005A7B1C"/>
    <w:rsid w:val="005B1546"/>
    <w:rsid w:val="005B1671"/>
    <w:rsid w:val="005B3467"/>
    <w:rsid w:val="005B4D39"/>
    <w:rsid w:val="005B662A"/>
    <w:rsid w:val="005B7B34"/>
    <w:rsid w:val="005C0A29"/>
    <w:rsid w:val="005C1651"/>
    <w:rsid w:val="005C2AA4"/>
    <w:rsid w:val="005C3D67"/>
    <w:rsid w:val="005C4B98"/>
    <w:rsid w:val="005C7966"/>
    <w:rsid w:val="005D1C87"/>
    <w:rsid w:val="005D2111"/>
    <w:rsid w:val="005D339D"/>
    <w:rsid w:val="005D440D"/>
    <w:rsid w:val="005D6958"/>
    <w:rsid w:val="005E49D8"/>
    <w:rsid w:val="005E4F1B"/>
    <w:rsid w:val="005E630F"/>
    <w:rsid w:val="005E68D2"/>
    <w:rsid w:val="005E6DE1"/>
    <w:rsid w:val="005E7105"/>
    <w:rsid w:val="005E71D9"/>
    <w:rsid w:val="005F03D8"/>
    <w:rsid w:val="005F0F0F"/>
    <w:rsid w:val="005F3B5C"/>
    <w:rsid w:val="005F5633"/>
    <w:rsid w:val="005F5700"/>
    <w:rsid w:val="005F637B"/>
    <w:rsid w:val="005F67C9"/>
    <w:rsid w:val="005F7450"/>
    <w:rsid w:val="005F7B23"/>
    <w:rsid w:val="00600364"/>
    <w:rsid w:val="0060192D"/>
    <w:rsid w:val="00603128"/>
    <w:rsid w:val="00603C8A"/>
    <w:rsid w:val="00604349"/>
    <w:rsid w:val="00604459"/>
    <w:rsid w:val="00604E1D"/>
    <w:rsid w:val="00606838"/>
    <w:rsid w:val="00606A48"/>
    <w:rsid w:val="00607A2A"/>
    <w:rsid w:val="00610076"/>
    <w:rsid w:val="00611CF9"/>
    <w:rsid w:val="006123B2"/>
    <w:rsid w:val="006145C8"/>
    <w:rsid w:val="00614766"/>
    <w:rsid w:val="006147A0"/>
    <w:rsid w:val="00614C3F"/>
    <w:rsid w:val="006151F1"/>
    <w:rsid w:val="00616535"/>
    <w:rsid w:val="00617131"/>
    <w:rsid w:val="00617746"/>
    <w:rsid w:val="00620ED7"/>
    <w:rsid w:val="0062104F"/>
    <w:rsid w:val="00621171"/>
    <w:rsid w:val="00622594"/>
    <w:rsid w:val="006229B9"/>
    <w:rsid w:val="00623285"/>
    <w:rsid w:val="006244C8"/>
    <w:rsid w:val="00625147"/>
    <w:rsid w:val="00625400"/>
    <w:rsid w:val="00625A17"/>
    <w:rsid w:val="00625AE8"/>
    <w:rsid w:val="00625C4D"/>
    <w:rsid w:val="00625F9D"/>
    <w:rsid w:val="006263D9"/>
    <w:rsid w:val="00626899"/>
    <w:rsid w:val="00626F3B"/>
    <w:rsid w:val="006277B8"/>
    <w:rsid w:val="006279B1"/>
    <w:rsid w:val="00627E19"/>
    <w:rsid w:val="006319A4"/>
    <w:rsid w:val="006319FB"/>
    <w:rsid w:val="00631B9C"/>
    <w:rsid w:val="00631D8C"/>
    <w:rsid w:val="006351A5"/>
    <w:rsid w:val="00635403"/>
    <w:rsid w:val="006369C8"/>
    <w:rsid w:val="00640503"/>
    <w:rsid w:val="0064062C"/>
    <w:rsid w:val="006414A1"/>
    <w:rsid w:val="006419FA"/>
    <w:rsid w:val="00641ED8"/>
    <w:rsid w:val="006421C1"/>
    <w:rsid w:val="0064257E"/>
    <w:rsid w:val="006443B1"/>
    <w:rsid w:val="00644BE1"/>
    <w:rsid w:val="006458B2"/>
    <w:rsid w:val="00647EAB"/>
    <w:rsid w:val="00651097"/>
    <w:rsid w:val="00651D39"/>
    <w:rsid w:val="00652B94"/>
    <w:rsid w:val="00654EB8"/>
    <w:rsid w:val="00654F12"/>
    <w:rsid w:val="00655277"/>
    <w:rsid w:val="0065531A"/>
    <w:rsid w:val="0065555B"/>
    <w:rsid w:val="0065579C"/>
    <w:rsid w:val="00655DBA"/>
    <w:rsid w:val="00656B89"/>
    <w:rsid w:val="0065719F"/>
    <w:rsid w:val="006573AB"/>
    <w:rsid w:val="006621D3"/>
    <w:rsid w:val="00662241"/>
    <w:rsid w:val="0066292F"/>
    <w:rsid w:val="00662C4F"/>
    <w:rsid w:val="00662CF5"/>
    <w:rsid w:val="00663545"/>
    <w:rsid w:val="006641F0"/>
    <w:rsid w:val="00665D7E"/>
    <w:rsid w:val="00665E61"/>
    <w:rsid w:val="006674E3"/>
    <w:rsid w:val="006701EF"/>
    <w:rsid w:val="006702BC"/>
    <w:rsid w:val="00672A15"/>
    <w:rsid w:val="00672E1D"/>
    <w:rsid w:val="00673B68"/>
    <w:rsid w:val="00674D03"/>
    <w:rsid w:val="006772BB"/>
    <w:rsid w:val="00680262"/>
    <w:rsid w:val="0068073B"/>
    <w:rsid w:val="00681104"/>
    <w:rsid w:val="00681520"/>
    <w:rsid w:val="0068352A"/>
    <w:rsid w:val="0068369F"/>
    <w:rsid w:val="00683B3F"/>
    <w:rsid w:val="006840D1"/>
    <w:rsid w:val="00684149"/>
    <w:rsid w:val="00685364"/>
    <w:rsid w:val="006853F3"/>
    <w:rsid w:val="00687A1D"/>
    <w:rsid w:val="00692723"/>
    <w:rsid w:val="006935FB"/>
    <w:rsid w:val="006938BD"/>
    <w:rsid w:val="00697735"/>
    <w:rsid w:val="006A0337"/>
    <w:rsid w:val="006A1730"/>
    <w:rsid w:val="006A219C"/>
    <w:rsid w:val="006A21D8"/>
    <w:rsid w:val="006A45B5"/>
    <w:rsid w:val="006A54D8"/>
    <w:rsid w:val="006A54F2"/>
    <w:rsid w:val="006A7459"/>
    <w:rsid w:val="006B0AC1"/>
    <w:rsid w:val="006B3061"/>
    <w:rsid w:val="006B42AF"/>
    <w:rsid w:val="006B5310"/>
    <w:rsid w:val="006B6ACB"/>
    <w:rsid w:val="006C010D"/>
    <w:rsid w:val="006C0A69"/>
    <w:rsid w:val="006C0A8C"/>
    <w:rsid w:val="006C56F6"/>
    <w:rsid w:val="006C5D8B"/>
    <w:rsid w:val="006C6F7D"/>
    <w:rsid w:val="006D0C1A"/>
    <w:rsid w:val="006D2405"/>
    <w:rsid w:val="006D3B44"/>
    <w:rsid w:val="006D423F"/>
    <w:rsid w:val="006D4377"/>
    <w:rsid w:val="006D50FD"/>
    <w:rsid w:val="006D679E"/>
    <w:rsid w:val="006D6957"/>
    <w:rsid w:val="006D6AB5"/>
    <w:rsid w:val="006D7621"/>
    <w:rsid w:val="006E042A"/>
    <w:rsid w:val="006E1E48"/>
    <w:rsid w:val="006E27B2"/>
    <w:rsid w:val="006E43A0"/>
    <w:rsid w:val="006E450D"/>
    <w:rsid w:val="006E45FA"/>
    <w:rsid w:val="006E4A27"/>
    <w:rsid w:val="006E4D2D"/>
    <w:rsid w:val="006E4DDE"/>
    <w:rsid w:val="006E68BA"/>
    <w:rsid w:val="006E6C1C"/>
    <w:rsid w:val="006E75EC"/>
    <w:rsid w:val="006F0B6E"/>
    <w:rsid w:val="006F1233"/>
    <w:rsid w:val="006F2092"/>
    <w:rsid w:val="006F31ED"/>
    <w:rsid w:val="006F3E03"/>
    <w:rsid w:val="006F3E9F"/>
    <w:rsid w:val="006F4781"/>
    <w:rsid w:val="006F7DE8"/>
    <w:rsid w:val="00700B12"/>
    <w:rsid w:val="00700F51"/>
    <w:rsid w:val="00701C39"/>
    <w:rsid w:val="00701E2E"/>
    <w:rsid w:val="0070242A"/>
    <w:rsid w:val="00704556"/>
    <w:rsid w:val="0070464B"/>
    <w:rsid w:val="00704800"/>
    <w:rsid w:val="00704EC8"/>
    <w:rsid w:val="007057CC"/>
    <w:rsid w:val="00705BFE"/>
    <w:rsid w:val="00707CD8"/>
    <w:rsid w:val="00710672"/>
    <w:rsid w:val="00710AF9"/>
    <w:rsid w:val="00710D20"/>
    <w:rsid w:val="0071375F"/>
    <w:rsid w:val="00714853"/>
    <w:rsid w:val="00715685"/>
    <w:rsid w:val="00716B8F"/>
    <w:rsid w:val="00717AC1"/>
    <w:rsid w:val="00720A9D"/>
    <w:rsid w:val="00722729"/>
    <w:rsid w:val="0072359B"/>
    <w:rsid w:val="00723E72"/>
    <w:rsid w:val="0073038D"/>
    <w:rsid w:val="00731FBC"/>
    <w:rsid w:val="00732198"/>
    <w:rsid w:val="00732EDE"/>
    <w:rsid w:val="00733855"/>
    <w:rsid w:val="00733D58"/>
    <w:rsid w:val="007344D5"/>
    <w:rsid w:val="00735270"/>
    <w:rsid w:val="00735981"/>
    <w:rsid w:val="007359B0"/>
    <w:rsid w:val="00737781"/>
    <w:rsid w:val="00741ABB"/>
    <w:rsid w:val="00744BF3"/>
    <w:rsid w:val="00746945"/>
    <w:rsid w:val="00747260"/>
    <w:rsid w:val="00747385"/>
    <w:rsid w:val="007475B7"/>
    <w:rsid w:val="0074762D"/>
    <w:rsid w:val="007478D3"/>
    <w:rsid w:val="00750D01"/>
    <w:rsid w:val="007515BA"/>
    <w:rsid w:val="00751B4A"/>
    <w:rsid w:val="00753057"/>
    <w:rsid w:val="0075339A"/>
    <w:rsid w:val="0075363F"/>
    <w:rsid w:val="00753D27"/>
    <w:rsid w:val="00753E72"/>
    <w:rsid w:val="00753FE3"/>
    <w:rsid w:val="00754685"/>
    <w:rsid w:val="00754D9D"/>
    <w:rsid w:val="007562AA"/>
    <w:rsid w:val="007567A6"/>
    <w:rsid w:val="0075696F"/>
    <w:rsid w:val="00757E14"/>
    <w:rsid w:val="0076011E"/>
    <w:rsid w:val="00760503"/>
    <w:rsid w:val="0076232D"/>
    <w:rsid w:val="0076264E"/>
    <w:rsid w:val="007639E8"/>
    <w:rsid w:val="00763A28"/>
    <w:rsid w:val="00765931"/>
    <w:rsid w:val="00765C95"/>
    <w:rsid w:val="007678E9"/>
    <w:rsid w:val="007704A8"/>
    <w:rsid w:val="00770CE5"/>
    <w:rsid w:val="00771777"/>
    <w:rsid w:val="00771880"/>
    <w:rsid w:val="007728BA"/>
    <w:rsid w:val="007744B7"/>
    <w:rsid w:val="007755BF"/>
    <w:rsid w:val="007756D2"/>
    <w:rsid w:val="007758CC"/>
    <w:rsid w:val="00780428"/>
    <w:rsid w:val="00781BE2"/>
    <w:rsid w:val="00781DEF"/>
    <w:rsid w:val="00783477"/>
    <w:rsid w:val="007835B0"/>
    <w:rsid w:val="007853BB"/>
    <w:rsid w:val="007862E5"/>
    <w:rsid w:val="0078701E"/>
    <w:rsid w:val="0078762D"/>
    <w:rsid w:val="007916BA"/>
    <w:rsid w:val="00791C50"/>
    <w:rsid w:val="00791F22"/>
    <w:rsid w:val="00791FA4"/>
    <w:rsid w:val="00792103"/>
    <w:rsid w:val="00792184"/>
    <w:rsid w:val="00792F2A"/>
    <w:rsid w:val="00793C71"/>
    <w:rsid w:val="00795B93"/>
    <w:rsid w:val="00795E98"/>
    <w:rsid w:val="0079762A"/>
    <w:rsid w:val="00797A72"/>
    <w:rsid w:val="007A0356"/>
    <w:rsid w:val="007A04BC"/>
    <w:rsid w:val="007A0B5D"/>
    <w:rsid w:val="007A2CC1"/>
    <w:rsid w:val="007A3198"/>
    <w:rsid w:val="007A41F5"/>
    <w:rsid w:val="007A431E"/>
    <w:rsid w:val="007A4579"/>
    <w:rsid w:val="007A4D00"/>
    <w:rsid w:val="007A5BDC"/>
    <w:rsid w:val="007A77C1"/>
    <w:rsid w:val="007B1B79"/>
    <w:rsid w:val="007B3C01"/>
    <w:rsid w:val="007B3C65"/>
    <w:rsid w:val="007B438E"/>
    <w:rsid w:val="007B59A3"/>
    <w:rsid w:val="007B6894"/>
    <w:rsid w:val="007B6AB9"/>
    <w:rsid w:val="007B70D8"/>
    <w:rsid w:val="007B7C20"/>
    <w:rsid w:val="007C0B3F"/>
    <w:rsid w:val="007C1B7A"/>
    <w:rsid w:val="007C24F9"/>
    <w:rsid w:val="007C3D09"/>
    <w:rsid w:val="007C409D"/>
    <w:rsid w:val="007C4E64"/>
    <w:rsid w:val="007C587B"/>
    <w:rsid w:val="007C6D12"/>
    <w:rsid w:val="007C6FDD"/>
    <w:rsid w:val="007C7FFB"/>
    <w:rsid w:val="007D0A41"/>
    <w:rsid w:val="007D0F6E"/>
    <w:rsid w:val="007D13B7"/>
    <w:rsid w:val="007D15CF"/>
    <w:rsid w:val="007D2683"/>
    <w:rsid w:val="007D2B7F"/>
    <w:rsid w:val="007D370C"/>
    <w:rsid w:val="007D432A"/>
    <w:rsid w:val="007D52CA"/>
    <w:rsid w:val="007D539C"/>
    <w:rsid w:val="007D54E1"/>
    <w:rsid w:val="007D5C68"/>
    <w:rsid w:val="007D6029"/>
    <w:rsid w:val="007D63A3"/>
    <w:rsid w:val="007D7AE2"/>
    <w:rsid w:val="007D7C1D"/>
    <w:rsid w:val="007E0562"/>
    <w:rsid w:val="007E101B"/>
    <w:rsid w:val="007E1221"/>
    <w:rsid w:val="007E5A9A"/>
    <w:rsid w:val="007E6408"/>
    <w:rsid w:val="007E6583"/>
    <w:rsid w:val="007E6882"/>
    <w:rsid w:val="007E6EEC"/>
    <w:rsid w:val="007E6FDB"/>
    <w:rsid w:val="007E752B"/>
    <w:rsid w:val="007E7D9B"/>
    <w:rsid w:val="007F052B"/>
    <w:rsid w:val="007F05F6"/>
    <w:rsid w:val="007F0784"/>
    <w:rsid w:val="007F19BD"/>
    <w:rsid w:val="007F1DA2"/>
    <w:rsid w:val="007F2275"/>
    <w:rsid w:val="007F614D"/>
    <w:rsid w:val="007F7589"/>
    <w:rsid w:val="0080343F"/>
    <w:rsid w:val="00803BC9"/>
    <w:rsid w:val="0080507E"/>
    <w:rsid w:val="00805EE5"/>
    <w:rsid w:val="008061DB"/>
    <w:rsid w:val="008070F4"/>
    <w:rsid w:val="008105FD"/>
    <w:rsid w:val="00810B25"/>
    <w:rsid w:val="00810CB8"/>
    <w:rsid w:val="00811501"/>
    <w:rsid w:val="00811EF9"/>
    <w:rsid w:val="00813679"/>
    <w:rsid w:val="0081508D"/>
    <w:rsid w:val="008154D4"/>
    <w:rsid w:val="00815731"/>
    <w:rsid w:val="008178E0"/>
    <w:rsid w:val="00821048"/>
    <w:rsid w:val="0082134B"/>
    <w:rsid w:val="00821BC2"/>
    <w:rsid w:val="00821F8A"/>
    <w:rsid w:val="008234F0"/>
    <w:rsid w:val="00823AAF"/>
    <w:rsid w:val="00823FAB"/>
    <w:rsid w:val="00824105"/>
    <w:rsid w:val="00827077"/>
    <w:rsid w:val="00827878"/>
    <w:rsid w:val="00830420"/>
    <w:rsid w:val="0083080B"/>
    <w:rsid w:val="00830AED"/>
    <w:rsid w:val="00830D05"/>
    <w:rsid w:val="0083111C"/>
    <w:rsid w:val="0083136E"/>
    <w:rsid w:val="008368CE"/>
    <w:rsid w:val="0083691D"/>
    <w:rsid w:val="00837061"/>
    <w:rsid w:val="008402CF"/>
    <w:rsid w:val="008405AB"/>
    <w:rsid w:val="008408E7"/>
    <w:rsid w:val="008411A0"/>
    <w:rsid w:val="00841EA7"/>
    <w:rsid w:val="008427C0"/>
    <w:rsid w:val="00842E4E"/>
    <w:rsid w:val="008431A3"/>
    <w:rsid w:val="00844924"/>
    <w:rsid w:val="00844A6E"/>
    <w:rsid w:val="00844AB7"/>
    <w:rsid w:val="00845BB6"/>
    <w:rsid w:val="00846128"/>
    <w:rsid w:val="008467C5"/>
    <w:rsid w:val="00847E9D"/>
    <w:rsid w:val="00850D79"/>
    <w:rsid w:val="0085269A"/>
    <w:rsid w:val="00853F8C"/>
    <w:rsid w:val="0085422B"/>
    <w:rsid w:val="008543D7"/>
    <w:rsid w:val="0085495A"/>
    <w:rsid w:val="008562CC"/>
    <w:rsid w:val="008565CF"/>
    <w:rsid w:val="008602F3"/>
    <w:rsid w:val="00860A3B"/>
    <w:rsid w:val="0086131F"/>
    <w:rsid w:val="00866913"/>
    <w:rsid w:val="00866F43"/>
    <w:rsid w:val="0086714A"/>
    <w:rsid w:val="00870993"/>
    <w:rsid w:val="00871182"/>
    <w:rsid w:val="008717CB"/>
    <w:rsid w:val="008725D6"/>
    <w:rsid w:val="00873AEC"/>
    <w:rsid w:val="008751D8"/>
    <w:rsid w:val="008752FD"/>
    <w:rsid w:val="00875774"/>
    <w:rsid w:val="00877DE3"/>
    <w:rsid w:val="0088017E"/>
    <w:rsid w:val="008813B6"/>
    <w:rsid w:val="008818C3"/>
    <w:rsid w:val="0088227D"/>
    <w:rsid w:val="0088231C"/>
    <w:rsid w:val="008854A5"/>
    <w:rsid w:val="008868BD"/>
    <w:rsid w:val="008868FB"/>
    <w:rsid w:val="00886E0E"/>
    <w:rsid w:val="008914A0"/>
    <w:rsid w:val="00891CC3"/>
    <w:rsid w:val="00891FF2"/>
    <w:rsid w:val="008930A6"/>
    <w:rsid w:val="0089320A"/>
    <w:rsid w:val="00893503"/>
    <w:rsid w:val="0089352F"/>
    <w:rsid w:val="00893622"/>
    <w:rsid w:val="00896752"/>
    <w:rsid w:val="008971DC"/>
    <w:rsid w:val="00897F7A"/>
    <w:rsid w:val="008A038B"/>
    <w:rsid w:val="008A0593"/>
    <w:rsid w:val="008A0C55"/>
    <w:rsid w:val="008A229E"/>
    <w:rsid w:val="008A27B3"/>
    <w:rsid w:val="008A2B88"/>
    <w:rsid w:val="008A2C64"/>
    <w:rsid w:val="008A3AB7"/>
    <w:rsid w:val="008A405D"/>
    <w:rsid w:val="008A439D"/>
    <w:rsid w:val="008A47A6"/>
    <w:rsid w:val="008A5876"/>
    <w:rsid w:val="008A599C"/>
    <w:rsid w:val="008A63E6"/>
    <w:rsid w:val="008A7412"/>
    <w:rsid w:val="008A74D0"/>
    <w:rsid w:val="008B150A"/>
    <w:rsid w:val="008B3F1C"/>
    <w:rsid w:val="008B42FB"/>
    <w:rsid w:val="008B4530"/>
    <w:rsid w:val="008B49F0"/>
    <w:rsid w:val="008B4C15"/>
    <w:rsid w:val="008B554E"/>
    <w:rsid w:val="008B5A4C"/>
    <w:rsid w:val="008C0587"/>
    <w:rsid w:val="008C25E1"/>
    <w:rsid w:val="008C3212"/>
    <w:rsid w:val="008C3E5B"/>
    <w:rsid w:val="008C4B53"/>
    <w:rsid w:val="008C590A"/>
    <w:rsid w:val="008C5F73"/>
    <w:rsid w:val="008C62C4"/>
    <w:rsid w:val="008C6BC3"/>
    <w:rsid w:val="008C780B"/>
    <w:rsid w:val="008C7824"/>
    <w:rsid w:val="008D02B9"/>
    <w:rsid w:val="008D1E6A"/>
    <w:rsid w:val="008D2E7B"/>
    <w:rsid w:val="008D3BF9"/>
    <w:rsid w:val="008E1DA1"/>
    <w:rsid w:val="008E319E"/>
    <w:rsid w:val="008E42F1"/>
    <w:rsid w:val="008E4D53"/>
    <w:rsid w:val="008E5E55"/>
    <w:rsid w:val="008E7145"/>
    <w:rsid w:val="008F0E92"/>
    <w:rsid w:val="008F67E7"/>
    <w:rsid w:val="008F7476"/>
    <w:rsid w:val="009019F4"/>
    <w:rsid w:val="00901DF5"/>
    <w:rsid w:val="00902067"/>
    <w:rsid w:val="00903A99"/>
    <w:rsid w:val="0090402B"/>
    <w:rsid w:val="00904078"/>
    <w:rsid w:val="00904D36"/>
    <w:rsid w:val="0091105B"/>
    <w:rsid w:val="009118BE"/>
    <w:rsid w:val="0091245F"/>
    <w:rsid w:val="0091374B"/>
    <w:rsid w:val="00914B16"/>
    <w:rsid w:val="00915D67"/>
    <w:rsid w:val="00916CB8"/>
    <w:rsid w:val="0092004B"/>
    <w:rsid w:val="009214B8"/>
    <w:rsid w:val="009224C2"/>
    <w:rsid w:val="00922537"/>
    <w:rsid w:val="00924B6C"/>
    <w:rsid w:val="00924C01"/>
    <w:rsid w:val="00926332"/>
    <w:rsid w:val="009264E5"/>
    <w:rsid w:val="00926D6C"/>
    <w:rsid w:val="00927467"/>
    <w:rsid w:val="00927B26"/>
    <w:rsid w:val="0093032F"/>
    <w:rsid w:val="0093119E"/>
    <w:rsid w:val="00931769"/>
    <w:rsid w:val="00931FEE"/>
    <w:rsid w:val="009331B3"/>
    <w:rsid w:val="00933637"/>
    <w:rsid w:val="009349C2"/>
    <w:rsid w:val="00934EE4"/>
    <w:rsid w:val="00937068"/>
    <w:rsid w:val="0093755A"/>
    <w:rsid w:val="00937DE8"/>
    <w:rsid w:val="00937FF9"/>
    <w:rsid w:val="00940A7A"/>
    <w:rsid w:val="00942659"/>
    <w:rsid w:val="009447FF"/>
    <w:rsid w:val="00945E2D"/>
    <w:rsid w:val="00946080"/>
    <w:rsid w:val="00946506"/>
    <w:rsid w:val="009468ED"/>
    <w:rsid w:val="00947944"/>
    <w:rsid w:val="009527C2"/>
    <w:rsid w:val="00952D71"/>
    <w:rsid w:val="0095420D"/>
    <w:rsid w:val="00954680"/>
    <w:rsid w:val="00954B55"/>
    <w:rsid w:val="00954CBA"/>
    <w:rsid w:val="00956175"/>
    <w:rsid w:val="009572E5"/>
    <w:rsid w:val="00957714"/>
    <w:rsid w:val="00957B2A"/>
    <w:rsid w:val="00957CE8"/>
    <w:rsid w:val="00960CCE"/>
    <w:rsid w:val="009629CC"/>
    <w:rsid w:val="00962F90"/>
    <w:rsid w:val="0096361A"/>
    <w:rsid w:val="009637DB"/>
    <w:rsid w:val="00965475"/>
    <w:rsid w:val="00966ABC"/>
    <w:rsid w:val="00967255"/>
    <w:rsid w:val="009711A7"/>
    <w:rsid w:val="00971348"/>
    <w:rsid w:val="009731E0"/>
    <w:rsid w:val="009732E8"/>
    <w:rsid w:val="009747D3"/>
    <w:rsid w:val="00975C68"/>
    <w:rsid w:val="0097625D"/>
    <w:rsid w:val="00977DA9"/>
    <w:rsid w:val="009807DE"/>
    <w:rsid w:val="009820FD"/>
    <w:rsid w:val="0098223C"/>
    <w:rsid w:val="00985717"/>
    <w:rsid w:val="00987CFF"/>
    <w:rsid w:val="00990238"/>
    <w:rsid w:val="00992C1E"/>
    <w:rsid w:val="009946BC"/>
    <w:rsid w:val="009952F7"/>
    <w:rsid w:val="00995961"/>
    <w:rsid w:val="009962EA"/>
    <w:rsid w:val="009A012A"/>
    <w:rsid w:val="009A21A8"/>
    <w:rsid w:val="009A373C"/>
    <w:rsid w:val="009A388D"/>
    <w:rsid w:val="009A39C8"/>
    <w:rsid w:val="009A3DDA"/>
    <w:rsid w:val="009A40BB"/>
    <w:rsid w:val="009A4C25"/>
    <w:rsid w:val="009A4C47"/>
    <w:rsid w:val="009A6C28"/>
    <w:rsid w:val="009A742B"/>
    <w:rsid w:val="009B072D"/>
    <w:rsid w:val="009B3227"/>
    <w:rsid w:val="009B33F8"/>
    <w:rsid w:val="009B4F09"/>
    <w:rsid w:val="009B554C"/>
    <w:rsid w:val="009B5833"/>
    <w:rsid w:val="009B71CE"/>
    <w:rsid w:val="009C1632"/>
    <w:rsid w:val="009C2612"/>
    <w:rsid w:val="009C366B"/>
    <w:rsid w:val="009C46F6"/>
    <w:rsid w:val="009C6637"/>
    <w:rsid w:val="009C7C74"/>
    <w:rsid w:val="009D046A"/>
    <w:rsid w:val="009D173C"/>
    <w:rsid w:val="009D178B"/>
    <w:rsid w:val="009D1AF3"/>
    <w:rsid w:val="009D1B0D"/>
    <w:rsid w:val="009D1BC0"/>
    <w:rsid w:val="009D1FA3"/>
    <w:rsid w:val="009D20AD"/>
    <w:rsid w:val="009D255A"/>
    <w:rsid w:val="009D3897"/>
    <w:rsid w:val="009D4426"/>
    <w:rsid w:val="009D61DA"/>
    <w:rsid w:val="009D6564"/>
    <w:rsid w:val="009E0856"/>
    <w:rsid w:val="009E1D44"/>
    <w:rsid w:val="009E1F0F"/>
    <w:rsid w:val="009E2789"/>
    <w:rsid w:val="009E2B4C"/>
    <w:rsid w:val="009E3170"/>
    <w:rsid w:val="009E37A5"/>
    <w:rsid w:val="009E3AF3"/>
    <w:rsid w:val="009E49F2"/>
    <w:rsid w:val="009E5AB2"/>
    <w:rsid w:val="009E6F79"/>
    <w:rsid w:val="009E7284"/>
    <w:rsid w:val="009F0B81"/>
    <w:rsid w:val="009F0E59"/>
    <w:rsid w:val="009F1547"/>
    <w:rsid w:val="009F4531"/>
    <w:rsid w:val="009F5479"/>
    <w:rsid w:val="009F5CFF"/>
    <w:rsid w:val="009F60B3"/>
    <w:rsid w:val="009F6770"/>
    <w:rsid w:val="009F71A2"/>
    <w:rsid w:val="00A01128"/>
    <w:rsid w:val="00A018C6"/>
    <w:rsid w:val="00A02904"/>
    <w:rsid w:val="00A049D5"/>
    <w:rsid w:val="00A06960"/>
    <w:rsid w:val="00A0798E"/>
    <w:rsid w:val="00A10029"/>
    <w:rsid w:val="00A101A4"/>
    <w:rsid w:val="00A1184A"/>
    <w:rsid w:val="00A124FF"/>
    <w:rsid w:val="00A147E9"/>
    <w:rsid w:val="00A17373"/>
    <w:rsid w:val="00A17695"/>
    <w:rsid w:val="00A2022A"/>
    <w:rsid w:val="00A21AD9"/>
    <w:rsid w:val="00A22FA0"/>
    <w:rsid w:val="00A2345F"/>
    <w:rsid w:val="00A2387A"/>
    <w:rsid w:val="00A239F5"/>
    <w:rsid w:val="00A24223"/>
    <w:rsid w:val="00A261F4"/>
    <w:rsid w:val="00A36262"/>
    <w:rsid w:val="00A435D8"/>
    <w:rsid w:val="00A43A3E"/>
    <w:rsid w:val="00A43E28"/>
    <w:rsid w:val="00A461D7"/>
    <w:rsid w:val="00A46A99"/>
    <w:rsid w:val="00A52D1F"/>
    <w:rsid w:val="00A531BE"/>
    <w:rsid w:val="00A534F0"/>
    <w:rsid w:val="00A53DFE"/>
    <w:rsid w:val="00A54143"/>
    <w:rsid w:val="00A54F48"/>
    <w:rsid w:val="00A56389"/>
    <w:rsid w:val="00A6029F"/>
    <w:rsid w:val="00A630E4"/>
    <w:rsid w:val="00A71790"/>
    <w:rsid w:val="00A72F38"/>
    <w:rsid w:val="00A73DA5"/>
    <w:rsid w:val="00A73EFE"/>
    <w:rsid w:val="00A75D44"/>
    <w:rsid w:val="00A761F9"/>
    <w:rsid w:val="00A76F5B"/>
    <w:rsid w:val="00A7786E"/>
    <w:rsid w:val="00A8052D"/>
    <w:rsid w:val="00A80D43"/>
    <w:rsid w:val="00A810D0"/>
    <w:rsid w:val="00A8278C"/>
    <w:rsid w:val="00A8306B"/>
    <w:rsid w:val="00A83A28"/>
    <w:rsid w:val="00A84421"/>
    <w:rsid w:val="00A8468E"/>
    <w:rsid w:val="00A84D0D"/>
    <w:rsid w:val="00A85F9A"/>
    <w:rsid w:val="00A91993"/>
    <w:rsid w:val="00A920FE"/>
    <w:rsid w:val="00A92F7C"/>
    <w:rsid w:val="00A94912"/>
    <w:rsid w:val="00A94CFE"/>
    <w:rsid w:val="00A95166"/>
    <w:rsid w:val="00A95F8C"/>
    <w:rsid w:val="00A962C3"/>
    <w:rsid w:val="00A9637B"/>
    <w:rsid w:val="00A96BC6"/>
    <w:rsid w:val="00A972DB"/>
    <w:rsid w:val="00AA0CC6"/>
    <w:rsid w:val="00AA190A"/>
    <w:rsid w:val="00AA1F0D"/>
    <w:rsid w:val="00AA20DE"/>
    <w:rsid w:val="00AA3A80"/>
    <w:rsid w:val="00AA40D7"/>
    <w:rsid w:val="00AA68E1"/>
    <w:rsid w:val="00AA7800"/>
    <w:rsid w:val="00AB0A74"/>
    <w:rsid w:val="00AB1097"/>
    <w:rsid w:val="00AB1893"/>
    <w:rsid w:val="00AB19E5"/>
    <w:rsid w:val="00AB31CF"/>
    <w:rsid w:val="00AB34F5"/>
    <w:rsid w:val="00AB3F75"/>
    <w:rsid w:val="00AB5280"/>
    <w:rsid w:val="00AB59AA"/>
    <w:rsid w:val="00AB6E33"/>
    <w:rsid w:val="00AC0515"/>
    <w:rsid w:val="00AC0D2C"/>
    <w:rsid w:val="00AC15C4"/>
    <w:rsid w:val="00AC1B6E"/>
    <w:rsid w:val="00AC3106"/>
    <w:rsid w:val="00AC56A2"/>
    <w:rsid w:val="00AC6629"/>
    <w:rsid w:val="00AC68E7"/>
    <w:rsid w:val="00AC6C7A"/>
    <w:rsid w:val="00AD0E97"/>
    <w:rsid w:val="00AD179A"/>
    <w:rsid w:val="00AD2443"/>
    <w:rsid w:val="00AD2F5C"/>
    <w:rsid w:val="00AD364A"/>
    <w:rsid w:val="00AD3B8C"/>
    <w:rsid w:val="00AD5375"/>
    <w:rsid w:val="00AD5B14"/>
    <w:rsid w:val="00AD60C8"/>
    <w:rsid w:val="00AD7A47"/>
    <w:rsid w:val="00AE1289"/>
    <w:rsid w:val="00AE1CA1"/>
    <w:rsid w:val="00AE2B3D"/>
    <w:rsid w:val="00AE2CE2"/>
    <w:rsid w:val="00AE3951"/>
    <w:rsid w:val="00AE46AD"/>
    <w:rsid w:val="00AE6435"/>
    <w:rsid w:val="00AE6B29"/>
    <w:rsid w:val="00AE7BE2"/>
    <w:rsid w:val="00AF0B35"/>
    <w:rsid w:val="00AF11D8"/>
    <w:rsid w:val="00AF21FE"/>
    <w:rsid w:val="00AF2353"/>
    <w:rsid w:val="00AF353E"/>
    <w:rsid w:val="00AF3756"/>
    <w:rsid w:val="00AF3AD4"/>
    <w:rsid w:val="00AF4175"/>
    <w:rsid w:val="00AF4624"/>
    <w:rsid w:val="00AF6009"/>
    <w:rsid w:val="00AF6FC7"/>
    <w:rsid w:val="00AF7C0C"/>
    <w:rsid w:val="00B001C8"/>
    <w:rsid w:val="00B0094C"/>
    <w:rsid w:val="00B0244D"/>
    <w:rsid w:val="00B045AF"/>
    <w:rsid w:val="00B04C00"/>
    <w:rsid w:val="00B052F6"/>
    <w:rsid w:val="00B053FF"/>
    <w:rsid w:val="00B0553C"/>
    <w:rsid w:val="00B05DD0"/>
    <w:rsid w:val="00B06BEF"/>
    <w:rsid w:val="00B103CF"/>
    <w:rsid w:val="00B11CC4"/>
    <w:rsid w:val="00B1205D"/>
    <w:rsid w:val="00B12455"/>
    <w:rsid w:val="00B13EB3"/>
    <w:rsid w:val="00B144D7"/>
    <w:rsid w:val="00B14622"/>
    <w:rsid w:val="00B146B3"/>
    <w:rsid w:val="00B14AAC"/>
    <w:rsid w:val="00B14B1F"/>
    <w:rsid w:val="00B155BD"/>
    <w:rsid w:val="00B16554"/>
    <w:rsid w:val="00B16A0D"/>
    <w:rsid w:val="00B20A0D"/>
    <w:rsid w:val="00B22FB1"/>
    <w:rsid w:val="00B23AA8"/>
    <w:rsid w:val="00B247A6"/>
    <w:rsid w:val="00B25396"/>
    <w:rsid w:val="00B25AF3"/>
    <w:rsid w:val="00B275DD"/>
    <w:rsid w:val="00B27F0E"/>
    <w:rsid w:val="00B320A0"/>
    <w:rsid w:val="00B3385E"/>
    <w:rsid w:val="00B339F3"/>
    <w:rsid w:val="00B3417D"/>
    <w:rsid w:val="00B344CF"/>
    <w:rsid w:val="00B3569C"/>
    <w:rsid w:val="00B41165"/>
    <w:rsid w:val="00B41A6E"/>
    <w:rsid w:val="00B42BCD"/>
    <w:rsid w:val="00B4448E"/>
    <w:rsid w:val="00B4487B"/>
    <w:rsid w:val="00B454D1"/>
    <w:rsid w:val="00B45783"/>
    <w:rsid w:val="00B4641D"/>
    <w:rsid w:val="00B47220"/>
    <w:rsid w:val="00B47324"/>
    <w:rsid w:val="00B475D2"/>
    <w:rsid w:val="00B47951"/>
    <w:rsid w:val="00B514FE"/>
    <w:rsid w:val="00B51CB0"/>
    <w:rsid w:val="00B51CF0"/>
    <w:rsid w:val="00B545EF"/>
    <w:rsid w:val="00B550F0"/>
    <w:rsid w:val="00B56301"/>
    <w:rsid w:val="00B607CA"/>
    <w:rsid w:val="00B61424"/>
    <w:rsid w:val="00B61B7E"/>
    <w:rsid w:val="00B61D7B"/>
    <w:rsid w:val="00B62109"/>
    <w:rsid w:val="00B64FE3"/>
    <w:rsid w:val="00B662D5"/>
    <w:rsid w:val="00B669E3"/>
    <w:rsid w:val="00B66F74"/>
    <w:rsid w:val="00B7092A"/>
    <w:rsid w:val="00B715C6"/>
    <w:rsid w:val="00B73037"/>
    <w:rsid w:val="00B742B3"/>
    <w:rsid w:val="00B74C68"/>
    <w:rsid w:val="00B75235"/>
    <w:rsid w:val="00B77401"/>
    <w:rsid w:val="00B77C6F"/>
    <w:rsid w:val="00B802CC"/>
    <w:rsid w:val="00B808CA"/>
    <w:rsid w:val="00B80E4A"/>
    <w:rsid w:val="00B810AD"/>
    <w:rsid w:val="00B81F28"/>
    <w:rsid w:val="00B8504E"/>
    <w:rsid w:val="00B851BA"/>
    <w:rsid w:val="00B854E6"/>
    <w:rsid w:val="00B86A11"/>
    <w:rsid w:val="00B87ADE"/>
    <w:rsid w:val="00B905CC"/>
    <w:rsid w:val="00B91475"/>
    <w:rsid w:val="00B91F10"/>
    <w:rsid w:val="00B920ED"/>
    <w:rsid w:val="00B92541"/>
    <w:rsid w:val="00B929BC"/>
    <w:rsid w:val="00B952A4"/>
    <w:rsid w:val="00B975BD"/>
    <w:rsid w:val="00BA01D7"/>
    <w:rsid w:val="00BA2596"/>
    <w:rsid w:val="00BA2AAC"/>
    <w:rsid w:val="00BA2BFC"/>
    <w:rsid w:val="00BA2CC4"/>
    <w:rsid w:val="00BA33EB"/>
    <w:rsid w:val="00BA49C5"/>
    <w:rsid w:val="00BA58A2"/>
    <w:rsid w:val="00BA596B"/>
    <w:rsid w:val="00BA6A67"/>
    <w:rsid w:val="00BA77CE"/>
    <w:rsid w:val="00BA78EC"/>
    <w:rsid w:val="00BB42E6"/>
    <w:rsid w:val="00BB548B"/>
    <w:rsid w:val="00BB6FF5"/>
    <w:rsid w:val="00BB74CD"/>
    <w:rsid w:val="00BB7B92"/>
    <w:rsid w:val="00BC02B6"/>
    <w:rsid w:val="00BC098C"/>
    <w:rsid w:val="00BC2A49"/>
    <w:rsid w:val="00BC32F2"/>
    <w:rsid w:val="00BC43CA"/>
    <w:rsid w:val="00BC4E17"/>
    <w:rsid w:val="00BC60AB"/>
    <w:rsid w:val="00BC6763"/>
    <w:rsid w:val="00BC695E"/>
    <w:rsid w:val="00BC6E56"/>
    <w:rsid w:val="00BD0311"/>
    <w:rsid w:val="00BD10A5"/>
    <w:rsid w:val="00BD1CBB"/>
    <w:rsid w:val="00BD1EBA"/>
    <w:rsid w:val="00BD324E"/>
    <w:rsid w:val="00BD33BC"/>
    <w:rsid w:val="00BD3962"/>
    <w:rsid w:val="00BD57DB"/>
    <w:rsid w:val="00BD5832"/>
    <w:rsid w:val="00BE2E8C"/>
    <w:rsid w:val="00BE5536"/>
    <w:rsid w:val="00BE5FBF"/>
    <w:rsid w:val="00BE632F"/>
    <w:rsid w:val="00BE6665"/>
    <w:rsid w:val="00BE677E"/>
    <w:rsid w:val="00BE7DBB"/>
    <w:rsid w:val="00BF12CF"/>
    <w:rsid w:val="00BF156E"/>
    <w:rsid w:val="00BF188A"/>
    <w:rsid w:val="00BF2521"/>
    <w:rsid w:val="00BF2BA9"/>
    <w:rsid w:val="00BF36A2"/>
    <w:rsid w:val="00BF5B2D"/>
    <w:rsid w:val="00BF5E4A"/>
    <w:rsid w:val="00BF651F"/>
    <w:rsid w:val="00C02C26"/>
    <w:rsid w:val="00C03274"/>
    <w:rsid w:val="00C06AA4"/>
    <w:rsid w:val="00C06D54"/>
    <w:rsid w:val="00C0736D"/>
    <w:rsid w:val="00C0740F"/>
    <w:rsid w:val="00C07C7E"/>
    <w:rsid w:val="00C100A8"/>
    <w:rsid w:val="00C105CC"/>
    <w:rsid w:val="00C12C66"/>
    <w:rsid w:val="00C12EA2"/>
    <w:rsid w:val="00C14B86"/>
    <w:rsid w:val="00C20ED9"/>
    <w:rsid w:val="00C2135B"/>
    <w:rsid w:val="00C22EDE"/>
    <w:rsid w:val="00C22F42"/>
    <w:rsid w:val="00C2423B"/>
    <w:rsid w:val="00C246A9"/>
    <w:rsid w:val="00C25DCF"/>
    <w:rsid w:val="00C262E7"/>
    <w:rsid w:val="00C26BA3"/>
    <w:rsid w:val="00C27518"/>
    <w:rsid w:val="00C27918"/>
    <w:rsid w:val="00C27BEB"/>
    <w:rsid w:val="00C301CA"/>
    <w:rsid w:val="00C321A6"/>
    <w:rsid w:val="00C32ADA"/>
    <w:rsid w:val="00C3381F"/>
    <w:rsid w:val="00C34775"/>
    <w:rsid w:val="00C356D4"/>
    <w:rsid w:val="00C371D6"/>
    <w:rsid w:val="00C375E4"/>
    <w:rsid w:val="00C37CDA"/>
    <w:rsid w:val="00C40940"/>
    <w:rsid w:val="00C41292"/>
    <w:rsid w:val="00C41E8C"/>
    <w:rsid w:val="00C43091"/>
    <w:rsid w:val="00C435BC"/>
    <w:rsid w:val="00C44429"/>
    <w:rsid w:val="00C44686"/>
    <w:rsid w:val="00C451C0"/>
    <w:rsid w:val="00C46D13"/>
    <w:rsid w:val="00C47A11"/>
    <w:rsid w:val="00C47C70"/>
    <w:rsid w:val="00C47FA2"/>
    <w:rsid w:val="00C5064B"/>
    <w:rsid w:val="00C50F71"/>
    <w:rsid w:val="00C51EB9"/>
    <w:rsid w:val="00C52355"/>
    <w:rsid w:val="00C5381D"/>
    <w:rsid w:val="00C53B22"/>
    <w:rsid w:val="00C54AB1"/>
    <w:rsid w:val="00C54D48"/>
    <w:rsid w:val="00C559DE"/>
    <w:rsid w:val="00C56EF4"/>
    <w:rsid w:val="00C57292"/>
    <w:rsid w:val="00C626F9"/>
    <w:rsid w:val="00C6286C"/>
    <w:rsid w:val="00C66FFE"/>
    <w:rsid w:val="00C67752"/>
    <w:rsid w:val="00C710DC"/>
    <w:rsid w:val="00C7157D"/>
    <w:rsid w:val="00C73189"/>
    <w:rsid w:val="00C73627"/>
    <w:rsid w:val="00C73DB3"/>
    <w:rsid w:val="00C755F4"/>
    <w:rsid w:val="00C76C98"/>
    <w:rsid w:val="00C7709B"/>
    <w:rsid w:val="00C77BF8"/>
    <w:rsid w:val="00C8058D"/>
    <w:rsid w:val="00C80F88"/>
    <w:rsid w:val="00C834EB"/>
    <w:rsid w:val="00C83B7A"/>
    <w:rsid w:val="00C83F56"/>
    <w:rsid w:val="00C85D94"/>
    <w:rsid w:val="00C877D7"/>
    <w:rsid w:val="00C87AB4"/>
    <w:rsid w:val="00C87D25"/>
    <w:rsid w:val="00C90325"/>
    <w:rsid w:val="00C92B44"/>
    <w:rsid w:val="00C92CB9"/>
    <w:rsid w:val="00C935FF"/>
    <w:rsid w:val="00C961FE"/>
    <w:rsid w:val="00C97397"/>
    <w:rsid w:val="00C9740C"/>
    <w:rsid w:val="00CA0042"/>
    <w:rsid w:val="00CA0619"/>
    <w:rsid w:val="00CA0BAF"/>
    <w:rsid w:val="00CA149D"/>
    <w:rsid w:val="00CA2E8B"/>
    <w:rsid w:val="00CA3DBF"/>
    <w:rsid w:val="00CA513F"/>
    <w:rsid w:val="00CA66F3"/>
    <w:rsid w:val="00CB1EAA"/>
    <w:rsid w:val="00CB3944"/>
    <w:rsid w:val="00CB4223"/>
    <w:rsid w:val="00CB4412"/>
    <w:rsid w:val="00CB7AE6"/>
    <w:rsid w:val="00CC16AF"/>
    <w:rsid w:val="00CC1A7B"/>
    <w:rsid w:val="00CC212A"/>
    <w:rsid w:val="00CC21B3"/>
    <w:rsid w:val="00CC23EC"/>
    <w:rsid w:val="00CC24DD"/>
    <w:rsid w:val="00CC2FFF"/>
    <w:rsid w:val="00CC4C07"/>
    <w:rsid w:val="00CD098B"/>
    <w:rsid w:val="00CD1C60"/>
    <w:rsid w:val="00CD20E7"/>
    <w:rsid w:val="00CD4E83"/>
    <w:rsid w:val="00CD4EA1"/>
    <w:rsid w:val="00CD78D8"/>
    <w:rsid w:val="00CE1389"/>
    <w:rsid w:val="00CE17EF"/>
    <w:rsid w:val="00CE1CF1"/>
    <w:rsid w:val="00CE27C2"/>
    <w:rsid w:val="00CE300C"/>
    <w:rsid w:val="00CE43F1"/>
    <w:rsid w:val="00CE5034"/>
    <w:rsid w:val="00CE5B4D"/>
    <w:rsid w:val="00CE624A"/>
    <w:rsid w:val="00CE6C37"/>
    <w:rsid w:val="00CF1A2E"/>
    <w:rsid w:val="00CF2850"/>
    <w:rsid w:val="00CF589C"/>
    <w:rsid w:val="00CF5D60"/>
    <w:rsid w:val="00D00FD2"/>
    <w:rsid w:val="00D014F4"/>
    <w:rsid w:val="00D024C0"/>
    <w:rsid w:val="00D02FE2"/>
    <w:rsid w:val="00D04018"/>
    <w:rsid w:val="00D04270"/>
    <w:rsid w:val="00D04631"/>
    <w:rsid w:val="00D04FF1"/>
    <w:rsid w:val="00D0547F"/>
    <w:rsid w:val="00D06A86"/>
    <w:rsid w:val="00D06F3B"/>
    <w:rsid w:val="00D073CE"/>
    <w:rsid w:val="00D10D59"/>
    <w:rsid w:val="00D10F3D"/>
    <w:rsid w:val="00D127E5"/>
    <w:rsid w:val="00D1425B"/>
    <w:rsid w:val="00D16A95"/>
    <w:rsid w:val="00D17064"/>
    <w:rsid w:val="00D20A46"/>
    <w:rsid w:val="00D2165E"/>
    <w:rsid w:val="00D21999"/>
    <w:rsid w:val="00D23454"/>
    <w:rsid w:val="00D23B77"/>
    <w:rsid w:val="00D242E4"/>
    <w:rsid w:val="00D24615"/>
    <w:rsid w:val="00D256AA"/>
    <w:rsid w:val="00D262AE"/>
    <w:rsid w:val="00D265FD"/>
    <w:rsid w:val="00D30287"/>
    <w:rsid w:val="00D326F4"/>
    <w:rsid w:val="00D33570"/>
    <w:rsid w:val="00D33B6F"/>
    <w:rsid w:val="00D33F7B"/>
    <w:rsid w:val="00D342E5"/>
    <w:rsid w:val="00D34629"/>
    <w:rsid w:val="00D34710"/>
    <w:rsid w:val="00D358B0"/>
    <w:rsid w:val="00D35AF8"/>
    <w:rsid w:val="00D37ADF"/>
    <w:rsid w:val="00D37C8D"/>
    <w:rsid w:val="00D44715"/>
    <w:rsid w:val="00D44E7C"/>
    <w:rsid w:val="00D45500"/>
    <w:rsid w:val="00D4589C"/>
    <w:rsid w:val="00D45EE7"/>
    <w:rsid w:val="00D466A6"/>
    <w:rsid w:val="00D471DF"/>
    <w:rsid w:val="00D47FCD"/>
    <w:rsid w:val="00D50DFA"/>
    <w:rsid w:val="00D51BC2"/>
    <w:rsid w:val="00D51C32"/>
    <w:rsid w:val="00D523AE"/>
    <w:rsid w:val="00D54C72"/>
    <w:rsid w:val="00D558A2"/>
    <w:rsid w:val="00D55966"/>
    <w:rsid w:val="00D55B11"/>
    <w:rsid w:val="00D56137"/>
    <w:rsid w:val="00D564BA"/>
    <w:rsid w:val="00D601E4"/>
    <w:rsid w:val="00D602A1"/>
    <w:rsid w:val="00D60ACB"/>
    <w:rsid w:val="00D619B0"/>
    <w:rsid w:val="00D61A44"/>
    <w:rsid w:val="00D61D38"/>
    <w:rsid w:val="00D623A7"/>
    <w:rsid w:val="00D62426"/>
    <w:rsid w:val="00D63601"/>
    <w:rsid w:val="00D6516F"/>
    <w:rsid w:val="00D65680"/>
    <w:rsid w:val="00D67EF7"/>
    <w:rsid w:val="00D7013E"/>
    <w:rsid w:val="00D70348"/>
    <w:rsid w:val="00D72A9D"/>
    <w:rsid w:val="00D730E5"/>
    <w:rsid w:val="00D73906"/>
    <w:rsid w:val="00D746BB"/>
    <w:rsid w:val="00D75AEE"/>
    <w:rsid w:val="00D768C3"/>
    <w:rsid w:val="00D771A1"/>
    <w:rsid w:val="00D81940"/>
    <w:rsid w:val="00D820C2"/>
    <w:rsid w:val="00D82AB0"/>
    <w:rsid w:val="00D84885"/>
    <w:rsid w:val="00D85E41"/>
    <w:rsid w:val="00D86F1D"/>
    <w:rsid w:val="00D872E4"/>
    <w:rsid w:val="00D8730A"/>
    <w:rsid w:val="00D876B4"/>
    <w:rsid w:val="00D910B9"/>
    <w:rsid w:val="00D91279"/>
    <w:rsid w:val="00D91549"/>
    <w:rsid w:val="00D916D5"/>
    <w:rsid w:val="00D92234"/>
    <w:rsid w:val="00D924B0"/>
    <w:rsid w:val="00D94530"/>
    <w:rsid w:val="00D94EE3"/>
    <w:rsid w:val="00D951C0"/>
    <w:rsid w:val="00D964B1"/>
    <w:rsid w:val="00D96B7D"/>
    <w:rsid w:val="00DA1815"/>
    <w:rsid w:val="00DA1AD4"/>
    <w:rsid w:val="00DA1BAE"/>
    <w:rsid w:val="00DA1FC9"/>
    <w:rsid w:val="00DA253F"/>
    <w:rsid w:val="00DA2801"/>
    <w:rsid w:val="00DA3A8D"/>
    <w:rsid w:val="00DA44FD"/>
    <w:rsid w:val="00DA4675"/>
    <w:rsid w:val="00DA49E7"/>
    <w:rsid w:val="00DA55B3"/>
    <w:rsid w:val="00DA5948"/>
    <w:rsid w:val="00DA5DD9"/>
    <w:rsid w:val="00DB1C26"/>
    <w:rsid w:val="00DB21ED"/>
    <w:rsid w:val="00DB5B18"/>
    <w:rsid w:val="00DB6CDD"/>
    <w:rsid w:val="00DB745E"/>
    <w:rsid w:val="00DB7B40"/>
    <w:rsid w:val="00DC0F30"/>
    <w:rsid w:val="00DC156F"/>
    <w:rsid w:val="00DC18FE"/>
    <w:rsid w:val="00DC5F74"/>
    <w:rsid w:val="00DC61C8"/>
    <w:rsid w:val="00DC686B"/>
    <w:rsid w:val="00DC6E69"/>
    <w:rsid w:val="00DC7707"/>
    <w:rsid w:val="00DC7BDE"/>
    <w:rsid w:val="00DD0C11"/>
    <w:rsid w:val="00DD1272"/>
    <w:rsid w:val="00DD201A"/>
    <w:rsid w:val="00DD20E2"/>
    <w:rsid w:val="00DD240D"/>
    <w:rsid w:val="00DD3A63"/>
    <w:rsid w:val="00DD4475"/>
    <w:rsid w:val="00DD4844"/>
    <w:rsid w:val="00DD506A"/>
    <w:rsid w:val="00DD74C3"/>
    <w:rsid w:val="00DE044C"/>
    <w:rsid w:val="00DE1052"/>
    <w:rsid w:val="00DE1AC7"/>
    <w:rsid w:val="00DE1CC1"/>
    <w:rsid w:val="00DE2372"/>
    <w:rsid w:val="00DE292D"/>
    <w:rsid w:val="00DE2C91"/>
    <w:rsid w:val="00DE2FBA"/>
    <w:rsid w:val="00DE3F6F"/>
    <w:rsid w:val="00DE53B1"/>
    <w:rsid w:val="00DE6AE8"/>
    <w:rsid w:val="00DE6E71"/>
    <w:rsid w:val="00DE6FC5"/>
    <w:rsid w:val="00DE7234"/>
    <w:rsid w:val="00DE7971"/>
    <w:rsid w:val="00DE7984"/>
    <w:rsid w:val="00DF1263"/>
    <w:rsid w:val="00DF1BE5"/>
    <w:rsid w:val="00DF36DE"/>
    <w:rsid w:val="00DF45C6"/>
    <w:rsid w:val="00DF4FDC"/>
    <w:rsid w:val="00DF5971"/>
    <w:rsid w:val="00DF5FA0"/>
    <w:rsid w:val="00DF6CDB"/>
    <w:rsid w:val="00DF7403"/>
    <w:rsid w:val="00E009C0"/>
    <w:rsid w:val="00E010C2"/>
    <w:rsid w:val="00E01D96"/>
    <w:rsid w:val="00E01F1B"/>
    <w:rsid w:val="00E01F82"/>
    <w:rsid w:val="00E0359A"/>
    <w:rsid w:val="00E053C5"/>
    <w:rsid w:val="00E05972"/>
    <w:rsid w:val="00E0705D"/>
    <w:rsid w:val="00E0714E"/>
    <w:rsid w:val="00E071BD"/>
    <w:rsid w:val="00E07DB6"/>
    <w:rsid w:val="00E13834"/>
    <w:rsid w:val="00E13D5C"/>
    <w:rsid w:val="00E14A17"/>
    <w:rsid w:val="00E14FF3"/>
    <w:rsid w:val="00E1596B"/>
    <w:rsid w:val="00E20D49"/>
    <w:rsid w:val="00E24583"/>
    <w:rsid w:val="00E24645"/>
    <w:rsid w:val="00E2508C"/>
    <w:rsid w:val="00E253FE"/>
    <w:rsid w:val="00E26959"/>
    <w:rsid w:val="00E271C0"/>
    <w:rsid w:val="00E27612"/>
    <w:rsid w:val="00E31CF8"/>
    <w:rsid w:val="00E333EF"/>
    <w:rsid w:val="00E33B63"/>
    <w:rsid w:val="00E342DB"/>
    <w:rsid w:val="00E3614A"/>
    <w:rsid w:val="00E41629"/>
    <w:rsid w:val="00E418C2"/>
    <w:rsid w:val="00E41A61"/>
    <w:rsid w:val="00E433EF"/>
    <w:rsid w:val="00E45489"/>
    <w:rsid w:val="00E46381"/>
    <w:rsid w:val="00E4675E"/>
    <w:rsid w:val="00E46A59"/>
    <w:rsid w:val="00E47327"/>
    <w:rsid w:val="00E50377"/>
    <w:rsid w:val="00E505AC"/>
    <w:rsid w:val="00E5065F"/>
    <w:rsid w:val="00E518EB"/>
    <w:rsid w:val="00E520DE"/>
    <w:rsid w:val="00E5252D"/>
    <w:rsid w:val="00E52B8E"/>
    <w:rsid w:val="00E52BDC"/>
    <w:rsid w:val="00E53E75"/>
    <w:rsid w:val="00E54173"/>
    <w:rsid w:val="00E54A6B"/>
    <w:rsid w:val="00E5511E"/>
    <w:rsid w:val="00E551D2"/>
    <w:rsid w:val="00E55ABB"/>
    <w:rsid w:val="00E55B64"/>
    <w:rsid w:val="00E56E8B"/>
    <w:rsid w:val="00E57645"/>
    <w:rsid w:val="00E606DE"/>
    <w:rsid w:val="00E614D8"/>
    <w:rsid w:val="00E62677"/>
    <w:rsid w:val="00E6300D"/>
    <w:rsid w:val="00E63D12"/>
    <w:rsid w:val="00E64FD6"/>
    <w:rsid w:val="00E66D69"/>
    <w:rsid w:val="00E67A4B"/>
    <w:rsid w:val="00E67E7C"/>
    <w:rsid w:val="00E70C51"/>
    <w:rsid w:val="00E7181E"/>
    <w:rsid w:val="00E71CF0"/>
    <w:rsid w:val="00E7225A"/>
    <w:rsid w:val="00E7255D"/>
    <w:rsid w:val="00E73C7C"/>
    <w:rsid w:val="00E73FB1"/>
    <w:rsid w:val="00E75338"/>
    <w:rsid w:val="00E76B19"/>
    <w:rsid w:val="00E80C14"/>
    <w:rsid w:val="00E8183B"/>
    <w:rsid w:val="00E84176"/>
    <w:rsid w:val="00E84719"/>
    <w:rsid w:val="00E855F1"/>
    <w:rsid w:val="00E8581B"/>
    <w:rsid w:val="00E86971"/>
    <w:rsid w:val="00E86BE0"/>
    <w:rsid w:val="00E870EB"/>
    <w:rsid w:val="00E87516"/>
    <w:rsid w:val="00E87E0B"/>
    <w:rsid w:val="00E90D2F"/>
    <w:rsid w:val="00E90DC7"/>
    <w:rsid w:val="00E90DE1"/>
    <w:rsid w:val="00E93450"/>
    <w:rsid w:val="00E93D51"/>
    <w:rsid w:val="00E9577F"/>
    <w:rsid w:val="00E95D47"/>
    <w:rsid w:val="00E9677F"/>
    <w:rsid w:val="00E97E6A"/>
    <w:rsid w:val="00EA0161"/>
    <w:rsid w:val="00EA087D"/>
    <w:rsid w:val="00EA2066"/>
    <w:rsid w:val="00EA2499"/>
    <w:rsid w:val="00EA24AF"/>
    <w:rsid w:val="00EA2672"/>
    <w:rsid w:val="00EA42E6"/>
    <w:rsid w:val="00EA4D99"/>
    <w:rsid w:val="00EA5697"/>
    <w:rsid w:val="00EA762A"/>
    <w:rsid w:val="00EA778C"/>
    <w:rsid w:val="00EB004A"/>
    <w:rsid w:val="00EB0606"/>
    <w:rsid w:val="00EB0F0F"/>
    <w:rsid w:val="00EB2511"/>
    <w:rsid w:val="00EB4007"/>
    <w:rsid w:val="00EB4541"/>
    <w:rsid w:val="00EB584A"/>
    <w:rsid w:val="00EB6135"/>
    <w:rsid w:val="00EB6D5C"/>
    <w:rsid w:val="00EB6E03"/>
    <w:rsid w:val="00EC0625"/>
    <w:rsid w:val="00EC0757"/>
    <w:rsid w:val="00EC2AAD"/>
    <w:rsid w:val="00EC4BC2"/>
    <w:rsid w:val="00EC50E6"/>
    <w:rsid w:val="00EC5E42"/>
    <w:rsid w:val="00EC6956"/>
    <w:rsid w:val="00EC6F70"/>
    <w:rsid w:val="00EC7FEC"/>
    <w:rsid w:val="00ED0A14"/>
    <w:rsid w:val="00ED0B9A"/>
    <w:rsid w:val="00ED1638"/>
    <w:rsid w:val="00ED19F4"/>
    <w:rsid w:val="00ED7038"/>
    <w:rsid w:val="00EE0490"/>
    <w:rsid w:val="00EE16E7"/>
    <w:rsid w:val="00EE17DD"/>
    <w:rsid w:val="00EE24A7"/>
    <w:rsid w:val="00EE463C"/>
    <w:rsid w:val="00EE466B"/>
    <w:rsid w:val="00EE6035"/>
    <w:rsid w:val="00EE7768"/>
    <w:rsid w:val="00EE7DE7"/>
    <w:rsid w:val="00EF0CD5"/>
    <w:rsid w:val="00EF106F"/>
    <w:rsid w:val="00EF17DF"/>
    <w:rsid w:val="00EF1D02"/>
    <w:rsid w:val="00EF31DC"/>
    <w:rsid w:val="00EF396F"/>
    <w:rsid w:val="00EF49F9"/>
    <w:rsid w:val="00EF52DE"/>
    <w:rsid w:val="00EF6362"/>
    <w:rsid w:val="00EF63F5"/>
    <w:rsid w:val="00EF76C6"/>
    <w:rsid w:val="00F022A1"/>
    <w:rsid w:val="00F0250C"/>
    <w:rsid w:val="00F049E4"/>
    <w:rsid w:val="00F058EE"/>
    <w:rsid w:val="00F13283"/>
    <w:rsid w:val="00F141E3"/>
    <w:rsid w:val="00F14D75"/>
    <w:rsid w:val="00F1550C"/>
    <w:rsid w:val="00F201CC"/>
    <w:rsid w:val="00F20800"/>
    <w:rsid w:val="00F21792"/>
    <w:rsid w:val="00F21846"/>
    <w:rsid w:val="00F2356E"/>
    <w:rsid w:val="00F23A41"/>
    <w:rsid w:val="00F23FF0"/>
    <w:rsid w:val="00F24679"/>
    <w:rsid w:val="00F25946"/>
    <w:rsid w:val="00F25BBF"/>
    <w:rsid w:val="00F26012"/>
    <w:rsid w:val="00F27797"/>
    <w:rsid w:val="00F278FD"/>
    <w:rsid w:val="00F27E24"/>
    <w:rsid w:val="00F31792"/>
    <w:rsid w:val="00F3242F"/>
    <w:rsid w:val="00F34F9A"/>
    <w:rsid w:val="00F36E01"/>
    <w:rsid w:val="00F37AB6"/>
    <w:rsid w:val="00F40501"/>
    <w:rsid w:val="00F4062A"/>
    <w:rsid w:val="00F41032"/>
    <w:rsid w:val="00F412FD"/>
    <w:rsid w:val="00F415C1"/>
    <w:rsid w:val="00F43DC8"/>
    <w:rsid w:val="00F45526"/>
    <w:rsid w:val="00F45B5D"/>
    <w:rsid w:val="00F46D0A"/>
    <w:rsid w:val="00F46F18"/>
    <w:rsid w:val="00F47432"/>
    <w:rsid w:val="00F5130D"/>
    <w:rsid w:val="00F5462B"/>
    <w:rsid w:val="00F5669F"/>
    <w:rsid w:val="00F56C09"/>
    <w:rsid w:val="00F57743"/>
    <w:rsid w:val="00F60F1C"/>
    <w:rsid w:val="00F62232"/>
    <w:rsid w:val="00F62262"/>
    <w:rsid w:val="00F638FF"/>
    <w:rsid w:val="00F64359"/>
    <w:rsid w:val="00F648BC"/>
    <w:rsid w:val="00F665D0"/>
    <w:rsid w:val="00F67724"/>
    <w:rsid w:val="00F67B2D"/>
    <w:rsid w:val="00F67CFF"/>
    <w:rsid w:val="00F67D41"/>
    <w:rsid w:val="00F70940"/>
    <w:rsid w:val="00F709B5"/>
    <w:rsid w:val="00F71F83"/>
    <w:rsid w:val="00F73981"/>
    <w:rsid w:val="00F73FB4"/>
    <w:rsid w:val="00F76BD2"/>
    <w:rsid w:val="00F7729C"/>
    <w:rsid w:val="00F77EA5"/>
    <w:rsid w:val="00F80243"/>
    <w:rsid w:val="00F8097B"/>
    <w:rsid w:val="00F81E2F"/>
    <w:rsid w:val="00F8605C"/>
    <w:rsid w:val="00F86C40"/>
    <w:rsid w:val="00F86C6C"/>
    <w:rsid w:val="00F908FD"/>
    <w:rsid w:val="00F919F5"/>
    <w:rsid w:val="00F91AE1"/>
    <w:rsid w:val="00F921F1"/>
    <w:rsid w:val="00F94593"/>
    <w:rsid w:val="00F954E8"/>
    <w:rsid w:val="00F956E6"/>
    <w:rsid w:val="00F95ADC"/>
    <w:rsid w:val="00F96009"/>
    <w:rsid w:val="00FA0510"/>
    <w:rsid w:val="00FA0D85"/>
    <w:rsid w:val="00FA2C5C"/>
    <w:rsid w:val="00FA3657"/>
    <w:rsid w:val="00FA3AE2"/>
    <w:rsid w:val="00FA4F6E"/>
    <w:rsid w:val="00FA51C4"/>
    <w:rsid w:val="00FA67B7"/>
    <w:rsid w:val="00FA6C7F"/>
    <w:rsid w:val="00FA7007"/>
    <w:rsid w:val="00FB16F4"/>
    <w:rsid w:val="00FB1889"/>
    <w:rsid w:val="00FB1EB4"/>
    <w:rsid w:val="00FB2DE8"/>
    <w:rsid w:val="00FB38BB"/>
    <w:rsid w:val="00FB4BF0"/>
    <w:rsid w:val="00FC0D14"/>
    <w:rsid w:val="00FC0F73"/>
    <w:rsid w:val="00FC115D"/>
    <w:rsid w:val="00FC193D"/>
    <w:rsid w:val="00FC19AD"/>
    <w:rsid w:val="00FC1FF3"/>
    <w:rsid w:val="00FC277A"/>
    <w:rsid w:val="00FC2A4F"/>
    <w:rsid w:val="00FC411E"/>
    <w:rsid w:val="00FC4EB7"/>
    <w:rsid w:val="00FC5E30"/>
    <w:rsid w:val="00FC6543"/>
    <w:rsid w:val="00FD0D14"/>
    <w:rsid w:val="00FD17FC"/>
    <w:rsid w:val="00FD1AAF"/>
    <w:rsid w:val="00FD1FB6"/>
    <w:rsid w:val="00FD1FEA"/>
    <w:rsid w:val="00FD24E6"/>
    <w:rsid w:val="00FD2964"/>
    <w:rsid w:val="00FD2E4A"/>
    <w:rsid w:val="00FD325C"/>
    <w:rsid w:val="00FD3F66"/>
    <w:rsid w:val="00FD4569"/>
    <w:rsid w:val="00FD48C1"/>
    <w:rsid w:val="00FD5D31"/>
    <w:rsid w:val="00FD6D9F"/>
    <w:rsid w:val="00FD712B"/>
    <w:rsid w:val="00FD7894"/>
    <w:rsid w:val="00FD7A29"/>
    <w:rsid w:val="00FD7ACB"/>
    <w:rsid w:val="00FE1154"/>
    <w:rsid w:val="00FE18E0"/>
    <w:rsid w:val="00FE20A7"/>
    <w:rsid w:val="00FE4E53"/>
    <w:rsid w:val="00FE5960"/>
    <w:rsid w:val="00FE5BDF"/>
    <w:rsid w:val="00FE65B8"/>
    <w:rsid w:val="00FE76E9"/>
    <w:rsid w:val="00FE7776"/>
    <w:rsid w:val="00FF075C"/>
    <w:rsid w:val="00FF2994"/>
    <w:rsid w:val="00FF2E04"/>
    <w:rsid w:val="00FF5C4D"/>
    <w:rsid w:val="00FF5D33"/>
    <w:rsid w:val="00FF6374"/>
    <w:rsid w:val="00FF6DCD"/>
    <w:rsid w:val="00FF7109"/>
    <w:rsid w:val="00FF7625"/>
    <w:rsid w:val="00FF7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62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06"/>
    <w:pPr>
      <w:spacing w:after="240" w:line="240" w:lineRule="auto"/>
    </w:pPr>
  </w:style>
  <w:style w:type="paragraph" w:styleId="Heading1">
    <w:name w:val="heading 1"/>
    <w:basedOn w:val="Normal"/>
    <w:next w:val="Normal"/>
    <w:link w:val="Heading1Char"/>
    <w:uiPriority w:val="2"/>
    <w:qFormat/>
    <w:rsid w:val="007C6D12"/>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EB4007"/>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semiHidden/>
    <w:unhideWhenUsed/>
    <w:qFormat/>
    <w:rsid w:val="009F60B3"/>
    <w:pPr>
      <w:keepNext/>
      <w:keepLines/>
      <w:spacing w:before="240" w:after="120"/>
      <w:outlineLvl w:val="2"/>
    </w:pPr>
    <w:rPr>
      <w:rFonts w:ascii="Calibri" w:eastAsiaTheme="majorEastAsia" w:hAnsi="Calibri" w:cstheme="majorBidi"/>
      <w:b/>
      <w:bCs/>
      <w:i/>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7C6D12"/>
    <w:pPr>
      <w:pBdr>
        <w:bottom w:val="single" w:sz="8" w:space="4" w:color="1F497D" w:themeColor="text2"/>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D12"/>
    <w:rPr>
      <w:rFonts w:ascii="Arial" w:eastAsiaTheme="majorEastAsia" w:hAnsi="Arial"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2"/>
    <w:rsid w:val="009F60B3"/>
    <w:rPr>
      <w:rFonts w:ascii="Calibri" w:eastAsiaTheme="majorEastAsia" w:hAnsi="Calibri" w:cstheme="majorBidi"/>
      <w:b/>
      <w:bCs/>
      <w:color w:val="1F497D" w:themeColor="text2"/>
      <w:sz w:val="32"/>
      <w:szCs w:val="28"/>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unhideWhenUsed/>
    <w:rsid w:val="00946506"/>
    <w:pPr>
      <w:spacing w:before="100" w:after="60"/>
    </w:pPr>
    <w:rPr>
      <w:b/>
    </w:rPr>
  </w:style>
  <w:style w:type="character" w:styleId="Hyperlink">
    <w:name w:val="Hyperlink"/>
    <w:basedOn w:val="DefaultParagraphFont"/>
    <w:uiPriority w:val="99"/>
    <w:unhideWhenUsed/>
    <w:rsid w:val="00E551D2"/>
    <w:rPr>
      <w:color w:val="0000FF" w:themeColor="hyperlink"/>
      <w:u w:val="single"/>
    </w:rPr>
  </w:style>
  <w:style w:type="paragraph" w:styleId="BalloonText">
    <w:name w:val="Balloon Text"/>
    <w:basedOn w:val="Normal"/>
    <w:link w:val="BalloonTextChar"/>
    <w:uiPriority w:val="99"/>
    <w:semiHidden/>
    <w:unhideWhenUsed/>
    <w:rsid w:val="00E551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D2"/>
    <w:rPr>
      <w:rFonts w:ascii="Tahoma" w:hAnsi="Tahoma" w:cs="Tahoma"/>
      <w:sz w:val="16"/>
      <w:szCs w:val="16"/>
    </w:rPr>
  </w:style>
  <w:style w:type="paragraph" w:customStyle="1" w:styleId="Bullet">
    <w:name w:val="Bullet"/>
    <w:aliases w:val="b,b + line,b1,Body,level 1,Bullet + line"/>
    <w:basedOn w:val="Normal"/>
    <w:link w:val="BulletChar"/>
    <w:qFormat/>
    <w:rsid w:val="00946506"/>
    <w:pPr>
      <w:numPr>
        <w:numId w:val="1"/>
      </w:numPr>
      <w:spacing w:before="120" w:after="120"/>
    </w:pPr>
    <w:rPr>
      <w:rFonts w:ascii="Calibri" w:eastAsiaTheme="majorEastAsia" w:hAnsi="Calibri" w:cstheme="majorBidi"/>
      <w:color w:val="000000" w:themeColor="text1"/>
      <w:szCs w:val="28"/>
    </w:rPr>
  </w:style>
  <w:style w:type="character" w:customStyle="1" w:styleId="BulletChar">
    <w:name w:val="Bullet Char"/>
    <w:aliases w:val="b Char,b + line Char Char,b Char Char,b1 Char,b + line Char,Body Char,level 1 Char,Bullet + line Char"/>
    <w:basedOn w:val="Heading1Char"/>
    <w:link w:val="Bullet"/>
    <w:rsid w:val="00946506"/>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qFormat/>
    <w:rsid w:val="004E0AE7"/>
    <w:pPr>
      <w:numPr>
        <w:ilvl w:val="1"/>
        <w:numId w:val="1"/>
      </w:numPr>
    </w:pPr>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4E0AE7"/>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qFormat/>
    <w:rsid w:val="004E0AE7"/>
    <w:pPr>
      <w:numPr>
        <w:ilvl w:val="2"/>
        <w:numId w:val="1"/>
      </w:numPr>
    </w:pPr>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4E0AE7"/>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D94EE3"/>
    <w:pPr>
      <w:tabs>
        <w:tab w:val="center" w:pos="4513"/>
        <w:tab w:val="right" w:pos="9026"/>
      </w:tabs>
      <w:spacing w:after="0"/>
    </w:pPr>
  </w:style>
  <w:style w:type="character" w:customStyle="1" w:styleId="HeaderChar">
    <w:name w:val="Header Char"/>
    <w:basedOn w:val="DefaultParagraphFont"/>
    <w:link w:val="Header"/>
    <w:uiPriority w:val="99"/>
    <w:rsid w:val="00D94EE3"/>
  </w:style>
  <w:style w:type="paragraph" w:styleId="Footer">
    <w:name w:val="footer"/>
    <w:basedOn w:val="Normal"/>
    <w:link w:val="FooterChar"/>
    <w:uiPriority w:val="99"/>
    <w:unhideWhenUsed/>
    <w:rsid w:val="00946506"/>
    <w:pPr>
      <w:tabs>
        <w:tab w:val="center" w:pos="4513"/>
        <w:tab w:val="right" w:pos="9026"/>
      </w:tabs>
      <w:spacing w:after="0"/>
      <w:jc w:val="center"/>
    </w:pPr>
  </w:style>
  <w:style w:type="character" w:customStyle="1" w:styleId="FooterChar">
    <w:name w:val="Footer Char"/>
    <w:basedOn w:val="DefaultParagraphFont"/>
    <w:link w:val="Footer"/>
    <w:uiPriority w:val="99"/>
    <w:rsid w:val="00946506"/>
  </w:style>
  <w:style w:type="character" w:customStyle="1" w:styleId="Heading2Char">
    <w:name w:val="Heading 2 Char"/>
    <w:basedOn w:val="DefaultParagraphFont"/>
    <w:link w:val="Heading2"/>
    <w:uiPriority w:val="2"/>
    <w:rsid w:val="00EB4007"/>
    <w:rPr>
      <w:rFonts w:ascii="Calibri" w:eastAsiaTheme="majorEastAsia" w:hAnsi="Calibri" w:cstheme="majorBidi"/>
      <w:b/>
      <w:bCs/>
      <w:color w:val="1F497D" w:themeColor="text2"/>
      <w:sz w:val="26"/>
      <w:szCs w:val="26"/>
    </w:rPr>
  </w:style>
  <w:style w:type="paragraph" w:styleId="Quote">
    <w:name w:val="Quote"/>
    <w:basedOn w:val="Normal"/>
    <w:next w:val="Normal"/>
    <w:link w:val="QuoteChar"/>
    <w:uiPriority w:val="29"/>
    <w:qFormat/>
    <w:rsid w:val="009F60B3"/>
    <w:pPr>
      <w:spacing w:before="120"/>
      <w:ind w:left="567" w:hanging="567"/>
    </w:pPr>
    <w:rPr>
      <w:iCs/>
      <w:color w:val="000000" w:themeColor="text1"/>
    </w:rPr>
  </w:style>
  <w:style w:type="character" w:customStyle="1" w:styleId="QuoteChar">
    <w:name w:val="Quote Char"/>
    <w:basedOn w:val="DefaultParagraphFont"/>
    <w:link w:val="Quote"/>
    <w:uiPriority w:val="29"/>
    <w:rsid w:val="009F60B3"/>
    <w:rPr>
      <w:iCs/>
      <w:color w:val="000000" w:themeColor="text1"/>
    </w:rPr>
  </w:style>
  <w:style w:type="paragraph" w:styleId="FootnoteText">
    <w:name w:val="footnote text"/>
    <w:basedOn w:val="Normal"/>
    <w:link w:val="FootnoteTextChar"/>
    <w:uiPriority w:val="99"/>
    <w:rsid w:val="009F60B3"/>
    <w:pPr>
      <w:tabs>
        <w:tab w:val="left" w:pos="357"/>
      </w:tabs>
      <w:spacing w:after="0"/>
      <w:ind w:left="357" w:hanging="357"/>
    </w:pPr>
    <w:rPr>
      <w:sz w:val="20"/>
      <w:szCs w:val="20"/>
    </w:rPr>
  </w:style>
  <w:style w:type="character" w:customStyle="1" w:styleId="Heading3Char">
    <w:name w:val="Heading 3 Char"/>
    <w:basedOn w:val="DefaultParagraphFont"/>
    <w:link w:val="Heading3"/>
    <w:uiPriority w:val="2"/>
    <w:semiHidden/>
    <w:rsid w:val="009F60B3"/>
    <w:rPr>
      <w:rFonts w:ascii="Calibri" w:eastAsiaTheme="majorEastAsia" w:hAnsi="Calibri" w:cstheme="majorBidi"/>
      <w:b/>
      <w:bCs/>
      <w:i/>
      <w:color w:val="1F497D" w:themeColor="text2"/>
      <w:sz w:val="24"/>
    </w:rPr>
  </w:style>
  <w:style w:type="character" w:customStyle="1" w:styleId="FootnoteTextChar">
    <w:name w:val="Footnote Text Char"/>
    <w:basedOn w:val="DefaultParagraphFont"/>
    <w:link w:val="FootnoteText"/>
    <w:uiPriority w:val="99"/>
    <w:rsid w:val="009F60B3"/>
    <w:rPr>
      <w:sz w:val="20"/>
      <w:szCs w:val="20"/>
    </w:rPr>
  </w:style>
  <w:style w:type="paragraph" w:customStyle="1" w:styleId="Heading1numbered">
    <w:name w:val="Heading 1 numbered"/>
    <w:basedOn w:val="Heading1"/>
    <w:uiPriority w:val="2"/>
    <w:qFormat/>
    <w:rsid w:val="007835B0"/>
    <w:pPr>
      <w:tabs>
        <w:tab w:val="left" w:pos="567"/>
      </w:tabs>
      <w:ind w:left="720" w:hanging="360"/>
    </w:pPr>
  </w:style>
  <w:style w:type="paragraph" w:styleId="Subtitle">
    <w:name w:val="Subtitle"/>
    <w:basedOn w:val="Normal"/>
    <w:next w:val="Normal"/>
    <w:link w:val="SubtitleChar"/>
    <w:uiPriority w:val="11"/>
    <w:qFormat/>
    <w:rsid w:val="00D84885"/>
    <w:pPr>
      <w:numPr>
        <w:ilvl w:val="1"/>
      </w:numPr>
    </w:pPr>
    <w:rPr>
      <w:rFonts w:ascii="Calibri" w:eastAsiaTheme="majorEastAsia" w:hAnsi="Calibri" w:cstheme="majorBidi"/>
      <w:iCs/>
      <w:color w:val="1F497D" w:themeColor="text2"/>
      <w:spacing w:val="15"/>
      <w:sz w:val="28"/>
      <w:szCs w:val="24"/>
    </w:rPr>
  </w:style>
  <w:style w:type="character" w:customStyle="1" w:styleId="SubtitleChar">
    <w:name w:val="Subtitle Char"/>
    <w:basedOn w:val="DefaultParagraphFont"/>
    <w:link w:val="Subtitle"/>
    <w:uiPriority w:val="11"/>
    <w:rsid w:val="00D84885"/>
    <w:rPr>
      <w:rFonts w:ascii="Calibri" w:eastAsiaTheme="majorEastAsia" w:hAnsi="Calibri" w:cstheme="majorBidi"/>
      <w:iCs/>
      <w:color w:val="1F497D" w:themeColor="text2"/>
      <w:spacing w:val="15"/>
      <w:sz w:val="28"/>
      <w:szCs w:val="24"/>
    </w:rPr>
  </w:style>
  <w:style w:type="paragraph" w:styleId="TOC2">
    <w:name w:val="toc 2"/>
    <w:basedOn w:val="Normal"/>
    <w:next w:val="Normal"/>
    <w:uiPriority w:val="39"/>
    <w:unhideWhenUsed/>
    <w:rsid w:val="00946506"/>
    <w:pPr>
      <w:spacing w:after="60"/>
    </w:pPr>
  </w:style>
  <w:style w:type="paragraph" w:customStyle="1" w:styleId="OutlineNumbered1">
    <w:name w:val="Outline Numbered 1"/>
    <w:basedOn w:val="Normal"/>
    <w:link w:val="OutlineNumbered1Char"/>
    <w:rsid w:val="00C5381D"/>
    <w:pPr>
      <w:numPr>
        <w:numId w:val="44"/>
      </w:numPr>
      <w:spacing w:line="260" w:lineRule="exact"/>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C5381D"/>
    <w:pPr>
      <w:numPr>
        <w:ilvl w:val="1"/>
        <w:numId w:val="44"/>
      </w:numPr>
      <w:spacing w:line="260" w:lineRule="exact"/>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C5381D"/>
    <w:pPr>
      <w:numPr>
        <w:ilvl w:val="2"/>
        <w:numId w:val="44"/>
      </w:numPr>
      <w:spacing w:line="260" w:lineRule="exact"/>
      <w:jc w:val="both"/>
    </w:pPr>
    <w:rPr>
      <w:rFonts w:ascii="Calibri" w:eastAsia="Times New Roman" w:hAnsi="Calibri" w:cs="Times New Roman"/>
      <w:color w:val="000000"/>
      <w:szCs w:val="20"/>
      <w:lang w:eastAsia="en-AU"/>
    </w:rPr>
  </w:style>
  <w:style w:type="character" w:customStyle="1" w:styleId="OutlineNumbered1Char">
    <w:name w:val="Outline Numbered 1 Char"/>
    <w:basedOn w:val="DefaultParagraphFont"/>
    <w:link w:val="OutlineNumbered1"/>
    <w:locked/>
    <w:rsid w:val="00C5381D"/>
    <w:rPr>
      <w:rFonts w:ascii="Calibri" w:eastAsia="Times New Roman" w:hAnsi="Calibri" w:cs="Times New Roman"/>
      <w:color w:val="000000"/>
      <w:szCs w:val="20"/>
      <w:lang w:eastAsia="en-AU"/>
    </w:rPr>
  </w:style>
  <w:style w:type="character" w:styleId="CommentReference">
    <w:name w:val="annotation reference"/>
    <w:basedOn w:val="DefaultParagraphFont"/>
    <w:uiPriority w:val="99"/>
    <w:semiHidden/>
    <w:unhideWhenUsed/>
    <w:rsid w:val="005F7450"/>
    <w:rPr>
      <w:sz w:val="16"/>
      <w:szCs w:val="16"/>
    </w:rPr>
  </w:style>
  <w:style w:type="paragraph" w:styleId="CommentText">
    <w:name w:val="annotation text"/>
    <w:basedOn w:val="Normal"/>
    <w:link w:val="CommentTextChar"/>
    <w:unhideWhenUsed/>
    <w:rsid w:val="005F7450"/>
    <w:rPr>
      <w:sz w:val="20"/>
      <w:szCs w:val="20"/>
    </w:rPr>
  </w:style>
  <w:style w:type="character" w:customStyle="1" w:styleId="CommentTextChar">
    <w:name w:val="Comment Text Char"/>
    <w:basedOn w:val="DefaultParagraphFont"/>
    <w:link w:val="CommentText"/>
    <w:rsid w:val="005F7450"/>
    <w:rPr>
      <w:sz w:val="20"/>
      <w:szCs w:val="20"/>
    </w:rPr>
  </w:style>
  <w:style w:type="paragraph" w:styleId="CommentSubject">
    <w:name w:val="annotation subject"/>
    <w:basedOn w:val="CommentText"/>
    <w:next w:val="CommentText"/>
    <w:link w:val="CommentSubjectChar"/>
    <w:uiPriority w:val="99"/>
    <w:semiHidden/>
    <w:unhideWhenUsed/>
    <w:rsid w:val="005F7450"/>
    <w:rPr>
      <w:b/>
      <w:bCs/>
    </w:rPr>
  </w:style>
  <w:style w:type="character" w:customStyle="1" w:styleId="CommentSubjectChar">
    <w:name w:val="Comment Subject Char"/>
    <w:basedOn w:val="CommentTextChar"/>
    <w:link w:val="CommentSubject"/>
    <w:uiPriority w:val="99"/>
    <w:semiHidden/>
    <w:rsid w:val="005F7450"/>
    <w:rPr>
      <w:b/>
      <w:bCs/>
      <w:sz w:val="20"/>
      <w:szCs w:val="20"/>
    </w:rPr>
  </w:style>
  <w:style w:type="paragraph" w:styleId="BodyText">
    <w:name w:val="Body Text"/>
    <w:basedOn w:val="Normal"/>
    <w:link w:val="BodyTextChar"/>
    <w:uiPriority w:val="99"/>
    <w:semiHidden/>
    <w:unhideWhenUsed/>
    <w:rsid w:val="007C24F9"/>
    <w:pPr>
      <w:spacing w:after="120"/>
    </w:pPr>
  </w:style>
  <w:style w:type="character" w:customStyle="1" w:styleId="BodyTextChar">
    <w:name w:val="Body Text Char"/>
    <w:basedOn w:val="DefaultParagraphFont"/>
    <w:link w:val="BodyText"/>
    <w:uiPriority w:val="99"/>
    <w:semiHidden/>
    <w:rsid w:val="007C24F9"/>
  </w:style>
  <w:style w:type="table" w:styleId="TableGrid">
    <w:name w:val="Table Grid"/>
    <w:basedOn w:val="TableNormal"/>
    <w:uiPriority w:val="39"/>
    <w:rsid w:val="007C24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rsid w:val="00FB38BB"/>
    <w:pPr>
      <w:spacing w:before="120" w:after="120"/>
    </w:pPr>
    <w:rPr>
      <w:rFonts w:ascii="Arial" w:eastAsia="Times New Roman" w:hAnsi="Arial" w:cs="Times New Roman"/>
      <w:b/>
      <w:sz w:val="20"/>
      <w:szCs w:val="20"/>
      <w:lang w:eastAsia="en-AU"/>
    </w:rPr>
  </w:style>
  <w:style w:type="character" w:customStyle="1" w:styleId="TableHeadingChar">
    <w:name w:val="TableHeading Char"/>
    <w:link w:val="TableHeading"/>
    <w:rsid w:val="00FB38BB"/>
    <w:rPr>
      <w:rFonts w:ascii="Arial" w:eastAsia="Times New Roman" w:hAnsi="Arial" w:cs="Times New Roman"/>
      <w:b/>
      <w:sz w:val="20"/>
      <w:szCs w:val="20"/>
      <w:lang w:eastAsia="en-AU"/>
    </w:rPr>
  </w:style>
  <w:style w:type="paragraph" w:customStyle="1" w:styleId="CheckBoxCentered">
    <w:name w:val="CheckBoxCentered"/>
    <w:basedOn w:val="Normal"/>
    <w:rsid w:val="00FB38BB"/>
    <w:pPr>
      <w:spacing w:before="120" w:after="120"/>
      <w:jc w:val="center"/>
    </w:pPr>
    <w:rPr>
      <w:rFonts w:ascii="Times New Roman" w:eastAsia="Times New Roman" w:hAnsi="Times New Roman" w:cs="Times New Roman"/>
      <w:sz w:val="20"/>
      <w:szCs w:val="20"/>
      <w:lang w:eastAsia="en-AU"/>
    </w:rPr>
  </w:style>
  <w:style w:type="paragraph" w:customStyle="1" w:styleId="NormalLatinArialNarrow">
    <w:name w:val="Normal + (Latin) Arial Narrow"/>
    <w:aliases w:val="(Complex) Arial,14 pt,(Latin) Bold + Arial Narr..."/>
    <w:basedOn w:val="Normal"/>
    <w:rsid w:val="00FB38BB"/>
    <w:pPr>
      <w:spacing w:after="0"/>
    </w:pPr>
    <w:rPr>
      <w:rFonts w:ascii="Arial" w:eastAsia="Times New Roman" w:hAnsi="Arial" w:cs="Times New Roman"/>
      <w:sz w:val="18"/>
      <w:szCs w:val="18"/>
      <w:lang w:eastAsia="en-AU"/>
    </w:rPr>
  </w:style>
  <w:style w:type="character" w:styleId="FootnoteReference">
    <w:name w:val="footnote reference"/>
    <w:basedOn w:val="DefaultParagraphFont"/>
    <w:uiPriority w:val="99"/>
    <w:unhideWhenUsed/>
    <w:rsid w:val="00954B55"/>
    <w:rPr>
      <w:vertAlign w:val="superscript"/>
    </w:rPr>
  </w:style>
  <w:style w:type="table" w:customStyle="1" w:styleId="TableGrid1">
    <w:name w:val="Table Grid1"/>
    <w:basedOn w:val="TableNormal"/>
    <w:next w:val="TableGrid"/>
    <w:uiPriority w:val="59"/>
    <w:rsid w:val="00954B55"/>
    <w:pPr>
      <w:spacing w:after="0" w:line="240" w:lineRule="auto"/>
    </w:pPr>
    <w:rPr>
      <w:rFonts w:ascii="Calibri" w:hAnsi="Calibri" w:cs="Times New Roman"/>
      <w:sz w:val="20"/>
      <w:szCs w:val="20"/>
    </w:rPr>
    <w:tblPr>
      <w:tblBorders>
        <w:top w:val="single" w:sz="2" w:space="0" w:color="365F91"/>
        <w:left w:val="single" w:sz="2" w:space="0" w:color="365F91"/>
        <w:bottom w:val="single" w:sz="2" w:space="0" w:color="365F91"/>
        <w:right w:val="single" w:sz="2" w:space="0" w:color="365F91"/>
        <w:insideH w:val="single" w:sz="2" w:space="0" w:color="365F91"/>
        <w:insideV w:val="single" w:sz="2" w:space="0" w:color="365F91"/>
      </w:tblBorders>
    </w:tblPr>
    <w:tblStylePr w:type="firstRow">
      <w:rPr>
        <w:rFonts w:ascii="Calibri" w:hAnsi="Calibri"/>
        <w:b/>
        <w:i w:val="0"/>
        <w:color w:val="FFFFFF"/>
        <w:sz w:val="20"/>
      </w:rPr>
      <w:tblPr/>
      <w:tcPr>
        <w:shd w:val="clear" w:color="auto" w:fill="365F91"/>
      </w:tcPr>
    </w:tblStylePr>
  </w:style>
  <w:style w:type="paragraph" w:styleId="ListParagraph">
    <w:name w:val="List Paragraph"/>
    <w:aliases w:val="Bullet point,List Paragraph1,List Paragraph11,Recommendation,Body Text1,Body text,Figure_name,Numbered Indented Text,Bullet- First level,List NUmber,Listenabsatz1,lp1,NAST Quote,Bulit List -  Paragraph,CV text,Dot pt,F5 List Paragraph,L"/>
    <w:basedOn w:val="Normal"/>
    <w:link w:val="ListParagraphChar"/>
    <w:uiPriority w:val="34"/>
    <w:qFormat/>
    <w:rsid w:val="009629CC"/>
    <w:pPr>
      <w:ind w:left="720"/>
      <w:contextualSpacing/>
    </w:pPr>
  </w:style>
  <w:style w:type="character" w:customStyle="1" w:styleId="ListParagraphChar">
    <w:name w:val="List Paragraph Char"/>
    <w:aliases w:val="Bullet point Char,List Paragraph1 Char,List Paragraph11 Char,Recommendation Char,Body Text1 Char,Body text Char,Figure_name Char,Numbered Indented Text Char,Bullet- First level Char,List NUmber Char,Listenabsatz1 Char,lp1 Char,L Char"/>
    <w:basedOn w:val="DefaultParagraphFont"/>
    <w:link w:val="ListParagraph"/>
    <w:uiPriority w:val="34"/>
    <w:qFormat/>
    <w:locked/>
    <w:rsid w:val="000D6064"/>
  </w:style>
  <w:style w:type="paragraph" w:styleId="Revision">
    <w:name w:val="Revision"/>
    <w:hidden/>
    <w:uiPriority w:val="99"/>
    <w:semiHidden/>
    <w:rsid w:val="003F6FB3"/>
    <w:pPr>
      <w:spacing w:after="0" w:line="240" w:lineRule="auto"/>
    </w:pPr>
  </w:style>
  <w:style w:type="paragraph" w:styleId="EndnoteText">
    <w:name w:val="endnote text"/>
    <w:basedOn w:val="Normal"/>
    <w:link w:val="EndnoteTextChar"/>
    <w:uiPriority w:val="99"/>
    <w:semiHidden/>
    <w:unhideWhenUsed/>
    <w:rsid w:val="00BD57DB"/>
    <w:pPr>
      <w:spacing w:after="0"/>
    </w:pPr>
    <w:rPr>
      <w:sz w:val="20"/>
      <w:szCs w:val="20"/>
    </w:rPr>
  </w:style>
  <w:style w:type="character" w:customStyle="1" w:styleId="EndnoteTextChar">
    <w:name w:val="Endnote Text Char"/>
    <w:basedOn w:val="DefaultParagraphFont"/>
    <w:link w:val="EndnoteText"/>
    <w:uiPriority w:val="99"/>
    <w:semiHidden/>
    <w:rsid w:val="00BD57DB"/>
    <w:rPr>
      <w:sz w:val="20"/>
      <w:szCs w:val="20"/>
    </w:rPr>
  </w:style>
  <w:style w:type="character" w:styleId="EndnoteReference">
    <w:name w:val="endnote reference"/>
    <w:basedOn w:val="DefaultParagraphFont"/>
    <w:uiPriority w:val="99"/>
    <w:semiHidden/>
    <w:unhideWhenUsed/>
    <w:rsid w:val="00BD57DB"/>
    <w:rPr>
      <w:vertAlign w:val="superscript"/>
    </w:rPr>
  </w:style>
  <w:style w:type="numbering" w:customStyle="1" w:styleId="BulletedList">
    <w:name w:val="Bulleted List"/>
    <w:uiPriority w:val="99"/>
    <w:rsid w:val="00AF353E"/>
    <w:pPr>
      <w:numPr>
        <w:numId w:val="28"/>
      </w:numPr>
    </w:pPr>
  </w:style>
  <w:style w:type="character" w:customStyle="1" w:styleId="base-text-paragraphChar">
    <w:name w:val="base-text-paragraph Char"/>
    <w:basedOn w:val="DefaultParagraphFont"/>
    <w:link w:val="base-text-paragraph"/>
    <w:locked/>
    <w:rsid w:val="00AF353E"/>
  </w:style>
  <w:style w:type="paragraph" w:customStyle="1" w:styleId="base-text-paragraph">
    <w:name w:val="base-text-paragraph"/>
    <w:link w:val="base-text-paragraphChar"/>
    <w:rsid w:val="00AF353E"/>
    <w:pPr>
      <w:numPr>
        <w:numId w:val="29"/>
      </w:numPr>
      <w:spacing w:before="120" w:after="120" w:line="240" w:lineRule="auto"/>
    </w:pPr>
  </w:style>
  <w:style w:type="paragraph" w:customStyle="1" w:styleId="TableText">
    <w:name w:val="TableText"/>
    <w:basedOn w:val="Normal"/>
    <w:link w:val="TableTextChar"/>
    <w:qFormat/>
    <w:rsid w:val="00604349"/>
    <w:pPr>
      <w:spacing w:before="120" w:after="120"/>
    </w:pPr>
    <w:rPr>
      <w:rFonts w:ascii="Century Gothic" w:eastAsiaTheme="majorEastAsia" w:hAnsi="Century Gothic" w:cs="Arial"/>
      <w:bCs/>
      <w:sz w:val="20"/>
      <w:szCs w:val="20"/>
    </w:rPr>
  </w:style>
  <w:style w:type="character" w:customStyle="1" w:styleId="TableTextChar">
    <w:name w:val="TableText Char"/>
    <w:basedOn w:val="DefaultParagraphFont"/>
    <w:link w:val="TableText"/>
    <w:rsid w:val="00604349"/>
    <w:rPr>
      <w:rFonts w:ascii="Century Gothic" w:eastAsiaTheme="majorEastAsia" w:hAnsi="Century Gothic" w:cs="Arial"/>
      <w:bCs/>
      <w:sz w:val="20"/>
      <w:szCs w:val="20"/>
    </w:rPr>
  </w:style>
  <w:style w:type="paragraph" w:styleId="Caption">
    <w:name w:val="caption"/>
    <w:basedOn w:val="Normal"/>
    <w:next w:val="Normal"/>
    <w:uiPriority w:val="35"/>
    <w:unhideWhenUsed/>
    <w:qFormat/>
    <w:rsid w:val="006319A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48113">
      <w:bodyDiv w:val="1"/>
      <w:marLeft w:val="0"/>
      <w:marRight w:val="0"/>
      <w:marTop w:val="0"/>
      <w:marBottom w:val="0"/>
      <w:divBdr>
        <w:top w:val="none" w:sz="0" w:space="0" w:color="auto"/>
        <w:left w:val="none" w:sz="0" w:space="0" w:color="auto"/>
        <w:bottom w:val="none" w:sz="0" w:space="0" w:color="auto"/>
        <w:right w:val="none" w:sz="0" w:space="0" w:color="auto"/>
      </w:divBdr>
    </w:div>
    <w:div w:id="142696747">
      <w:bodyDiv w:val="1"/>
      <w:marLeft w:val="0"/>
      <w:marRight w:val="0"/>
      <w:marTop w:val="0"/>
      <w:marBottom w:val="0"/>
      <w:divBdr>
        <w:top w:val="none" w:sz="0" w:space="0" w:color="auto"/>
        <w:left w:val="none" w:sz="0" w:space="0" w:color="auto"/>
        <w:bottom w:val="none" w:sz="0" w:space="0" w:color="auto"/>
        <w:right w:val="none" w:sz="0" w:space="0" w:color="auto"/>
      </w:divBdr>
    </w:div>
    <w:div w:id="207763294">
      <w:bodyDiv w:val="1"/>
      <w:marLeft w:val="0"/>
      <w:marRight w:val="0"/>
      <w:marTop w:val="0"/>
      <w:marBottom w:val="0"/>
      <w:divBdr>
        <w:top w:val="none" w:sz="0" w:space="0" w:color="auto"/>
        <w:left w:val="none" w:sz="0" w:space="0" w:color="auto"/>
        <w:bottom w:val="none" w:sz="0" w:space="0" w:color="auto"/>
        <w:right w:val="none" w:sz="0" w:space="0" w:color="auto"/>
      </w:divBdr>
    </w:div>
    <w:div w:id="258562809">
      <w:bodyDiv w:val="1"/>
      <w:marLeft w:val="0"/>
      <w:marRight w:val="0"/>
      <w:marTop w:val="0"/>
      <w:marBottom w:val="0"/>
      <w:divBdr>
        <w:top w:val="none" w:sz="0" w:space="0" w:color="auto"/>
        <w:left w:val="none" w:sz="0" w:space="0" w:color="auto"/>
        <w:bottom w:val="none" w:sz="0" w:space="0" w:color="auto"/>
        <w:right w:val="none" w:sz="0" w:space="0" w:color="auto"/>
      </w:divBdr>
    </w:div>
    <w:div w:id="325212524">
      <w:bodyDiv w:val="1"/>
      <w:marLeft w:val="0"/>
      <w:marRight w:val="0"/>
      <w:marTop w:val="0"/>
      <w:marBottom w:val="0"/>
      <w:divBdr>
        <w:top w:val="none" w:sz="0" w:space="0" w:color="auto"/>
        <w:left w:val="none" w:sz="0" w:space="0" w:color="auto"/>
        <w:bottom w:val="none" w:sz="0" w:space="0" w:color="auto"/>
        <w:right w:val="none" w:sz="0" w:space="0" w:color="auto"/>
      </w:divBdr>
    </w:div>
    <w:div w:id="412776777">
      <w:bodyDiv w:val="1"/>
      <w:marLeft w:val="0"/>
      <w:marRight w:val="0"/>
      <w:marTop w:val="0"/>
      <w:marBottom w:val="0"/>
      <w:divBdr>
        <w:top w:val="none" w:sz="0" w:space="0" w:color="auto"/>
        <w:left w:val="none" w:sz="0" w:space="0" w:color="auto"/>
        <w:bottom w:val="none" w:sz="0" w:space="0" w:color="auto"/>
        <w:right w:val="none" w:sz="0" w:space="0" w:color="auto"/>
      </w:divBdr>
    </w:div>
    <w:div w:id="448085439">
      <w:bodyDiv w:val="1"/>
      <w:marLeft w:val="0"/>
      <w:marRight w:val="0"/>
      <w:marTop w:val="0"/>
      <w:marBottom w:val="0"/>
      <w:divBdr>
        <w:top w:val="none" w:sz="0" w:space="0" w:color="auto"/>
        <w:left w:val="none" w:sz="0" w:space="0" w:color="auto"/>
        <w:bottom w:val="none" w:sz="0" w:space="0" w:color="auto"/>
        <w:right w:val="none" w:sz="0" w:space="0" w:color="auto"/>
      </w:divBdr>
    </w:div>
    <w:div w:id="526217007">
      <w:bodyDiv w:val="1"/>
      <w:marLeft w:val="0"/>
      <w:marRight w:val="0"/>
      <w:marTop w:val="0"/>
      <w:marBottom w:val="0"/>
      <w:divBdr>
        <w:top w:val="none" w:sz="0" w:space="0" w:color="auto"/>
        <w:left w:val="none" w:sz="0" w:space="0" w:color="auto"/>
        <w:bottom w:val="none" w:sz="0" w:space="0" w:color="auto"/>
        <w:right w:val="none" w:sz="0" w:space="0" w:color="auto"/>
      </w:divBdr>
    </w:div>
    <w:div w:id="538519490">
      <w:bodyDiv w:val="1"/>
      <w:marLeft w:val="0"/>
      <w:marRight w:val="0"/>
      <w:marTop w:val="0"/>
      <w:marBottom w:val="0"/>
      <w:divBdr>
        <w:top w:val="none" w:sz="0" w:space="0" w:color="auto"/>
        <w:left w:val="none" w:sz="0" w:space="0" w:color="auto"/>
        <w:bottom w:val="none" w:sz="0" w:space="0" w:color="auto"/>
        <w:right w:val="none" w:sz="0" w:space="0" w:color="auto"/>
      </w:divBdr>
    </w:div>
    <w:div w:id="543911581">
      <w:bodyDiv w:val="1"/>
      <w:marLeft w:val="0"/>
      <w:marRight w:val="0"/>
      <w:marTop w:val="0"/>
      <w:marBottom w:val="0"/>
      <w:divBdr>
        <w:top w:val="none" w:sz="0" w:space="0" w:color="auto"/>
        <w:left w:val="none" w:sz="0" w:space="0" w:color="auto"/>
        <w:bottom w:val="none" w:sz="0" w:space="0" w:color="auto"/>
        <w:right w:val="none" w:sz="0" w:space="0" w:color="auto"/>
      </w:divBdr>
    </w:div>
    <w:div w:id="645203021">
      <w:bodyDiv w:val="1"/>
      <w:marLeft w:val="0"/>
      <w:marRight w:val="0"/>
      <w:marTop w:val="0"/>
      <w:marBottom w:val="0"/>
      <w:divBdr>
        <w:top w:val="none" w:sz="0" w:space="0" w:color="auto"/>
        <w:left w:val="none" w:sz="0" w:space="0" w:color="auto"/>
        <w:bottom w:val="none" w:sz="0" w:space="0" w:color="auto"/>
        <w:right w:val="none" w:sz="0" w:space="0" w:color="auto"/>
      </w:divBdr>
    </w:div>
    <w:div w:id="668094977">
      <w:bodyDiv w:val="1"/>
      <w:marLeft w:val="0"/>
      <w:marRight w:val="0"/>
      <w:marTop w:val="0"/>
      <w:marBottom w:val="0"/>
      <w:divBdr>
        <w:top w:val="none" w:sz="0" w:space="0" w:color="auto"/>
        <w:left w:val="none" w:sz="0" w:space="0" w:color="auto"/>
        <w:bottom w:val="none" w:sz="0" w:space="0" w:color="auto"/>
        <w:right w:val="none" w:sz="0" w:space="0" w:color="auto"/>
      </w:divBdr>
      <w:divsChild>
        <w:div w:id="227426346">
          <w:marLeft w:val="547"/>
          <w:marRight w:val="0"/>
          <w:marTop w:val="0"/>
          <w:marBottom w:val="0"/>
          <w:divBdr>
            <w:top w:val="none" w:sz="0" w:space="0" w:color="auto"/>
            <w:left w:val="none" w:sz="0" w:space="0" w:color="auto"/>
            <w:bottom w:val="none" w:sz="0" w:space="0" w:color="auto"/>
            <w:right w:val="none" w:sz="0" w:space="0" w:color="auto"/>
          </w:divBdr>
        </w:div>
      </w:divsChild>
    </w:div>
    <w:div w:id="731273798">
      <w:bodyDiv w:val="1"/>
      <w:marLeft w:val="0"/>
      <w:marRight w:val="0"/>
      <w:marTop w:val="0"/>
      <w:marBottom w:val="0"/>
      <w:divBdr>
        <w:top w:val="none" w:sz="0" w:space="0" w:color="auto"/>
        <w:left w:val="none" w:sz="0" w:space="0" w:color="auto"/>
        <w:bottom w:val="none" w:sz="0" w:space="0" w:color="auto"/>
        <w:right w:val="none" w:sz="0" w:space="0" w:color="auto"/>
      </w:divBdr>
    </w:div>
    <w:div w:id="865099648">
      <w:bodyDiv w:val="1"/>
      <w:marLeft w:val="0"/>
      <w:marRight w:val="0"/>
      <w:marTop w:val="0"/>
      <w:marBottom w:val="0"/>
      <w:divBdr>
        <w:top w:val="none" w:sz="0" w:space="0" w:color="auto"/>
        <w:left w:val="none" w:sz="0" w:space="0" w:color="auto"/>
        <w:bottom w:val="none" w:sz="0" w:space="0" w:color="auto"/>
        <w:right w:val="none" w:sz="0" w:space="0" w:color="auto"/>
      </w:divBdr>
      <w:divsChild>
        <w:div w:id="81492301">
          <w:marLeft w:val="547"/>
          <w:marRight w:val="0"/>
          <w:marTop w:val="0"/>
          <w:marBottom w:val="0"/>
          <w:divBdr>
            <w:top w:val="none" w:sz="0" w:space="0" w:color="auto"/>
            <w:left w:val="none" w:sz="0" w:space="0" w:color="auto"/>
            <w:bottom w:val="none" w:sz="0" w:space="0" w:color="auto"/>
            <w:right w:val="none" w:sz="0" w:space="0" w:color="auto"/>
          </w:divBdr>
        </w:div>
      </w:divsChild>
    </w:div>
    <w:div w:id="899170677">
      <w:bodyDiv w:val="1"/>
      <w:marLeft w:val="0"/>
      <w:marRight w:val="0"/>
      <w:marTop w:val="0"/>
      <w:marBottom w:val="0"/>
      <w:divBdr>
        <w:top w:val="none" w:sz="0" w:space="0" w:color="auto"/>
        <w:left w:val="none" w:sz="0" w:space="0" w:color="auto"/>
        <w:bottom w:val="none" w:sz="0" w:space="0" w:color="auto"/>
        <w:right w:val="none" w:sz="0" w:space="0" w:color="auto"/>
      </w:divBdr>
    </w:div>
    <w:div w:id="912274883">
      <w:bodyDiv w:val="1"/>
      <w:marLeft w:val="0"/>
      <w:marRight w:val="0"/>
      <w:marTop w:val="0"/>
      <w:marBottom w:val="0"/>
      <w:divBdr>
        <w:top w:val="none" w:sz="0" w:space="0" w:color="auto"/>
        <w:left w:val="none" w:sz="0" w:space="0" w:color="auto"/>
        <w:bottom w:val="none" w:sz="0" w:space="0" w:color="auto"/>
        <w:right w:val="none" w:sz="0" w:space="0" w:color="auto"/>
      </w:divBdr>
    </w:div>
    <w:div w:id="966861010">
      <w:bodyDiv w:val="1"/>
      <w:marLeft w:val="0"/>
      <w:marRight w:val="0"/>
      <w:marTop w:val="0"/>
      <w:marBottom w:val="0"/>
      <w:divBdr>
        <w:top w:val="none" w:sz="0" w:space="0" w:color="auto"/>
        <w:left w:val="none" w:sz="0" w:space="0" w:color="auto"/>
        <w:bottom w:val="none" w:sz="0" w:space="0" w:color="auto"/>
        <w:right w:val="none" w:sz="0" w:space="0" w:color="auto"/>
      </w:divBdr>
    </w:div>
    <w:div w:id="1020819930">
      <w:bodyDiv w:val="1"/>
      <w:marLeft w:val="0"/>
      <w:marRight w:val="0"/>
      <w:marTop w:val="0"/>
      <w:marBottom w:val="0"/>
      <w:divBdr>
        <w:top w:val="none" w:sz="0" w:space="0" w:color="auto"/>
        <w:left w:val="none" w:sz="0" w:space="0" w:color="auto"/>
        <w:bottom w:val="none" w:sz="0" w:space="0" w:color="auto"/>
        <w:right w:val="none" w:sz="0" w:space="0" w:color="auto"/>
      </w:divBdr>
    </w:div>
    <w:div w:id="1104765031">
      <w:bodyDiv w:val="1"/>
      <w:marLeft w:val="0"/>
      <w:marRight w:val="0"/>
      <w:marTop w:val="0"/>
      <w:marBottom w:val="0"/>
      <w:divBdr>
        <w:top w:val="none" w:sz="0" w:space="0" w:color="auto"/>
        <w:left w:val="none" w:sz="0" w:space="0" w:color="auto"/>
        <w:bottom w:val="none" w:sz="0" w:space="0" w:color="auto"/>
        <w:right w:val="none" w:sz="0" w:space="0" w:color="auto"/>
      </w:divBdr>
    </w:div>
    <w:div w:id="1540776033">
      <w:bodyDiv w:val="1"/>
      <w:marLeft w:val="0"/>
      <w:marRight w:val="0"/>
      <w:marTop w:val="0"/>
      <w:marBottom w:val="0"/>
      <w:divBdr>
        <w:top w:val="none" w:sz="0" w:space="0" w:color="auto"/>
        <w:left w:val="none" w:sz="0" w:space="0" w:color="auto"/>
        <w:bottom w:val="none" w:sz="0" w:space="0" w:color="auto"/>
        <w:right w:val="none" w:sz="0" w:space="0" w:color="auto"/>
      </w:divBdr>
    </w:div>
    <w:div w:id="1650011124">
      <w:bodyDiv w:val="1"/>
      <w:marLeft w:val="0"/>
      <w:marRight w:val="0"/>
      <w:marTop w:val="0"/>
      <w:marBottom w:val="0"/>
      <w:divBdr>
        <w:top w:val="none" w:sz="0" w:space="0" w:color="auto"/>
        <w:left w:val="none" w:sz="0" w:space="0" w:color="auto"/>
        <w:bottom w:val="none" w:sz="0" w:space="0" w:color="auto"/>
        <w:right w:val="none" w:sz="0" w:space="0" w:color="auto"/>
      </w:divBdr>
    </w:div>
    <w:div w:id="1764257053">
      <w:bodyDiv w:val="1"/>
      <w:marLeft w:val="0"/>
      <w:marRight w:val="0"/>
      <w:marTop w:val="0"/>
      <w:marBottom w:val="0"/>
      <w:divBdr>
        <w:top w:val="none" w:sz="0" w:space="0" w:color="auto"/>
        <w:left w:val="none" w:sz="0" w:space="0" w:color="auto"/>
        <w:bottom w:val="none" w:sz="0" w:space="0" w:color="auto"/>
        <w:right w:val="none" w:sz="0" w:space="0" w:color="auto"/>
      </w:divBdr>
    </w:div>
    <w:div w:id="1888107257">
      <w:bodyDiv w:val="1"/>
      <w:marLeft w:val="0"/>
      <w:marRight w:val="0"/>
      <w:marTop w:val="0"/>
      <w:marBottom w:val="0"/>
      <w:divBdr>
        <w:top w:val="none" w:sz="0" w:space="0" w:color="auto"/>
        <w:left w:val="none" w:sz="0" w:space="0" w:color="auto"/>
        <w:bottom w:val="none" w:sz="0" w:space="0" w:color="auto"/>
        <w:right w:val="none" w:sz="0" w:space="0" w:color="auto"/>
      </w:divBdr>
      <w:divsChild>
        <w:div w:id="2066904108">
          <w:marLeft w:val="0"/>
          <w:marRight w:val="0"/>
          <w:marTop w:val="0"/>
          <w:marBottom w:val="0"/>
          <w:divBdr>
            <w:top w:val="none" w:sz="0" w:space="0" w:color="auto"/>
            <w:left w:val="none" w:sz="0" w:space="0" w:color="auto"/>
            <w:bottom w:val="none" w:sz="0" w:space="0" w:color="auto"/>
            <w:right w:val="none" w:sz="0" w:space="0" w:color="auto"/>
          </w:divBdr>
          <w:divsChild>
            <w:div w:id="887303878">
              <w:marLeft w:val="0"/>
              <w:marRight w:val="0"/>
              <w:marTop w:val="0"/>
              <w:marBottom w:val="0"/>
              <w:divBdr>
                <w:top w:val="none" w:sz="0" w:space="0" w:color="auto"/>
                <w:left w:val="none" w:sz="0" w:space="0" w:color="auto"/>
                <w:bottom w:val="none" w:sz="0" w:space="0" w:color="auto"/>
                <w:right w:val="none" w:sz="0" w:space="0" w:color="auto"/>
              </w:divBdr>
              <w:divsChild>
                <w:div w:id="2076781215">
                  <w:marLeft w:val="0"/>
                  <w:marRight w:val="0"/>
                  <w:marTop w:val="0"/>
                  <w:marBottom w:val="0"/>
                  <w:divBdr>
                    <w:top w:val="none" w:sz="0" w:space="0" w:color="auto"/>
                    <w:left w:val="none" w:sz="0" w:space="0" w:color="auto"/>
                    <w:bottom w:val="none" w:sz="0" w:space="0" w:color="auto"/>
                    <w:right w:val="none" w:sz="0" w:space="0" w:color="auto"/>
                  </w:divBdr>
                  <w:divsChild>
                    <w:div w:id="1113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43093">
      <w:bodyDiv w:val="1"/>
      <w:marLeft w:val="0"/>
      <w:marRight w:val="0"/>
      <w:marTop w:val="0"/>
      <w:marBottom w:val="0"/>
      <w:divBdr>
        <w:top w:val="none" w:sz="0" w:space="0" w:color="auto"/>
        <w:left w:val="none" w:sz="0" w:space="0" w:color="auto"/>
        <w:bottom w:val="none" w:sz="0" w:space="0" w:color="auto"/>
        <w:right w:val="none" w:sz="0" w:space="0" w:color="auto"/>
      </w:divBdr>
    </w:div>
    <w:div w:id="1973709248">
      <w:bodyDiv w:val="1"/>
      <w:marLeft w:val="0"/>
      <w:marRight w:val="0"/>
      <w:marTop w:val="0"/>
      <w:marBottom w:val="0"/>
      <w:divBdr>
        <w:top w:val="none" w:sz="0" w:space="0" w:color="auto"/>
        <w:left w:val="none" w:sz="0" w:space="0" w:color="auto"/>
        <w:bottom w:val="none" w:sz="0" w:space="0" w:color="auto"/>
        <w:right w:val="none" w:sz="0" w:space="0" w:color="auto"/>
      </w:divBdr>
    </w:div>
    <w:div w:id="1988704831">
      <w:bodyDiv w:val="1"/>
      <w:marLeft w:val="0"/>
      <w:marRight w:val="0"/>
      <w:marTop w:val="0"/>
      <w:marBottom w:val="0"/>
      <w:divBdr>
        <w:top w:val="none" w:sz="0" w:space="0" w:color="auto"/>
        <w:left w:val="none" w:sz="0" w:space="0" w:color="auto"/>
        <w:bottom w:val="none" w:sz="0" w:space="0" w:color="auto"/>
        <w:right w:val="none" w:sz="0" w:space="0" w:color="auto"/>
      </w:divBdr>
    </w:div>
    <w:div w:id="1989434197">
      <w:bodyDiv w:val="1"/>
      <w:marLeft w:val="0"/>
      <w:marRight w:val="0"/>
      <w:marTop w:val="0"/>
      <w:marBottom w:val="0"/>
      <w:divBdr>
        <w:top w:val="none" w:sz="0" w:space="0" w:color="auto"/>
        <w:left w:val="none" w:sz="0" w:space="0" w:color="auto"/>
        <w:bottom w:val="none" w:sz="0" w:space="0" w:color="auto"/>
        <w:right w:val="none" w:sz="0" w:space="0" w:color="auto"/>
      </w:divBdr>
    </w:div>
    <w:div w:id="2011635572">
      <w:bodyDiv w:val="1"/>
      <w:marLeft w:val="0"/>
      <w:marRight w:val="0"/>
      <w:marTop w:val="0"/>
      <w:marBottom w:val="0"/>
      <w:divBdr>
        <w:top w:val="none" w:sz="0" w:space="0" w:color="auto"/>
        <w:left w:val="none" w:sz="0" w:space="0" w:color="auto"/>
        <w:bottom w:val="none" w:sz="0" w:space="0" w:color="auto"/>
        <w:right w:val="none" w:sz="0" w:space="0" w:color="auto"/>
      </w:divBdr>
    </w:div>
    <w:div w:id="2028672958">
      <w:bodyDiv w:val="1"/>
      <w:marLeft w:val="0"/>
      <w:marRight w:val="0"/>
      <w:marTop w:val="0"/>
      <w:marBottom w:val="0"/>
      <w:divBdr>
        <w:top w:val="none" w:sz="0" w:space="0" w:color="auto"/>
        <w:left w:val="none" w:sz="0" w:space="0" w:color="auto"/>
        <w:bottom w:val="none" w:sz="0" w:space="0" w:color="auto"/>
        <w:right w:val="none" w:sz="0" w:space="0" w:color="auto"/>
      </w:divBdr>
      <w:divsChild>
        <w:div w:id="264073197">
          <w:marLeft w:val="547"/>
          <w:marRight w:val="0"/>
          <w:marTop w:val="0"/>
          <w:marBottom w:val="0"/>
          <w:divBdr>
            <w:top w:val="none" w:sz="0" w:space="0" w:color="auto"/>
            <w:left w:val="none" w:sz="0" w:space="0" w:color="auto"/>
            <w:bottom w:val="none" w:sz="0" w:space="0" w:color="auto"/>
            <w:right w:val="none" w:sz="0" w:space="0" w:color="auto"/>
          </w:divBdr>
        </w:div>
      </w:divsChild>
    </w:div>
    <w:div w:id="2051955237">
      <w:bodyDiv w:val="1"/>
      <w:marLeft w:val="0"/>
      <w:marRight w:val="0"/>
      <w:marTop w:val="0"/>
      <w:marBottom w:val="0"/>
      <w:divBdr>
        <w:top w:val="none" w:sz="0" w:space="0" w:color="auto"/>
        <w:left w:val="none" w:sz="0" w:space="0" w:color="auto"/>
        <w:bottom w:val="none" w:sz="0" w:space="0" w:color="auto"/>
        <w:right w:val="none" w:sz="0" w:space="0" w:color="auto"/>
      </w:divBdr>
    </w:div>
    <w:div w:id="20847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178ACB32DF169409130AAE1FDE802F9" ma:contentTypeVersion="39047" ma:contentTypeDescription="" ma:contentTypeScope="" ma:versionID="04fe33e1524c176548792f048b2a128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77543dadd1837e386caab991a93928a1"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0f563589-9cf9-4143-b1eb-fb0534803d38">
      <Value>59</Value>
    </TaxCatchAll>
    <_dlc_DocId xmlns="0f563589-9cf9-4143-b1eb-fb0534803d38">2021RG-386-4711</_dlc_DocId>
    <_dlc_DocIdUrl xmlns="0f563589-9cf9-4143-b1eb-fb0534803d38">
      <Url>http://tweb/sites/rg/iitd/nfp/_layouts/15/DocIdRedir.aspx?ID=2021RG-386-4711</Url>
      <Description>2021RG-386-4711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E0C1-45C7-40E2-86C5-34337DA757AB}">
  <ds:schemaRefs>
    <ds:schemaRef ds:uri="office.server.policy"/>
  </ds:schemaRefs>
</ds:datastoreItem>
</file>

<file path=customXml/itemProps2.xml><?xml version="1.0" encoding="utf-8"?>
<ds:datastoreItem xmlns:ds="http://schemas.openxmlformats.org/officeDocument/2006/customXml" ds:itemID="{CC49A287-2B2A-4C09-87BE-889B7A5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153F-A802-47B1-92AC-F5EDD8046FCC}">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54A7EA3C-59D1-46A6-ACBA-79DFE535503B}">
  <ds:schemaRefs>
    <ds:schemaRef ds:uri="http://schemas.microsoft.com/sharepoint/events"/>
  </ds:schemaRefs>
</ds:datastoreItem>
</file>

<file path=customXml/itemProps5.xml><?xml version="1.0" encoding="utf-8"?>
<ds:datastoreItem xmlns:ds="http://schemas.openxmlformats.org/officeDocument/2006/customXml" ds:itemID="{EE5912C9-79C9-4F7F-B9B3-4AD3AAACB746}">
  <ds:schemaRefs>
    <ds:schemaRef ds:uri="http://schemas.microsoft.com/sharepoint/v3/contenttype/forms"/>
  </ds:schemaRefs>
</ds:datastoreItem>
</file>

<file path=customXml/itemProps6.xml><?xml version="1.0" encoding="utf-8"?>
<ds:datastoreItem xmlns:ds="http://schemas.openxmlformats.org/officeDocument/2006/customXml" ds:itemID="{645A31EF-D883-435A-9E73-E1CE643F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210407 RIS OBPR ID 24754 ACNC Legislative Review Recommendation 20  Unlawful Activities</vt:lpstr>
    </vt:vector>
  </TitlesOfParts>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210407 RIS OBPR ID 24754 ACNC Legislative Review Recommendation 20  Unlawful Activities</dc:title>
  <dc:subject/>
  <dc:creator/>
  <cp:keywords/>
  <dc:description/>
  <cp:lastModifiedBy/>
  <cp:revision>1</cp:revision>
  <dcterms:created xsi:type="dcterms:W3CDTF">2021-07-02T02:06:00Z</dcterms:created>
  <dcterms:modified xsi:type="dcterms:W3CDTF">2021-07-02T02:10:00Z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0x01010036BB8DE7EC542E42A8B2E98CC20CB69700A178ACB32DF169409130AAE1FDE802F9</vt:lpwstr>
  </property>
  <property fmtid="{D5CDD505-2E9C-101B-9397-08002B2CF9AE}" pid="3" name="TSYRecordClass">
    <vt:lpwstr>59;#TSY RA-9278 - Destroy 30 years after action completed|c086dcfc-5e12-4afb-9fc8-394791410cc9</vt:lpwstr>
  </property>
  <property fmtid="{D5CDD505-2E9C-101B-9397-08002B2CF9AE}" pid="4" name="Order">
    <vt:r8>442900</vt:r8>
  </property>
  <property fmtid="{D5CDD505-2E9C-101B-9397-08002B2CF9AE}" pid="5" name="oae75e2df9d943898d59cb03ca0993c5">
    <vt:lpwstr/>
  </property>
  <property fmtid="{D5CDD505-2E9C-101B-9397-08002B2CF9AE}" pid="6" name="Topics">
    <vt:lpwstr/>
  </property>
  <property fmtid="{D5CDD505-2E9C-101B-9397-08002B2CF9AE}" pid="7" name="_dlc_DocIdItemGuid">
    <vt:lpwstr>dfb329f1-7408-48c1-839e-2457fd0fc1a6</vt:lpwstr>
  </property>
</Properties>
</file>